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3619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733425"/>
                    </a:xfrm>
                    <a:prstGeom prst="rect">
                      <a:avLst/>
                    </a:prstGeom>
                  </pic:spPr>
                </pic:pic>
              </a:graphicData>
            </a:graphic>
          </wp:inline>
        </w:drawing>
      </w:r>
    </w:p>
    <w:p>
      <w:pPr>
        <w:spacing w:after="20"/>
        <w:jc w:val="center"/>
      </w:pPr>
      <w:r>
        <w:rPr>
          <w:rFonts w:ascii="Times New Roman" w:cs="Times New Roman" w:eastAsia="Times New Roman" w:hAnsi="Times New Roman"/>
          <w:b/>
          <w:bCs/>
          <w:sz w:val="24"/>
          <w:szCs w:val="24"/>
        </w:rPr>
        <w:t xml:space="preserve">UNIVERSITY SCHOOL OF AUTOMATION AND ROBOTICS</w:t>
      </w:r>
    </w:p>
    <w:p>
      <w:pPr>
        <w:spacing w:after="500"/>
        <w:jc w:val="center"/>
      </w:pPr>
      <w:r>
        <w:rPr>
          <w:rFonts w:ascii="Times New Roman" w:cs="Times New Roman" w:eastAsia="Times New Roman" w:hAnsi="Times New Roman"/>
          <w:b/>
          <w:bCs/>
          <w:sz w:val="24"/>
          <w:szCs w:val="24"/>
        </w:rPr>
        <w:t xml:space="preserve">EAST DELHI CAMPUS, SURAJMAL VIHAR, DELHI - 110032</w:t>
      </w:r>
    </w:p>
    <w:p>
      <w:pPr>
        <w:spacing w:after="400"/>
        <w:jc w:val="center"/>
      </w:pPr>
      <w:r>
        <w:rPr>
          <w:rFonts w:ascii="Times New Roman" w:cs="Times New Roman" w:eastAsia="Times New Roman" w:hAnsi="Times New Roman"/>
          <w:b/>
          <w:bCs/>
          <w:sz w:val="48"/>
          <w:szCs w:val="48"/>
        </w:rPr>
        <w:t xml:space="preserve">Minor Project Synopsis</w:t>
      </w:r>
    </w:p>
    <w:p>
      <w:pPr>
        <w:spacing w:after="400"/>
        <w:jc w:val="center"/>
      </w:pPr>
      <w:r>
        <w:rPr>
          <w:rFonts w:ascii="Times New Roman" w:cs="Times New Roman" w:eastAsia="Times New Roman" w:hAnsi="Times New Roman"/>
          <w:sz w:val="22"/>
          <w:szCs w:val="22"/>
        </w:rPr>
        <w:t xml:space="preserve">of</w:t>
      </w:r>
    </w:p>
    <w:p>
      <w:pPr>
        <w:spacing w:after="100"/>
        <w:jc w:val="center"/>
      </w:pPr>
      <w:r>
        <w:rPr>
          <w:rFonts w:ascii="Times New Roman" w:cs="Times New Roman" w:eastAsia="Times New Roman" w:hAnsi="Times New Roman"/>
          <w:b/>
          <w:bCs/>
          <w:sz w:val="26"/>
          <w:szCs w:val="26"/>
        </w:rPr>
        <w:t xml:space="preserve">Project Title:</w:t>
      </w:r>
    </w:p>
    <w:p>
      <w:pPr>
        <w:spacing w:after="500"/>
        <w:jc w:val="center"/>
      </w:pPr>
      <w:r>
        <w:rPr>
          <w:rFonts w:ascii="Times New Roman" w:cs="Times New Roman" w:eastAsia="Times New Roman" w:hAnsi="Times New Roman"/>
          <w:b/>
          <w:bCs/>
          <w:color w:val="000000"/>
          <w:sz w:val="28"/>
          <w:szCs w:val="28"/>
        </w:rPr>
        <w:t xml:space="preserve">Neuro-Symbolic Medication Safety: Fusing Local LLM Extraction with Verified Drug-Interaction Reasoning</w:t>
      </w:r>
    </w:p>
    <w:p>
      <w:pPr>
        <w:spacing w:after="500"/>
        <w:jc w:val="center"/>
      </w:pPr>
      <w:r>
        <w:rPr>
          <w:rFonts w:ascii="Times New Roman" w:cs="Times New Roman" w:eastAsia="Times New Roman" w:hAnsi="Times New Roman"/>
          <w:sz w:val="22"/>
          <w:szCs w:val="22"/>
        </w:rPr>
        <w:t xml:space="preserve">Minor Project [ARP 455]</w:t>
      </w:r>
    </w:p>
    <w:p>
      <w:pPr>
        <w:spacing w:after="40"/>
        <w:jc w:val="center"/>
      </w:pPr>
      <w:r>
        <w:rPr>
          <w:rFonts w:ascii="Times New Roman" w:cs="Times New Roman" w:eastAsia="Times New Roman" w:hAnsi="Times New Roman"/>
          <w:sz w:val="24"/>
          <w:szCs w:val="24"/>
        </w:rPr>
        <w:t xml:space="preserve">Name: </w:t>
      </w:r>
      <w:r>
        <w:rPr>
          <w:rFonts w:ascii="Times New Roman" w:cs="Times New Roman" w:eastAsia="Times New Roman" w:hAnsi="Times New Roman"/>
          <w:b/>
          <w:bCs/>
          <w:sz w:val="24"/>
          <w:szCs w:val="24"/>
        </w:rPr>
        <w:t xml:space="preserve">Siddhant Gahlot</w:t>
      </w:r>
    </w:p>
    <w:p>
      <w:pPr>
        <w:spacing w:after="40"/>
        <w:jc w:val="center"/>
      </w:pPr>
      <w:r>
        <w:rPr>
          <w:rFonts w:ascii="Times New Roman" w:cs="Times New Roman" w:eastAsia="Times New Roman" w:hAnsi="Times New Roman"/>
          <w:sz w:val="24"/>
          <w:szCs w:val="24"/>
        </w:rPr>
        <w:t xml:space="preserve">Enrollment Number: </w:t>
      </w:r>
      <w:r>
        <w:rPr>
          <w:rFonts w:ascii="Times New Roman" w:cs="Times New Roman" w:eastAsia="Times New Roman" w:hAnsi="Times New Roman"/>
          <w:b/>
          <w:bCs/>
          <w:sz w:val="24"/>
          <w:szCs w:val="24"/>
        </w:rPr>
        <w:t xml:space="preserve">[Your Enrollment Number]</w:t>
      </w:r>
    </w:p>
    <w:p>
      <w:pPr>
        <w:spacing w:after="500"/>
        <w:jc w:val="center"/>
      </w:pPr>
      <w:r>
        <w:rPr>
          <w:rFonts w:ascii="Times New Roman" w:cs="Times New Roman" w:eastAsia="Times New Roman" w:hAnsi="Times New Roman"/>
          <w:b/>
          <w:bCs/>
          <w:sz w:val="24"/>
          <w:szCs w:val="24"/>
        </w:rPr>
        <w:t xml:space="preserve">B.Tech, AIML, 7</w:t>
      </w:r>
      <w:r>
        <w:rPr>
          <w:rFonts w:ascii="Times New Roman" w:cs="Times New Roman" w:eastAsia="Times New Roman" w:hAnsi="Times New Roman"/>
          <w:b/>
          <w:bCs/>
          <w:sz w:val="24"/>
          <w:szCs w:val="24"/>
          <w:vertAlign w:val="superscript"/>
        </w:rPr>
        <w:t xml:space="preserve">th</w:t>
      </w:r>
      <w:r>
        <w:rPr>
          <w:rFonts w:ascii="Times New Roman" w:cs="Times New Roman" w:eastAsia="Times New Roman" w:hAnsi="Times New Roman"/>
          <w:b/>
          <w:bCs/>
          <w:sz w:val="24"/>
          <w:szCs w:val="24"/>
        </w:rPr>
        <w:t xml:space="preserve"> Semester</w:t>
      </w:r>
    </w:p>
    <w:p>
      <w:pPr>
        <w:spacing w:after="40"/>
        <w:jc w:val="center"/>
      </w:pPr>
      <w:r>
        <w:rPr>
          <w:rFonts w:ascii="Times New Roman" w:cs="Times New Roman" w:eastAsia="Times New Roman" w:hAnsi="Times New Roman"/>
          <w:b/>
          <w:bCs/>
          <w:sz w:val="24"/>
          <w:szCs w:val="24"/>
        </w:rPr>
        <w:t xml:space="preserve">Under the supervision of</w:t>
      </w:r>
    </w:p>
    <w:p>
      <w:pPr>
        <w:jc w:val="center"/>
      </w:pPr>
      <w:r>
        <w:rPr>
          <w:rFonts w:ascii="Times New Roman" w:cs="Times New Roman" w:eastAsia="Times New Roman" w:hAnsi="Times New Roman"/>
          <w:b/>
          <w:bCs/>
          <w:sz w:val="24"/>
          <w:szCs w:val="24"/>
        </w:rPr>
        <w:t xml:space="preserve">[Supervisor's Name]</w:t>
      </w:r>
    </w:p>
    <w:p>
      <w:pPr>
        <w:sectPr>
          <w:pgSz w:w="11906" w:h="16838" w:orient="portrait"/>
          <w:pgMar w:top="700" w:right="1200" w:bottom="700" w:left="1200" w:header="708" w:footer="708" w:gutter="0"/>
          <w:pgNumType/>
          <w:docGrid w:linePitch="360"/>
        </w:sectPr>
      </w:pPr>
    </w:p>
    <w:p>
      <w:pPr>
        <w:spacing w:after="300"/>
        <w:jc w:val="center"/>
      </w:pPr>
      <w:r>
        <w:rPr>
          <w:rFonts w:ascii="Times New Roman" w:cs="Times New Roman" w:eastAsia="Times New Roman" w:hAnsi="Times New Roman"/>
          <w:b/>
          <w:bCs/>
          <w:color w:val="000000"/>
          <w:sz w:val="30"/>
          <w:szCs w:val="30"/>
        </w:rPr>
        <w:t xml:space="preserve">Neuro-Symbolic Medication Safety: Fusing Local LLM Extraction with Verified Drug-Interaction Reasoning</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1. Introduction</w:t>
      </w:r>
    </w:p>
    <w:p>
      <w:pPr>
        <w:spacing w:after="140" w:line="360"/>
        <w:jc w:val="both"/>
      </w:pPr>
      <w:r>
        <w:rPr>
          <w:rFonts w:ascii="Times New Roman" w:cs="Times New Roman" w:eastAsia="Times New Roman" w:hAnsi="Times New Roman"/>
          <w:b w:val="false"/>
          <w:bCs w:val="false"/>
          <w:i w:val="false"/>
          <w:iCs w:val="false"/>
          <w:sz w:val="24"/>
          <w:szCs w:val="24"/>
        </w:rPr>
        <w:t xml:space="preserve">Medication reconciliation, the process of verifying that a patient's medication list is complete, correct, and free of harmful interactions, is one of the most error-prone steps in modern healthcare. It occurs at every transition of care: admission, transfer, and discharge, and each transition is an opportunity for a drug to be missed, duplicated, or dosed incorrectly. Adverse drug events (ADEs) arising from such errors remain among the leading causes of preventable patient harm worldwide, and a large share of them occur precisely because a reconciliation step was rushed, manual, or skipped entirely under clinical workload pressure.</w:t>
      </w:r>
    </w:p>
    <w:p>
      <w:pPr>
        <w:spacing w:after="140" w:line="360"/>
        <w:jc w:val="both"/>
      </w:pPr>
      <w:r>
        <w:rPr>
          <w:rFonts w:ascii="Times New Roman" w:cs="Times New Roman" w:eastAsia="Times New Roman" w:hAnsi="Times New Roman"/>
          <w:b w:val="false"/>
          <w:bCs w:val="false"/>
          <w:i w:val="false"/>
          <w:iCs w:val="false"/>
          <w:sz w:val="24"/>
          <w:szCs w:val="24"/>
        </w:rPr>
        <w:t xml:space="preserve">Recent advances in large language models (LLMs) have opened a new avenue for automating parts of this process: extracting medication names, dosages, and frequencies directly from unstructured discharge summaries and prescriber notes. However, LLMs used in isolation are known to hallucinate drug names and interactions, and to over-flag interactions that are not clinically real, making them unsafe as a standalone decision-making tool in a hospital setting. This project proposes a hybrid, two-branch architecture that combines an LLM used strictly for structured text extraction with a deterministic, evidence-based drug-interaction verification layer, fused through a confidence-aware mechanism and reviewed by a human pharmacist before any recommendation is finalised. The system is further designed to run entirely on local, resource-constrained hardware, so that it can be deployed without depending on cloud infrastructure or exposing patient data externally.</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2. Literature Survey</w:t>
      </w:r>
    </w:p>
    <w:p>
      <w:pPr>
        <w:spacing w:after="140" w:line="360"/>
        <w:jc w:val="both"/>
      </w:pPr>
      <w:r>
        <w:rPr>
          <w:rFonts w:ascii="Times New Roman" w:cs="Times New Roman" w:eastAsia="Times New Roman" w:hAnsi="Times New Roman"/>
          <w:b w:val="false"/>
          <w:bCs w:val="false"/>
          <w:i w:val="false"/>
          <w:iCs w:val="false"/>
          <w:sz w:val="24"/>
          <w:szCs w:val="24"/>
        </w:rPr>
        <w:t xml:space="preserve">The table below summarises the key research consulted while scoping this project, spanning foundational extraction datasets, recent LLM-based pharmacovigilance studies, and lightweight interaction-prediction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Paper</w:t>
            </w:r>
          </w:p>
        </w:tc>
        <w:tc>
          <w:tcPr>
            <w:tcW w:type="pct" w:w="22%"/>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Author / Year</w:t>
            </w:r>
          </w:p>
        </w:tc>
        <w:tc>
          <w:tcPr>
            <w:tcW w:type="pct" w:w="44%"/>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Key Contribution / Finding</w:t>
            </w:r>
          </w:p>
        </w:tc>
      </w:tr>
      <w:tr>
        <w:tc>
          <w:tcPr>
            <w:tcW w:type="pct" w:w="3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2018 n2c2 Shared Task on ADEs &amp; Medication Extraction</w:t>
            </w:r>
          </w:p>
        </w:tc>
        <w:tc>
          <w:tcPr>
            <w:tcW w:type="pct" w:w="22%"/>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Henry et al., JAMIA, 2020</w:t>
            </w:r>
          </w:p>
        </w:tc>
        <w:tc>
          <w:tcPr>
            <w:tcW w:type="pct" w:w="4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Defined the ADE/medication extraction task and annotation scheme; benchmark corpus still used today.</w:t>
            </w:r>
          </w:p>
        </w:tc>
      </w:tr>
      <w:tr>
        <w:tc>
          <w:tcPr>
            <w:tcW w:type="pct" w:w="3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An Ensemble of Neural Models for Nested ADE &amp; Medication Extraction with Subwords</w:t>
            </w:r>
          </w:p>
        </w:tc>
        <w:tc>
          <w:tcPr>
            <w:tcW w:type="pct" w:w="22%"/>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Ju et al., JAMIA, 2020</w:t>
            </w:r>
          </w:p>
        </w:tc>
        <w:tc>
          <w:tcPr>
            <w:tcW w:type="pct" w:w="4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BiLSTM/CRF ensemble with subword tokenisation for nested entity extraction; a non-LLM baseline for comparison.</w:t>
            </w:r>
          </w:p>
        </w:tc>
      </w:tr>
      <w:tr>
        <w:tc>
          <w:tcPr>
            <w:tcW w:type="pct" w:w="3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Adverse Drug Events and Medication Relation Extraction with Ensemble Deep Learning</w:t>
            </w:r>
          </w:p>
        </w:tc>
        <w:tc>
          <w:tcPr>
            <w:tcW w:type="pct" w:w="22%"/>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Christopoulou et al., JAMIA, 2020</w:t>
            </w:r>
          </w:p>
        </w:tc>
        <w:tc>
          <w:tcPr>
            <w:tcW w:type="pct" w:w="4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Ensemble of BiLSTM-attention and Transformer models for intra- and inter-sentence relation extraction; another non-LLM baseline.</w:t>
            </w:r>
          </w:p>
        </w:tc>
      </w:tr>
      <w:tr>
        <w:tc>
          <w:tcPr>
            <w:tcW w:type="pct" w:w="3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LLMs in ADR Detection &amp; Pharmacovigilance: A Systematic Review</w:t>
            </w:r>
          </w:p>
        </w:tc>
        <w:tc>
          <w:tcPr>
            <w:tcW w:type="pct" w:w="22%"/>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Kim, Oh &amp; Jeong, Diagnostics, 2026</w:t>
            </w:r>
          </w:p>
        </w:tc>
        <w:tc>
          <w:tcPr>
            <w:tcW w:type="pct" w:w="4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Reviewed 83 studies; found LLMs strong at extraction but weak and inconsistent at causality judgement, with hallucination and low specificity as key risks.</w:t>
            </w:r>
          </w:p>
        </w:tc>
      </w:tr>
      <w:tr>
        <w:tc>
          <w:tcPr>
            <w:tcW w:type="pct" w:w="3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Analytical Approaches for Medication Reconciliation-Related Topics: A Scoping Review</w:t>
            </w:r>
          </w:p>
        </w:tc>
        <w:tc>
          <w:tcPr>
            <w:tcW w:type="pct" w:w="22%"/>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Yao, Rao &amp; Padman, medRxiv, 2025</w:t>
            </w:r>
          </w:p>
        </w:tc>
        <w:tc>
          <w:tcPr>
            <w:tcW w:type="pct" w:w="4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Found most AI/OR work targets ADE detection rather than reconciliation itself, leaving a gap this project addresses.</w:t>
            </w:r>
          </w:p>
        </w:tc>
      </w:tr>
      <w:tr>
        <w:tc>
          <w:tcPr>
            <w:tcW w:type="pct" w:w="3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A Scoping Review on GenAI and LLMs in Mitigating Medication-Related Harm</w:t>
            </w:r>
          </w:p>
        </w:tc>
        <w:tc>
          <w:tcPr>
            <w:tcW w:type="pct" w:w="22%"/>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Ong et al., npj Digital Medicine, 2025</w:t>
            </w:r>
          </w:p>
        </w:tc>
        <w:tc>
          <w:tcPr>
            <w:tcW w:type="pct" w:w="4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Surveyed GenAI use across DDI prediction and pharmacovigilance; recommends LLM + structured-data fusion over LLM-only pipelines.</w:t>
            </w:r>
          </w:p>
        </w:tc>
      </w:tr>
      <w:tr>
        <w:tc>
          <w:tcPr>
            <w:tcW w:type="pct" w:w="3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Privacy-Preserving LLMs for Structured Medical Information Retrieval</w:t>
            </w:r>
          </w:p>
        </w:tc>
        <w:tc>
          <w:tcPr>
            <w:tcW w:type="pct" w:w="22%"/>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Wiest et al., npj Digital Medicine, 2024</w:t>
            </w:r>
          </w:p>
        </w:tc>
        <w:tc>
          <w:tcPr>
            <w:tcW w:type="pct" w:w="4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Demonstrated a local, quantized Llama 2 model extracting clinical features from MIMIC-IV text without cloud dependency.</w:t>
            </w:r>
          </w:p>
        </w:tc>
      </w:tr>
      <w:tr>
        <w:tc>
          <w:tcPr>
            <w:tcW w:type="pct" w:w="3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Local SLM + ML Pipeline for Extraction and Stroke Outcome Prediction</w:t>
            </w:r>
          </w:p>
        </w:tc>
        <w:tc>
          <w:tcPr>
            <w:tcW w:type="pct" w:w="22%"/>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Kim, Kim &amp; Choi, Comput. Struct. Biotechnol. J., 2026</w:t>
            </w:r>
          </w:p>
        </w:tc>
        <w:tc>
          <w:tcPr>
            <w:tcW w:type="pct" w:w="4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A quantized, fine-tuned local Llama 3 8B model feeding a downstream ML predictor; direct architectural precedent for this project.</w:t>
            </w:r>
          </w:p>
        </w:tc>
      </w:tr>
      <w:tr>
        <w:tc>
          <w:tcPr>
            <w:tcW w:type="pct" w:w="3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Detecting Drug-Drug Interactions Using Artificial Neural Networks and Classic Graph Similarity Measures</w:t>
            </w:r>
          </w:p>
        </w:tc>
        <w:tc>
          <w:tcPr>
            <w:tcW w:type="pct" w:w="22%"/>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Shtar, Rokach &amp; Shapira, PLOS ONE, 2019</w:t>
            </w:r>
          </w:p>
        </w:tc>
        <w:tc>
          <w:tcPr>
            <w:tcW w:type="pct" w:w="44%"/>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A lightweight, laptop-feasible DDI prediction method on DrugBank; used as the practical Branch-B reference.</w:t>
            </w:r>
          </w:p>
        </w:tc>
      </w:tr>
      <w:tr>
        <w:tc>
          <w:tcPr>
            <w:tcW w:type="pct" w:w="3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bCs/>
                <w:sz w:val="18"/>
                <w:szCs w:val="18"/>
              </w:rPr>
              <w:t xml:space="preserve">GraphDDI: Graph Neural Network for Prediction of Drug-Drug Interaction</w:t>
            </w:r>
          </w:p>
        </w:tc>
        <w:tc>
          <w:tcPr>
            <w:tcW w:type="pct" w:w="22%"/>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Gupta, Laghuvarapu &amp; Priyakumar, AIiH 2024 (Springer LNCS)</w:t>
            </w:r>
          </w:p>
        </w:tc>
        <w:tc>
          <w:tcPr>
            <w:tcW w:type="pct" w:w="44%"/>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vAlign w:val="center"/>
          </w:tcPr>
          <w:p>
            <w:pPr>
              <w:spacing w:line="300"/>
            </w:pPr>
            <w:r>
              <w:rPr>
                <w:rFonts w:ascii="Times New Roman" w:cs="Times New Roman" w:eastAsia="Times New Roman" w:hAnsi="Times New Roman"/>
                <w:b w:val="false"/>
                <w:bCs w:val="false"/>
                <w:sz w:val="18"/>
                <w:szCs w:val="18"/>
              </w:rPr>
              <w:t xml:space="preserve">State-of-the-art but compute-heavier GNN approach on molecular structure; cited as a research-frontier comparison, not the implementation target.</w:t>
            </w:r>
          </w:p>
        </w:tc>
      </w:tr>
    </w:tbl>
    <w:p>
      <w:pPr>
        <w:spacing w:after="200" w:line="360"/>
        <w:jc w:val="both"/>
      </w:pPr>
      <w:r>
        <w:rPr>
          <w:rFonts w:ascii="Times New Roman" w:cs="Times New Roman" w:eastAsia="Times New Roman" w:hAnsi="Times New Roman"/>
          <w:b w:val="false"/>
          <w:bCs w:val="false"/>
          <w:i w:val="false"/>
          <w:iCs w:val="false"/>
          <w:sz w:val="24"/>
          <w:szCs w:val="24"/>
        </w:rPr>
        <w:t xml:space="preserve">Across this body of work, a consistent pattern emerges: LLMs perform well on narrow, bounded extraction tasks but poorly on open-ended causal or risk judgement, and very little existing research targets the reconciliation step itself as opposed to adverse event detection after the fact. This project positions itself directly in that gap.</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3. Problem Statement</w:t>
      </w:r>
    </w:p>
    <w:p>
      <w:pPr>
        <w:spacing w:after="140" w:line="360"/>
        <w:jc w:val="both"/>
      </w:pPr>
      <w:r>
        <w:rPr>
          <w:rFonts w:ascii="Times New Roman" w:cs="Times New Roman" w:eastAsia="Times New Roman" w:hAnsi="Times New Roman"/>
          <w:b w:val="false"/>
          <w:bCs w:val="false"/>
          <w:i w:val="false"/>
          <w:iCs w:val="false"/>
          <w:sz w:val="24"/>
          <w:szCs w:val="24"/>
        </w:rPr>
        <w:t xml:space="preserve">Existing approaches to AI-assisted medication safety fall into two categories, each with a distinct weakness. Purely rule-based or database-lookup systems are precise but brittle: they cannot interpret free-text clinical notes and therefore miss context that a human reviewer would catch. Purely LLM-based systems can read unstructured notes fluently but are prone to hallucination and to flagging interactions that do not actually exist, which erodes clinical trust and increases review burden rather than reducing it. There is currently no lightweight, locally deployable system that combines the contextual understanding of an LLM with the precision of a verified interaction database, while remaining auditable enough for a pharmacist to trust and cheap enough to run without dedicated hospital-grade infrastructure. This project addresses that specific gap.</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4. Motivation</w:t>
      </w:r>
    </w:p>
    <w:p>
      <w:pPr>
        <w:spacing w:after="140" w:line="360"/>
        <w:jc w:val="both"/>
      </w:pPr>
      <w:r>
        <w:rPr>
          <w:rFonts w:ascii="Times New Roman" w:cs="Times New Roman" w:eastAsia="Times New Roman" w:hAnsi="Times New Roman"/>
          <w:b w:val="false"/>
          <w:bCs w:val="false"/>
          <w:i w:val="false"/>
          <w:iCs w:val="false"/>
          <w:sz w:val="24"/>
          <w:szCs w:val="24"/>
        </w:rPr>
        <w:t xml:space="preserve">Medication errors are not a rare or abstract statistic. They are one of the most common and most preventable causes of harm in healthcare systems, and the patients most affected are often the ones already most vulnerable: the elderly, the critically ill, and those on multiple concurrent medications. What makes this problem worth solving with AI is precisely that it is a bottleneck of attention, not intelligence. A pharmacist reviewing a discharge summary already knows what to look for; what they lack is the time to cross-check every medication against every other one for every patient, every time. An assistant that reliably narrows their attention to the interactions and discrepancies that actually matter, without either missing danger or crying wolf, has a direct, tangible impact on patient safety.</w:t>
      </w:r>
    </w:p>
    <w:p>
      <w:pPr>
        <w:spacing w:after="140" w:line="360"/>
        <w:jc w:val="both"/>
      </w:pPr>
      <w:r>
        <w:rPr>
          <w:rFonts w:ascii="Times New Roman" w:cs="Times New Roman" w:eastAsia="Times New Roman" w:hAnsi="Times New Roman"/>
          <w:b w:val="false"/>
          <w:bCs w:val="false"/>
          <w:i w:val="false"/>
          <w:iCs w:val="false"/>
          <w:sz w:val="24"/>
          <w:szCs w:val="24"/>
        </w:rPr>
        <w:t xml:space="preserve">This project is motivated by the goal of building something that could plausibly be used, not just demonstrated: a system designed from the ground up to run on ordinary hardware, protect patient privacy by keeping data on-device, and remain transparent enough that a human is always the one making the final call. If the underlying architecture proves sound, it is also intended as the basis for a short research paper, since the design directly responds to gaps identified in current pharmacovigilance literature rather than simply applying an existing method to a new dataset.</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5. Objectives</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Design a two-branch architecture separating LLM-based text extraction from deterministic drug-interaction verification.</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Implement a confidence-weighted fusion layer that combines both branches into a single, explainable risk output.</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Ensure the complete pipeline runs locally on consumer-grade hardware (8GB unified memory) without cloud dependency.</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Build a human-in-the-loop review interface with an auditable confirm/override mechanism for pharmacist oversight.</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Evaluate the system against existing extraction benchmarks and document its performance and limitations honestly.</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6. Gantt Chart</w:t>
      </w:r>
    </w:p>
    <w:p>
      <w:pPr>
        <w:spacing w:after="160" w:line="360"/>
        <w:jc w:val="both"/>
      </w:pPr>
      <w:r>
        <w:rPr>
          <w:rFonts w:ascii="Times New Roman" w:cs="Times New Roman" w:eastAsia="Times New Roman" w:hAnsi="Times New Roman"/>
          <w:b w:val="false"/>
          <w:bCs w:val="false"/>
          <w:i w:val="false"/>
          <w:iCs w:val="false"/>
          <w:sz w:val="24"/>
          <w:szCs w:val="24"/>
        </w:rPr>
        <w:t xml:space="preserve">The project timeline below runs from August 2026 through the final evaluation window, with report and paper writing extending past the formal submission deadline of 24 November 2026 to allow for revision.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Task</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Aug
1-15</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Aug
16-31</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Sep
1-15</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Sep
16-30</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Oct
1-15</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Oct
16-31</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Nov
1-15</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Nov
16-30</w:t>
            </w:r>
          </w:p>
        </w:tc>
        <w:tc>
          <w:tcPr>
            <w:tcW w:type="pct" w:w="9.444444444444445%"/>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r>
              <w:rPr>
                <w:rFonts w:ascii="Times New Roman" w:cs="Times New Roman" w:eastAsia="Times New Roman" w:hAnsi="Times New Roman"/>
                <w:b/>
                <w:bCs/>
                <w:color w:val="FFFFFF"/>
                <w:sz w:val="20"/>
                <w:szCs w:val="20"/>
              </w:rPr>
              <w:t xml:space="preserve">Dec
1-15</w:t>
            </w:r>
          </w:p>
        </w:tc>
      </w:tr>
      <w:tr>
        <w:trPr>
          <w:cantSplit/>
        </w:trPr>
        <w:tc>
          <w:tcPr>
            <w:tcW w:type="pct" w:w="15%"/>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6"/>
                <w:szCs w:val="16"/>
              </w:rPr>
              <w:t xml:space="preserve">Project area ID</w:t>
            </w: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r>
      <w:tr>
        <w:trPr>
          <w:cantSplit/>
        </w:trPr>
        <w:tc>
          <w:tcPr>
            <w:tcW w:type="pct" w:w="15%"/>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6"/>
                <w:szCs w:val="16"/>
              </w:rPr>
              <w:t xml:space="preserve">Synopsis submission</w:t>
            </w: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4"/>
                <w:szCs w:val="14"/>
              </w:rPr>
              <w:t xml:space="preserve">◆</w:t>
            </w: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r>
      <w:tr>
        <w:trPr>
          <w:cantSplit/>
        </w:trPr>
        <w:tc>
          <w:tcPr>
            <w:tcW w:type="pct" w:w="15%"/>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6"/>
                <w:szCs w:val="16"/>
              </w:rPr>
              <w:t xml:space="preserve">Lit. review</w:t>
            </w: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r>
      <w:tr>
        <w:trPr>
          <w:cantSplit/>
        </w:trPr>
        <w:tc>
          <w:tcPr>
            <w:tcW w:type="pct" w:w="15%"/>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6"/>
                <w:szCs w:val="16"/>
              </w:rPr>
              <w:t xml:space="preserve">Design</w:t>
            </w: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r>
      <w:tr>
        <w:trPr>
          <w:cantSplit/>
        </w:trPr>
        <w:tc>
          <w:tcPr>
            <w:tcW w:type="pct" w:w="15%"/>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6"/>
                <w:szCs w:val="16"/>
              </w:rPr>
              <w:t xml:space="preserve">Implementation</w:t>
            </w: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r>
      <w:tr>
        <w:trPr>
          <w:cantSplit/>
        </w:trPr>
        <w:tc>
          <w:tcPr>
            <w:tcW w:type="pct" w:w="15%"/>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6"/>
                <w:szCs w:val="16"/>
              </w:rPr>
              <w:t xml:space="preserve">Fine-tuning</w:t>
            </w: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r>
      <w:tr>
        <w:trPr>
          <w:cantSplit/>
        </w:trPr>
        <w:tc>
          <w:tcPr>
            <w:tcW w:type="pct" w:w="15%"/>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spacing w:line="300"/>
            </w:pPr>
            <w:r>
              <w:rPr>
                <w:rFonts w:ascii="Times New Roman" w:cs="Times New Roman" w:eastAsia="Times New Roman" w:hAnsi="Times New Roman"/>
                <w:b/>
                <w:bCs/>
                <w:sz w:val="16"/>
                <w:szCs w:val="16"/>
              </w:rPr>
              <w:t xml:space="preserve">Report &amp; paper</w:t>
            </w: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shd w:fill="000000" w:val="clear"/>
            <w:tcMar>
              <w:top w:type="dxa" w:w="60"/>
              <w:left w:type="dxa" w:w="90"/>
              <w:bottom w:type="dxa" w:w="60"/>
              <w:right w:type="dxa" w:w="90"/>
            </w:tcMar>
            <w:vAlign w:val="center"/>
          </w:tcPr>
          <w:p>
            <w:pPr>
              <w:jc w:val="center"/>
            </w:pPr>
          </w:p>
        </w:tc>
        <w:tc>
          <w:tcPr>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r>
              <w:rPr>
                <w:rFonts w:ascii="Times New Roman" w:cs="Times New Roman" w:eastAsia="Times New Roman" w:hAnsi="Times New Roman"/>
                <w:b/>
                <w:bCs/>
                <w:color w:val="000000"/>
                <w:sz w:val="20"/>
                <w:szCs w:val="20"/>
              </w:rPr>
              <w:t xml:space="preserve">×</w:t>
            </w:r>
          </w:p>
        </w:tc>
      </w:tr>
    </w:tbl>
    <w:p>
      <w:pPr>
        <w:spacing w:after="200" w:line="360"/>
        <w:jc w:val="both"/>
      </w:pPr>
      <w:r>
        <w:rPr>
          <w:rFonts w:ascii="Times New Roman" w:cs="Times New Roman" w:eastAsia="Times New Roman" w:hAnsi="Times New Roman"/>
          <w:b/>
          <w:bCs/>
          <w:sz w:val="18"/>
          <w:szCs w:val="18"/>
        </w:rPr>
        <w:t xml:space="preserve">Legend: </w:t>
      </w:r>
      <w:r>
        <w:rPr>
          <w:rFonts w:ascii="Times New Roman" w:cs="Times New Roman" w:eastAsia="Times New Roman" w:hAnsi="Times New Roman"/>
          <w:sz w:val="18"/>
          <w:szCs w:val="18"/>
        </w:rPr>
        <w:t xml:space="preserve">solid black = active work  •  black diamond = milestone (synopsis submission)  •  × marker = buffer period beyond the 24 Nov evaluation date for revisions.</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7. Hardware and Software Requirements</w:t>
      </w:r>
    </w:p>
    <w:p>
      <w:pPr>
        <w:spacing w:after="60" w:line="360"/>
        <w:jc w:val="both"/>
      </w:pPr>
      <w:r>
        <w:rPr>
          <w:rFonts w:ascii="Times New Roman" w:cs="Times New Roman" w:eastAsia="Times New Roman" w:hAnsi="Times New Roman"/>
          <w:b/>
          <w:bCs/>
          <w:i w:val="false"/>
          <w:iCs w:val="false"/>
          <w:sz w:val="24"/>
          <w:szCs w:val="24"/>
        </w:rPr>
        <w:t xml:space="preserve">Hardware:</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Laptop, 8GB unified memory</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No dedicated GPU/accelerator required</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Internet access (development only, not required at inference)</w:t>
      </w:r>
    </w:p>
    <w:p>
      <w:pPr>
        <w:spacing w:after="60" w:line="360"/>
        <w:jc w:val="both"/>
      </w:pPr>
      <w:r>
        <w:rPr>
          <w:rFonts w:ascii="Times New Roman" w:cs="Times New Roman" w:eastAsia="Times New Roman" w:hAnsi="Times New Roman"/>
          <w:b/>
          <w:bCs/>
          <w:i w:val="false"/>
          <w:iCs w:val="false"/>
          <w:sz w:val="24"/>
          <w:szCs w:val="24"/>
        </w:rPr>
        <w:t xml:space="preserve">Software:</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Python 3.10+</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Ollama (local LLM runtime – Llama 3.2 3B / Phi-3-mini)</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scispaCy</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scikit-learn, XGBoost / LightGBM</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pandas, NumPy</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Streamlit</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Git / GitHub</w:t>
      </w:r>
    </w:p>
    <w:p>
      <w:pPr>
        <w:spacing w:after="60" w:line="360"/>
        <w:jc w:val="both"/>
      </w:pPr>
      <w:r>
        <w:rPr>
          <w:rFonts w:ascii="Times New Roman" w:cs="Times New Roman" w:eastAsia="Times New Roman" w:hAnsi="Times New Roman"/>
          <w:b/>
          <w:bCs/>
          <w:i w:val="false"/>
          <w:iCs w:val="false"/>
          <w:sz w:val="24"/>
          <w:szCs w:val="24"/>
        </w:rPr>
        <w:t xml:space="preserve">Datasets:</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n2c2 2018 Track 2 (ADE + Medication Extraction)</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MIMIC-III (PhysioNet)</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FDA FAERS (openFDA)</w:t>
      </w:r>
    </w:p>
    <w:p>
      <w:pPr>
        <w:pStyle w:val="ListParagraph"/>
        <w:numPr>
          <w:ilvl w:val="0"/>
          <w:numId w:val="1"/>
        </w:numPr>
        <w:spacing w:after="100" w:line="360"/>
        <w:ind w:left="400"/>
      </w:pPr>
      <w:r>
        <w:rPr>
          <w:rFonts w:ascii="Times New Roman" w:cs="Times New Roman" w:eastAsia="Times New Roman" w:hAnsi="Times New Roman"/>
          <w:b w:val="false"/>
          <w:bCs w:val="false"/>
          <w:i w:val="false"/>
          <w:iCs w:val="false"/>
          <w:sz w:val="24"/>
          <w:szCs w:val="24"/>
        </w:rPr>
        <w:t xml:space="preserve">DrugBank (DDI pairs)</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8. Expected Outcome</w:t>
      </w:r>
    </w:p>
    <w:p>
      <w:pPr>
        <w:spacing w:after="140" w:line="360"/>
        <w:jc w:val="both"/>
      </w:pPr>
      <w:r>
        <w:rPr>
          <w:rFonts w:ascii="Times New Roman" w:cs="Times New Roman" w:eastAsia="Times New Roman" w:hAnsi="Times New Roman"/>
          <w:b w:val="false"/>
          <w:bCs w:val="false"/>
          <w:i w:val="false"/>
          <w:iCs w:val="false"/>
          <w:sz w:val="24"/>
          <w:szCs w:val="24"/>
        </w:rPr>
        <w:t xml:space="preserve">The expected deliverable is a working end-to-end prototype: a pipeline that extracts medications from unstructured clinical text, verifies them against a curated interaction database, produces a confidence-weighted risk report, and surfaces it through a reviewable dashboard, evaluated on the datasets listed above and documented alongside an honest account of its limitations. If results are strong enough, the same work will be adapted into a short research paper positioning it against the gaps identified in current pharmacovigilance literature.</w:t>
      </w:r>
    </w:p>
    <w:p>
      <w:pPr>
        <w:pBdr>
          <w:bottom w:val="single" w:color="000000" w:sz="6" w:space="4"/>
        </w:pBdr>
        <w:spacing w:after="140" w:before="240" w:line="360"/>
      </w:pPr>
      <w:r>
        <w:rPr>
          <w:rFonts w:ascii="Times New Roman" w:cs="Times New Roman" w:eastAsia="Times New Roman" w:hAnsi="Times New Roman"/>
          <w:b/>
          <w:bCs/>
          <w:color w:val="000000"/>
          <w:sz w:val="28"/>
          <w:szCs w:val="28"/>
        </w:rPr>
        <w:t xml:space="preserve">9. References</w:t>
      </w:r>
    </w:p>
    <w:p>
      <w:pPr>
        <w:spacing w:after="120" w:line="300"/>
        <w:ind w:left="400" w:hanging="400"/>
        <w:jc w:val="both"/>
      </w:pPr>
      <w:r>
        <w:rPr>
          <w:rFonts w:ascii="Times New Roman" w:cs="Times New Roman" w:eastAsia="Times New Roman" w:hAnsi="Times New Roman"/>
          <w:sz w:val="20"/>
          <w:szCs w:val="20"/>
        </w:rPr>
        <w:t xml:space="preserve">1. Henry, S., Buchan, K., Filannino, M., Stubbs, A., &amp; Uzuner, Ö. (2020). 2018 n2c2 shared task on adverse drug events and medication extraction in electronic health records. Journal of the American Medical Informatics Association, 27(1), 3–12.</w:t>
      </w:r>
    </w:p>
    <w:p>
      <w:pPr>
        <w:spacing w:after="120" w:line="300"/>
        <w:ind w:left="400" w:hanging="400"/>
        <w:jc w:val="both"/>
      </w:pPr>
      <w:r>
        <w:rPr>
          <w:rFonts w:ascii="Times New Roman" w:cs="Times New Roman" w:eastAsia="Times New Roman" w:hAnsi="Times New Roman"/>
          <w:sz w:val="20"/>
          <w:szCs w:val="20"/>
        </w:rPr>
        <w:t xml:space="preserve">2. Ju, M., Nguyen, N. T. H., Miwa, M., &amp; Ananiadou, S. (2020). An ensemble of neural models for nested adverse drug events and medication extraction with subwords. Journal of the American Medical Informatics Association, 27(1), 22–30.</w:t>
      </w:r>
    </w:p>
    <w:p>
      <w:pPr>
        <w:spacing w:after="120" w:line="300"/>
        <w:ind w:left="400" w:hanging="400"/>
        <w:jc w:val="both"/>
      </w:pPr>
      <w:r>
        <w:rPr>
          <w:rFonts w:ascii="Times New Roman" w:cs="Times New Roman" w:eastAsia="Times New Roman" w:hAnsi="Times New Roman"/>
          <w:sz w:val="20"/>
          <w:szCs w:val="20"/>
        </w:rPr>
        <w:t xml:space="preserve">3. Christopoulou, F., Tran, T. T., Sahu, S. K., Miwa, M., &amp; Ananiadou, S. (2020). Adverse drug events and medication relation extraction in electronic health records with ensemble deep learning methods. Journal of the American Medical Informatics Association, 27(1), 39–46.</w:t>
      </w:r>
    </w:p>
    <w:p>
      <w:pPr>
        <w:spacing w:after="120" w:line="300"/>
        <w:ind w:left="400" w:hanging="400"/>
        <w:jc w:val="both"/>
      </w:pPr>
      <w:r>
        <w:rPr>
          <w:rFonts w:ascii="Times New Roman" w:cs="Times New Roman" w:eastAsia="Times New Roman" w:hAnsi="Times New Roman"/>
          <w:sz w:val="20"/>
          <w:szCs w:val="20"/>
        </w:rPr>
        <w:t xml:space="preserve">4. Kim, T. Y., Oh, W.-S., &amp; Jeong, D.-H. (2026). Large language models in adverse drug reaction detection and pharmacovigilance: A systematic review of current applications, challenges, and future directions. Diagnostics, 16(15), 2435.</w:t>
      </w:r>
    </w:p>
    <w:p>
      <w:pPr>
        <w:spacing w:after="120" w:line="300"/>
        <w:ind w:left="400" w:hanging="400"/>
        <w:jc w:val="both"/>
      </w:pPr>
      <w:r>
        <w:rPr>
          <w:rFonts w:ascii="Times New Roman" w:cs="Times New Roman" w:eastAsia="Times New Roman" w:hAnsi="Times New Roman"/>
          <w:sz w:val="20"/>
          <w:szCs w:val="20"/>
        </w:rPr>
        <w:t xml:space="preserve">5. Yao, X., Rao, A. A., &amp; Padman, R. (2025). Analytical approaches for medication reconciliation-related topics: A scoping review. medRxiv. https://doi.org/10.1101/2025.03.16.25324060</w:t>
      </w:r>
    </w:p>
    <w:p>
      <w:pPr>
        <w:spacing w:after="120" w:line="300"/>
        <w:ind w:left="400" w:hanging="400"/>
        <w:jc w:val="both"/>
      </w:pPr>
      <w:r>
        <w:rPr>
          <w:rFonts w:ascii="Times New Roman" w:cs="Times New Roman" w:eastAsia="Times New Roman" w:hAnsi="Times New Roman"/>
          <w:sz w:val="20"/>
          <w:szCs w:val="20"/>
        </w:rPr>
        <w:t xml:space="preserve">6. Ong, J. C. L., Chen, M. H., Ng, N., et al. (2025). A scoping review on generative AI and large language models in mitigating medication related harm. npj Digital Medicine, 8, 182.</w:t>
      </w:r>
    </w:p>
    <w:p>
      <w:pPr>
        <w:spacing w:after="120" w:line="300"/>
        <w:ind w:left="400" w:hanging="400"/>
        <w:jc w:val="both"/>
      </w:pPr>
      <w:r>
        <w:rPr>
          <w:rFonts w:ascii="Times New Roman" w:cs="Times New Roman" w:eastAsia="Times New Roman" w:hAnsi="Times New Roman"/>
          <w:sz w:val="20"/>
          <w:szCs w:val="20"/>
        </w:rPr>
        <w:t xml:space="preserve">7. Wiest, I. C., Ferber, D., Zhu, J., van Treeck, M., Meyer, S. K., Juglan, R., Carrero, Z. I., Paech, D., Kleesiek, J., Ebert, M. P., Truhn, D., &amp; Kather, J. N. (2024). Privacy-preserving large language models for structured medical information retrieval. npj Digital Medicine, 7, 257.</w:t>
      </w:r>
    </w:p>
    <w:p>
      <w:pPr>
        <w:spacing w:after="120" w:line="300"/>
        <w:ind w:left="400" w:hanging="400"/>
        <w:jc w:val="both"/>
      </w:pPr>
      <w:r>
        <w:rPr>
          <w:rFonts w:ascii="Times New Roman" w:cs="Times New Roman" w:eastAsia="Times New Roman" w:hAnsi="Times New Roman"/>
          <w:sz w:val="20"/>
          <w:szCs w:val="20"/>
        </w:rPr>
        <w:t xml:space="preserve">8. Kim, J., Kim, J. H., &amp; Choi, A. (2026). End-to-end pipeline integrating local small language models and machine learning for data extraction and stroke outcome prediction in emergency department. Computational and Structural Biotechnology Journal, 35(2), 0064.</w:t>
      </w:r>
    </w:p>
    <w:p>
      <w:pPr>
        <w:spacing w:after="120" w:line="300"/>
        <w:ind w:left="400" w:hanging="400"/>
        <w:jc w:val="both"/>
      </w:pPr>
      <w:r>
        <w:rPr>
          <w:rFonts w:ascii="Times New Roman" w:cs="Times New Roman" w:eastAsia="Times New Roman" w:hAnsi="Times New Roman"/>
          <w:sz w:val="20"/>
          <w:szCs w:val="20"/>
        </w:rPr>
        <w:t xml:space="preserve">9. Shtar, G., Rokach, L., &amp; Shapira, B. (2019). Detecting drug-drug interactions using artificial neural networks and classic graph similarity measures. PLOS ONE, 14(8), e0219796.</w:t>
      </w:r>
    </w:p>
    <w:p>
      <w:pPr>
        <w:spacing w:after="120" w:line="300"/>
        <w:ind w:left="400" w:hanging="400"/>
        <w:jc w:val="both"/>
      </w:pPr>
      <w:r>
        <w:rPr>
          <w:rFonts w:ascii="Times New Roman" w:cs="Times New Roman" w:eastAsia="Times New Roman" w:hAnsi="Times New Roman"/>
          <w:sz w:val="20"/>
          <w:szCs w:val="20"/>
        </w:rPr>
        <w:t xml:space="preserve">10. Gupta, S., Laghuvarapu, S., &amp; Priyakumar, U. D. (2024). GraphDDI: Graph neural network for prediction of drug-drug interaction. In Artificial Intelligence in Healthcare (AIiH 2024), Lecture Notes in Computer Science, vol. 14975. Springer, Cham.</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7bbd570bfe5c3e6b089ec8e105faea1ec47f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2026-09-08T05:50:38.437Z</dcterms:created>
  <dcterms:modified xsi:type="dcterms:W3CDTF">2026-09-08T05:50:38.447Z</dcterms:modified>
</cp:coreProperties>
</file>

<file path=docProps/custom.xml><?xml version="1.0" encoding="utf-8"?>
<Properties xmlns="http://schemas.openxmlformats.org/officeDocument/2006/custom-properties" xmlns:vt="http://schemas.openxmlformats.org/officeDocument/2006/docPropsVTypes"/>
</file>