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A59868" w14:textId="77777777" w:rsidR="00AB2FF2" w:rsidRDefault="00000000">
      <w:pPr>
        <w:spacing w:after="40"/>
        <w:jc w:val="center"/>
      </w:pPr>
      <w:r>
        <w:rPr>
          <w:b/>
          <w:bCs/>
          <w:color w:val="1F3864"/>
          <w:sz w:val="26"/>
          <w:szCs w:val="26"/>
        </w:rPr>
        <w:t>BHAWANA CAPITAL PRIVATE LIMITED</w:t>
      </w:r>
    </w:p>
    <w:p w14:paraId="09D4932B" w14:textId="77777777" w:rsidR="00AB2FF2" w:rsidRDefault="00000000">
      <w:pPr>
        <w:pBdr>
          <w:bottom w:val="single" w:sz="6" w:space="6" w:color="1F3864"/>
        </w:pBdr>
        <w:spacing w:after="160"/>
        <w:jc w:val="center"/>
      </w:pPr>
      <w:r>
        <w:rPr>
          <w:b/>
          <w:bCs/>
          <w:sz w:val="24"/>
          <w:szCs w:val="24"/>
        </w:rPr>
        <w:t>INTEREST RATES AND SERVICE CHARGES</w:t>
      </w:r>
    </w:p>
    <w:p w14:paraId="3B1E93BD" w14:textId="77777777" w:rsidR="00AB2FF2" w:rsidRDefault="00000000">
      <w:pPr>
        <w:spacing w:after="120"/>
      </w:pPr>
      <w:r>
        <w:t>This disclosure is made under Paragraphs 23 and 30(6) of the Reserve Bank of India (Non-Banking Financial Companies – Responsible Business Conduct) Directions, 2025, and is updated whenever there is a change in the rates of interest or charges. All rates and charges applicable to a specific loan are disclosed in the Key Fact Statement (“KFS”) provided to the borrower before execution of the loan contract.</w:t>
      </w:r>
    </w:p>
    <w:p w14:paraId="1F169F91" w14:textId="77777777" w:rsidR="00AB2FF2" w:rsidRDefault="00000000">
      <w:pPr>
        <w:spacing w:before="200" w:after="100"/>
      </w:pPr>
      <w:r>
        <w:rPr>
          <w:b/>
          <w:bCs/>
          <w:color w:val="1F3864"/>
          <w:sz w:val="24"/>
          <w:szCs w:val="24"/>
        </w:rPr>
        <w:t>1. Rates of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AB2FF2" w14:paraId="3A588DBF" w14:textId="77777777">
        <w:tblPrEx>
          <w:tblCellMar>
            <w:top w:w="0" w:type="dxa"/>
            <w:bottom w:w="0" w:type="dxa"/>
          </w:tblCellMar>
        </w:tblPrEx>
        <w:trPr>
          <w:cantSplit/>
          <w:tblHeader/>
        </w:trPr>
        <w:tc>
          <w:tcPr>
            <w:tcW w:w="3300" w:type="dxa"/>
            <w:shd w:val="clear" w:color="auto" w:fill="D9E2F3"/>
            <w:tcMar>
              <w:top w:w="60" w:type="dxa"/>
              <w:left w:w="100" w:type="dxa"/>
              <w:bottom w:w="60" w:type="dxa"/>
              <w:right w:w="100" w:type="dxa"/>
            </w:tcMar>
            <w:vAlign w:val="center"/>
          </w:tcPr>
          <w:p w14:paraId="41F4325A" w14:textId="77777777" w:rsidR="00AB2FF2" w:rsidRDefault="00000000">
            <w:r>
              <w:rPr>
                <w:b/>
                <w:bCs/>
              </w:rPr>
              <w:t>Particulars</w:t>
            </w:r>
          </w:p>
        </w:tc>
        <w:tc>
          <w:tcPr>
            <w:tcW w:w="6060" w:type="dxa"/>
            <w:shd w:val="clear" w:color="auto" w:fill="D9E2F3"/>
            <w:tcMar>
              <w:top w:w="60" w:type="dxa"/>
              <w:left w:w="100" w:type="dxa"/>
              <w:bottom w:w="60" w:type="dxa"/>
              <w:right w:w="100" w:type="dxa"/>
            </w:tcMar>
            <w:vAlign w:val="center"/>
          </w:tcPr>
          <w:p w14:paraId="503C74C5" w14:textId="77777777" w:rsidR="00AB2FF2" w:rsidRDefault="00000000">
            <w:r>
              <w:rPr>
                <w:b/>
                <w:bCs/>
              </w:rPr>
              <w:t>Details</w:t>
            </w:r>
          </w:p>
        </w:tc>
      </w:tr>
      <w:tr w:rsidR="00AB2FF2" w14:paraId="166C48B1" w14:textId="77777777">
        <w:tblPrEx>
          <w:tblCellMar>
            <w:top w:w="0" w:type="dxa"/>
            <w:bottom w:w="0" w:type="dxa"/>
          </w:tblCellMar>
        </w:tblPrEx>
        <w:trPr>
          <w:cantSplit/>
        </w:trPr>
        <w:tc>
          <w:tcPr>
            <w:tcW w:w="3300" w:type="dxa"/>
            <w:tcMar>
              <w:top w:w="60" w:type="dxa"/>
              <w:left w:w="100" w:type="dxa"/>
              <w:bottom w:w="60" w:type="dxa"/>
              <w:right w:w="100" w:type="dxa"/>
            </w:tcMar>
            <w:vAlign w:val="center"/>
          </w:tcPr>
          <w:p w14:paraId="7242AC9A" w14:textId="77777777" w:rsidR="00AB2FF2" w:rsidRDefault="00000000">
            <w:r>
              <w:t>Products</w:t>
            </w:r>
          </w:p>
        </w:tc>
        <w:tc>
          <w:tcPr>
            <w:tcW w:w="6060" w:type="dxa"/>
            <w:tcMar>
              <w:top w:w="60" w:type="dxa"/>
              <w:left w:w="100" w:type="dxa"/>
              <w:bottom w:w="60" w:type="dxa"/>
              <w:right w:w="100" w:type="dxa"/>
            </w:tcMar>
            <w:vAlign w:val="center"/>
          </w:tcPr>
          <w:p w14:paraId="02E49672" w14:textId="77777777" w:rsidR="00AB2FF2" w:rsidRDefault="00000000">
            <w:r>
              <w:t>Small-ticket unsecured personal loans and instalment products, offered through a fully digital process</w:t>
            </w:r>
          </w:p>
        </w:tc>
      </w:tr>
      <w:tr w:rsidR="00AB2FF2" w14:paraId="4E32BB37" w14:textId="77777777">
        <w:tblPrEx>
          <w:tblCellMar>
            <w:top w:w="0" w:type="dxa"/>
            <w:bottom w:w="0" w:type="dxa"/>
          </w:tblCellMar>
        </w:tblPrEx>
        <w:trPr>
          <w:cantSplit/>
        </w:trPr>
        <w:tc>
          <w:tcPr>
            <w:tcW w:w="3300" w:type="dxa"/>
            <w:tcMar>
              <w:top w:w="60" w:type="dxa"/>
              <w:left w:w="100" w:type="dxa"/>
              <w:bottom w:w="60" w:type="dxa"/>
              <w:right w:w="100" w:type="dxa"/>
            </w:tcMar>
            <w:vAlign w:val="center"/>
          </w:tcPr>
          <w:p w14:paraId="532D6766" w14:textId="77777777" w:rsidR="00AB2FF2" w:rsidRDefault="00000000">
            <w:r>
              <w:t>Rate of interest (per annum)</w:t>
            </w:r>
          </w:p>
        </w:tc>
        <w:tc>
          <w:tcPr>
            <w:tcW w:w="6060" w:type="dxa"/>
            <w:tcMar>
              <w:top w:w="60" w:type="dxa"/>
              <w:left w:w="100" w:type="dxa"/>
              <w:bottom w:w="60" w:type="dxa"/>
              <w:right w:w="100" w:type="dxa"/>
            </w:tcMar>
            <w:vAlign w:val="center"/>
          </w:tcPr>
          <w:p w14:paraId="0FE48E46" w14:textId="77777777" w:rsidR="00AB2FF2" w:rsidRDefault="00000000">
            <w:r>
              <w:t>17.95% – 36.00%, fixed, computed on a reducing-balance basis and expressed as an annualised rate</w:t>
            </w:r>
          </w:p>
        </w:tc>
      </w:tr>
      <w:tr w:rsidR="00AB2FF2" w14:paraId="57477E80" w14:textId="77777777">
        <w:tblPrEx>
          <w:tblCellMar>
            <w:top w:w="0" w:type="dxa"/>
            <w:bottom w:w="0" w:type="dxa"/>
          </w:tblCellMar>
        </w:tblPrEx>
        <w:trPr>
          <w:cantSplit/>
        </w:trPr>
        <w:tc>
          <w:tcPr>
            <w:tcW w:w="3300" w:type="dxa"/>
            <w:tcMar>
              <w:top w:w="60" w:type="dxa"/>
              <w:left w:w="100" w:type="dxa"/>
              <w:bottom w:w="60" w:type="dxa"/>
              <w:right w:w="100" w:type="dxa"/>
            </w:tcMar>
            <w:vAlign w:val="center"/>
          </w:tcPr>
          <w:p w14:paraId="0B451822" w14:textId="77777777" w:rsidR="00AB2FF2" w:rsidRDefault="00000000">
            <w:r>
              <w:t>Annual Percentage Rate (APR)</w:t>
            </w:r>
          </w:p>
        </w:tc>
        <w:tc>
          <w:tcPr>
            <w:tcW w:w="6060" w:type="dxa"/>
            <w:tcMar>
              <w:top w:w="60" w:type="dxa"/>
              <w:left w:w="100" w:type="dxa"/>
              <w:bottom w:w="60" w:type="dxa"/>
              <w:right w:w="100" w:type="dxa"/>
            </w:tcMar>
            <w:vAlign w:val="center"/>
          </w:tcPr>
          <w:p w14:paraId="74BB7A15" w14:textId="77777777" w:rsidR="00AB2FF2" w:rsidRDefault="00000000">
            <w:r>
              <w:t>As disclosed in the KFS for each loan; the APR includes the interest and all charges levied by the Company, computed on the net disbursed amount</w:t>
            </w:r>
          </w:p>
        </w:tc>
      </w:tr>
      <w:tr w:rsidR="00AB2FF2" w14:paraId="4647DCCE" w14:textId="77777777">
        <w:tblPrEx>
          <w:tblCellMar>
            <w:top w:w="0" w:type="dxa"/>
            <w:bottom w:w="0" w:type="dxa"/>
          </w:tblCellMar>
        </w:tblPrEx>
        <w:trPr>
          <w:cantSplit/>
        </w:trPr>
        <w:tc>
          <w:tcPr>
            <w:tcW w:w="3300" w:type="dxa"/>
            <w:tcMar>
              <w:top w:w="60" w:type="dxa"/>
              <w:left w:w="100" w:type="dxa"/>
              <w:bottom w:w="60" w:type="dxa"/>
              <w:right w:w="100" w:type="dxa"/>
            </w:tcMar>
            <w:vAlign w:val="center"/>
          </w:tcPr>
          <w:p w14:paraId="6CCCCC8A" w14:textId="77777777" w:rsidR="00AB2FF2" w:rsidRDefault="00000000">
            <w:r>
              <w:t>Approach for gradation of risk</w:t>
            </w:r>
          </w:p>
        </w:tc>
        <w:tc>
          <w:tcPr>
            <w:tcW w:w="6060" w:type="dxa"/>
            <w:tcMar>
              <w:top w:w="60" w:type="dxa"/>
              <w:left w:w="100" w:type="dxa"/>
              <w:bottom w:w="60" w:type="dxa"/>
              <w:right w:w="100" w:type="dxa"/>
            </w:tcMar>
            <w:vAlign w:val="center"/>
          </w:tcPr>
          <w:p w14:paraId="07CFB463" w14:textId="77777777" w:rsidR="00AB2FF2" w:rsidRDefault="00000000">
            <w:r>
              <w:t>Each borrower is allotted a credit grade through a system-driven credit assessment based on, among other factors, the credit-bureau record and repayment history, income source and repayment capacity, existing indebtedness, and the product type and tenor. The rate of interest is differentiated by credit grade; borrowers with stronger credit profiles are offered lower rates</w:t>
            </w:r>
          </w:p>
        </w:tc>
      </w:tr>
    </w:tbl>
    <w:p w14:paraId="4DEEB66F" w14:textId="77777777" w:rsidR="00AB2FF2" w:rsidRDefault="00000000">
      <w:pPr>
        <w:spacing w:before="200" w:after="100"/>
      </w:pPr>
      <w:r>
        <w:rPr>
          <w:b/>
          <w:bCs/>
          <w:color w:val="1F3864"/>
          <w:sz w:val="24"/>
          <w:szCs w:val="24"/>
        </w:rPr>
        <w:t>2. Service 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2FF2" w14:paraId="30BADB09" w14:textId="77777777">
        <w:tblPrEx>
          <w:tblCellMar>
            <w:top w:w="0" w:type="dxa"/>
            <w:bottom w:w="0" w:type="dxa"/>
          </w:tblCellMar>
        </w:tblPrEx>
        <w:trPr>
          <w:cantSplit/>
          <w:tblHeader/>
        </w:trPr>
        <w:tc>
          <w:tcPr>
            <w:tcW w:w="3600" w:type="dxa"/>
            <w:shd w:val="clear" w:color="auto" w:fill="D9E2F3"/>
            <w:tcMar>
              <w:top w:w="60" w:type="dxa"/>
              <w:left w:w="100" w:type="dxa"/>
              <w:bottom w:w="60" w:type="dxa"/>
              <w:right w:w="100" w:type="dxa"/>
            </w:tcMar>
            <w:vAlign w:val="center"/>
          </w:tcPr>
          <w:p w14:paraId="59D993DE" w14:textId="77777777" w:rsidR="00AB2FF2" w:rsidRDefault="00000000">
            <w:r>
              <w:rPr>
                <w:b/>
                <w:bCs/>
              </w:rPr>
              <w:t>Charge</w:t>
            </w:r>
          </w:p>
        </w:tc>
        <w:tc>
          <w:tcPr>
            <w:tcW w:w="5760" w:type="dxa"/>
            <w:shd w:val="clear" w:color="auto" w:fill="D9E2F3"/>
            <w:tcMar>
              <w:top w:w="60" w:type="dxa"/>
              <w:left w:w="100" w:type="dxa"/>
              <w:bottom w:w="60" w:type="dxa"/>
              <w:right w:w="100" w:type="dxa"/>
            </w:tcMar>
            <w:vAlign w:val="center"/>
          </w:tcPr>
          <w:p w14:paraId="0B0A99CC" w14:textId="77777777" w:rsidR="00AB2FF2" w:rsidRDefault="00000000">
            <w:r>
              <w:rPr>
                <w:b/>
                <w:bCs/>
              </w:rPr>
              <w:t>Amount</w:t>
            </w:r>
          </w:p>
        </w:tc>
      </w:tr>
      <w:tr w:rsidR="00AB2FF2" w14:paraId="0A0491C0" w14:textId="77777777">
        <w:tblPrEx>
          <w:tblCellMar>
            <w:top w:w="0" w:type="dxa"/>
            <w:bottom w:w="0" w:type="dxa"/>
          </w:tblCellMar>
        </w:tblPrEx>
        <w:trPr>
          <w:cantSplit/>
        </w:trPr>
        <w:tc>
          <w:tcPr>
            <w:tcW w:w="3600" w:type="dxa"/>
            <w:tcMar>
              <w:top w:w="60" w:type="dxa"/>
              <w:left w:w="100" w:type="dxa"/>
              <w:bottom w:w="60" w:type="dxa"/>
              <w:right w:w="100" w:type="dxa"/>
            </w:tcMar>
            <w:vAlign w:val="center"/>
          </w:tcPr>
          <w:p w14:paraId="0B71BD64" w14:textId="77777777" w:rsidR="00AB2FF2" w:rsidRDefault="00000000">
            <w:r>
              <w:t>Processing fee</w:t>
            </w:r>
          </w:p>
        </w:tc>
        <w:tc>
          <w:tcPr>
            <w:tcW w:w="5760" w:type="dxa"/>
            <w:tcMar>
              <w:top w:w="60" w:type="dxa"/>
              <w:left w:w="100" w:type="dxa"/>
              <w:bottom w:w="60" w:type="dxa"/>
              <w:right w:w="100" w:type="dxa"/>
            </w:tcMar>
            <w:vAlign w:val="center"/>
          </w:tcPr>
          <w:p w14:paraId="257B65FE" w14:textId="77777777" w:rsidR="00AB2FF2" w:rsidRDefault="00000000">
            <w:r>
              <w:t>Up to 8% of the loan amount, plus applicable GST, as disclosed in the KFS</w:t>
            </w:r>
          </w:p>
        </w:tc>
      </w:tr>
      <w:tr w:rsidR="00AB2FF2" w14:paraId="3A16C1D2" w14:textId="77777777">
        <w:tblPrEx>
          <w:tblCellMar>
            <w:top w:w="0" w:type="dxa"/>
            <w:bottom w:w="0" w:type="dxa"/>
          </w:tblCellMar>
        </w:tblPrEx>
        <w:trPr>
          <w:cantSplit/>
        </w:trPr>
        <w:tc>
          <w:tcPr>
            <w:tcW w:w="3600" w:type="dxa"/>
            <w:tcMar>
              <w:top w:w="60" w:type="dxa"/>
              <w:left w:w="100" w:type="dxa"/>
              <w:bottom w:w="60" w:type="dxa"/>
              <w:right w:w="100" w:type="dxa"/>
            </w:tcMar>
            <w:vAlign w:val="center"/>
          </w:tcPr>
          <w:p w14:paraId="6C58295F" w14:textId="77777777" w:rsidR="00AB2FF2" w:rsidRDefault="00000000">
            <w:r>
              <w:t>Penal charge for late payment</w:t>
            </w:r>
          </w:p>
        </w:tc>
        <w:tc>
          <w:tcPr>
            <w:tcW w:w="5760" w:type="dxa"/>
            <w:tcMar>
              <w:top w:w="60" w:type="dxa"/>
              <w:left w:w="100" w:type="dxa"/>
              <w:bottom w:w="60" w:type="dxa"/>
              <w:right w:w="100" w:type="dxa"/>
            </w:tcMar>
            <w:vAlign w:val="center"/>
          </w:tcPr>
          <w:p w14:paraId="0D380B50" w14:textId="77777777" w:rsidR="00AB2FF2" w:rsidRDefault="00000000">
            <w:r>
              <w:t>Levied per day on each overdue instalment (EMI/EWI) on the amount under default, as per the Schedule of Penal Charges at Section 3 below, subject to a per-instalment cap and an overall cap per loan, plus applicable GST, and as disclosed in the KFS</w:t>
            </w:r>
          </w:p>
        </w:tc>
      </w:tr>
      <w:tr w:rsidR="00AB2FF2" w14:paraId="7D3CEAC4" w14:textId="77777777">
        <w:tblPrEx>
          <w:tblCellMar>
            <w:top w:w="0" w:type="dxa"/>
            <w:bottom w:w="0" w:type="dxa"/>
          </w:tblCellMar>
        </w:tblPrEx>
        <w:trPr>
          <w:cantSplit/>
        </w:trPr>
        <w:tc>
          <w:tcPr>
            <w:tcW w:w="3600" w:type="dxa"/>
            <w:tcMar>
              <w:top w:w="60" w:type="dxa"/>
              <w:left w:w="100" w:type="dxa"/>
              <w:bottom w:w="60" w:type="dxa"/>
              <w:right w:w="100" w:type="dxa"/>
            </w:tcMar>
            <w:vAlign w:val="center"/>
          </w:tcPr>
          <w:p w14:paraId="16167341" w14:textId="77777777" w:rsidR="00AB2FF2" w:rsidRDefault="00000000">
            <w:r>
              <w:t>Foreclosure / pre-payment charges</w:t>
            </w:r>
          </w:p>
        </w:tc>
        <w:tc>
          <w:tcPr>
            <w:tcW w:w="5760" w:type="dxa"/>
            <w:tcMar>
              <w:top w:w="60" w:type="dxa"/>
              <w:left w:w="100" w:type="dxa"/>
              <w:bottom w:w="60" w:type="dxa"/>
              <w:right w:w="100" w:type="dxa"/>
            </w:tcMar>
            <w:vAlign w:val="center"/>
          </w:tcPr>
          <w:p w14:paraId="76502F8B" w14:textId="77777777" w:rsidR="00AB2FF2" w:rsidRDefault="00000000">
            <w:r>
              <w:t>NIL</w:t>
            </w:r>
          </w:p>
        </w:tc>
      </w:tr>
      <w:tr w:rsidR="00AB2FF2" w14:paraId="41265248" w14:textId="77777777">
        <w:tblPrEx>
          <w:tblCellMar>
            <w:top w:w="0" w:type="dxa"/>
            <w:bottom w:w="0" w:type="dxa"/>
          </w:tblCellMar>
        </w:tblPrEx>
        <w:trPr>
          <w:cantSplit/>
        </w:trPr>
        <w:tc>
          <w:tcPr>
            <w:tcW w:w="3600" w:type="dxa"/>
            <w:tcMar>
              <w:top w:w="60" w:type="dxa"/>
              <w:left w:w="100" w:type="dxa"/>
              <w:bottom w:w="60" w:type="dxa"/>
              <w:right w:w="100" w:type="dxa"/>
            </w:tcMar>
            <w:vAlign w:val="center"/>
          </w:tcPr>
          <w:p w14:paraId="25076A66" w14:textId="77777777" w:rsidR="00AB2FF2" w:rsidRDefault="00000000">
            <w:r>
              <w:t>Convenience charge for repayment</w:t>
            </w:r>
          </w:p>
        </w:tc>
        <w:tc>
          <w:tcPr>
            <w:tcW w:w="5760" w:type="dxa"/>
            <w:tcMar>
              <w:top w:w="60" w:type="dxa"/>
              <w:left w:w="100" w:type="dxa"/>
              <w:bottom w:w="60" w:type="dxa"/>
              <w:right w:w="100" w:type="dxa"/>
            </w:tcMar>
            <w:vAlign w:val="center"/>
          </w:tcPr>
          <w:p w14:paraId="28899503" w14:textId="77777777" w:rsidR="00AB2FF2" w:rsidRDefault="00000000">
            <w:r>
              <w:t>NIL</w:t>
            </w:r>
          </w:p>
        </w:tc>
      </w:tr>
      <w:tr w:rsidR="00AB2FF2" w14:paraId="23F9B66E" w14:textId="77777777">
        <w:tblPrEx>
          <w:tblCellMar>
            <w:top w:w="0" w:type="dxa"/>
            <w:bottom w:w="0" w:type="dxa"/>
          </w:tblCellMar>
        </w:tblPrEx>
        <w:trPr>
          <w:cantSplit/>
        </w:trPr>
        <w:tc>
          <w:tcPr>
            <w:tcW w:w="3600" w:type="dxa"/>
            <w:tcMar>
              <w:top w:w="60" w:type="dxa"/>
              <w:left w:w="100" w:type="dxa"/>
              <w:bottom w:w="60" w:type="dxa"/>
              <w:right w:w="100" w:type="dxa"/>
            </w:tcMar>
            <w:vAlign w:val="center"/>
          </w:tcPr>
          <w:p w14:paraId="762F64DA" w14:textId="77777777" w:rsidR="00AB2FF2" w:rsidRDefault="00000000">
            <w:r>
              <w:t>Any other charge</w:t>
            </w:r>
          </w:p>
        </w:tc>
        <w:tc>
          <w:tcPr>
            <w:tcW w:w="5760" w:type="dxa"/>
            <w:tcMar>
              <w:top w:w="60" w:type="dxa"/>
              <w:left w:w="100" w:type="dxa"/>
              <w:bottom w:w="60" w:type="dxa"/>
              <w:right w:w="100" w:type="dxa"/>
            </w:tcMar>
            <w:vAlign w:val="center"/>
          </w:tcPr>
          <w:p w14:paraId="133CF117" w14:textId="77777777" w:rsidR="00AB2FF2" w:rsidRDefault="00000000">
            <w:r>
              <w:t>No fee or charge of any description, other than as stated above and disclosed in the KFS, is levied on or collected from the borrower, whether by the Company or by any Loan Service Provider</w:t>
            </w:r>
          </w:p>
        </w:tc>
      </w:tr>
    </w:tbl>
    <w:p w14:paraId="3DD860D8" w14:textId="77777777" w:rsidR="00AB2FF2" w:rsidRDefault="00000000">
      <w:pPr>
        <w:spacing w:before="200" w:after="100"/>
      </w:pPr>
      <w:r>
        <w:rPr>
          <w:b/>
          <w:bCs/>
          <w:color w:val="1F3864"/>
          <w:sz w:val="24"/>
          <w:szCs w:val="24"/>
        </w:rPr>
        <w:t>3. Penal Charges – Schedule and Principles</w:t>
      </w:r>
    </w:p>
    <w:p w14:paraId="310811DD" w14:textId="77777777" w:rsidR="00AB2FF2" w:rsidRDefault="00000000">
      <w:pPr>
        <w:spacing w:after="120"/>
      </w:pPr>
      <w:r>
        <w:t>Penal charges for late payment accrue for each day an instalment (EMI/EWI) remains overdue, until the instalment is paid or the cap for that instalment is reached, whichever is earlier, in accordance with the following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3000"/>
        <w:gridCol w:w="2400"/>
      </w:tblGrid>
      <w:tr w:rsidR="00AB2FF2" w14:paraId="490F9676" w14:textId="77777777">
        <w:tblPrEx>
          <w:tblCellMar>
            <w:top w:w="0" w:type="dxa"/>
            <w:bottom w:w="0" w:type="dxa"/>
          </w:tblCellMar>
        </w:tblPrEx>
        <w:trPr>
          <w:cantSplit/>
          <w:tblHeader/>
        </w:trPr>
        <w:tc>
          <w:tcPr>
            <w:tcW w:w="3960" w:type="dxa"/>
            <w:shd w:val="clear" w:color="auto" w:fill="D9E2F3"/>
            <w:tcMar>
              <w:top w:w="60" w:type="dxa"/>
              <w:left w:w="100" w:type="dxa"/>
              <w:bottom w:w="60" w:type="dxa"/>
              <w:right w:w="100" w:type="dxa"/>
            </w:tcMar>
            <w:vAlign w:val="center"/>
          </w:tcPr>
          <w:p w14:paraId="1DA22B7F" w14:textId="77777777" w:rsidR="00AB2FF2" w:rsidRDefault="00000000">
            <w:r>
              <w:rPr>
                <w:b/>
                <w:bCs/>
              </w:rPr>
              <w:lastRenderedPageBreak/>
              <w:t>Instalment (EMI/EWI) amount in default</w:t>
            </w:r>
          </w:p>
        </w:tc>
        <w:tc>
          <w:tcPr>
            <w:tcW w:w="3000" w:type="dxa"/>
            <w:shd w:val="clear" w:color="auto" w:fill="D9E2F3"/>
            <w:tcMar>
              <w:top w:w="60" w:type="dxa"/>
              <w:left w:w="100" w:type="dxa"/>
              <w:bottom w:w="60" w:type="dxa"/>
              <w:right w:w="100" w:type="dxa"/>
            </w:tcMar>
            <w:vAlign w:val="center"/>
          </w:tcPr>
          <w:p w14:paraId="716B634D" w14:textId="77777777" w:rsidR="00AB2FF2" w:rsidRDefault="00000000">
            <w:r>
              <w:rPr>
                <w:b/>
                <w:bCs/>
              </w:rPr>
              <w:t>Penal charge</w:t>
            </w:r>
          </w:p>
        </w:tc>
        <w:tc>
          <w:tcPr>
            <w:tcW w:w="2400" w:type="dxa"/>
            <w:shd w:val="clear" w:color="auto" w:fill="D9E2F3"/>
            <w:tcMar>
              <w:top w:w="60" w:type="dxa"/>
              <w:left w:w="100" w:type="dxa"/>
              <w:bottom w:w="60" w:type="dxa"/>
              <w:right w:w="100" w:type="dxa"/>
            </w:tcMar>
            <w:vAlign w:val="center"/>
          </w:tcPr>
          <w:p w14:paraId="3FCD7BB5" w14:textId="77777777" w:rsidR="00AB2FF2" w:rsidRDefault="00000000">
            <w:r>
              <w:rPr>
                <w:b/>
                <w:bCs/>
              </w:rPr>
              <w:t>Cap per overdue EMI/EWI</w:t>
            </w:r>
          </w:p>
        </w:tc>
      </w:tr>
      <w:tr w:rsidR="00AB2FF2" w14:paraId="6DE9635D" w14:textId="77777777">
        <w:tblPrEx>
          <w:tblCellMar>
            <w:top w:w="0" w:type="dxa"/>
            <w:bottom w:w="0" w:type="dxa"/>
          </w:tblCellMar>
        </w:tblPrEx>
        <w:trPr>
          <w:cantSplit/>
        </w:trPr>
        <w:tc>
          <w:tcPr>
            <w:tcW w:w="3960" w:type="dxa"/>
            <w:tcMar>
              <w:top w:w="60" w:type="dxa"/>
              <w:left w:w="100" w:type="dxa"/>
              <w:bottom w:w="60" w:type="dxa"/>
              <w:right w:w="100" w:type="dxa"/>
            </w:tcMar>
            <w:vAlign w:val="center"/>
          </w:tcPr>
          <w:p w14:paraId="760C002F" w14:textId="77777777" w:rsidR="00AB2FF2" w:rsidRDefault="00000000">
            <w:r>
              <w:t>EMI/EWI up to ₹2,000</w:t>
            </w:r>
          </w:p>
        </w:tc>
        <w:tc>
          <w:tcPr>
            <w:tcW w:w="3000" w:type="dxa"/>
            <w:tcMar>
              <w:top w:w="60" w:type="dxa"/>
              <w:left w:w="100" w:type="dxa"/>
              <w:bottom w:w="60" w:type="dxa"/>
              <w:right w:w="100" w:type="dxa"/>
            </w:tcMar>
            <w:vAlign w:val="center"/>
          </w:tcPr>
          <w:p w14:paraId="45700AAD" w14:textId="77777777" w:rsidR="00AB2FF2" w:rsidRDefault="00000000">
            <w:r>
              <w:t>₹10 per day on each overdue EMI/EWI</w:t>
            </w:r>
          </w:p>
        </w:tc>
        <w:tc>
          <w:tcPr>
            <w:tcW w:w="2400" w:type="dxa"/>
            <w:tcMar>
              <w:top w:w="60" w:type="dxa"/>
              <w:left w:w="100" w:type="dxa"/>
              <w:bottom w:w="60" w:type="dxa"/>
              <w:right w:w="100" w:type="dxa"/>
            </w:tcMar>
            <w:vAlign w:val="center"/>
          </w:tcPr>
          <w:p w14:paraId="76567592" w14:textId="77777777" w:rsidR="00AB2FF2" w:rsidRDefault="00000000">
            <w:r>
              <w:t>₹250</w:t>
            </w:r>
          </w:p>
        </w:tc>
      </w:tr>
      <w:tr w:rsidR="00AB2FF2" w14:paraId="4AD77DBE" w14:textId="77777777">
        <w:tblPrEx>
          <w:tblCellMar>
            <w:top w:w="0" w:type="dxa"/>
            <w:bottom w:w="0" w:type="dxa"/>
          </w:tblCellMar>
        </w:tblPrEx>
        <w:trPr>
          <w:cantSplit/>
        </w:trPr>
        <w:tc>
          <w:tcPr>
            <w:tcW w:w="3960" w:type="dxa"/>
            <w:tcMar>
              <w:top w:w="60" w:type="dxa"/>
              <w:left w:w="100" w:type="dxa"/>
              <w:bottom w:w="60" w:type="dxa"/>
              <w:right w:w="100" w:type="dxa"/>
            </w:tcMar>
            <w:vAlign w:val="center"/>
          </w:tcPr>
          <w:p w14:paraId="2D95D442" w14:textId="77777777" w:rsidR="00AB2FF2" w:rsidRDefault="00000000">
            <w:r>
              <w:t>EMI/EWI above ₹2,000</w:t>
            </w:r>
          </w:p>
        </w:tc>
        <w:tc>
          <w:tcPr>
            <w:tcW w:w="3000" w:type="dxa"/>
            <w:tcMar>
              <w:top w:w="60" w:type="dxa"/>
              <w:left w:w="100" w:type="dxa"/>
              <w:bottom w:w="60" w:type="dxa"/>
              <w:right w:w="100" w:type="dxa"/>
            </w:tcMar>
            <w:vAlign w:val="center"/>
          </w:tcPr>
          <w:p w14:paraId="67FCA9FC" w14:textId="77777777" w:rsidR="00AB2FF2" w:rsidRDefault="00000000">
            <w:r>
              <w:t>₹20 per day on each overdue EMI/EWI</w:t>
            </w:r>
          </w:p>
        </w:tc>
        <w:tc>
          <w:tcPr>
            <w:tcW w:w="2400" w:type="dxa"/>
            <w:tcMar>
              <w:top w:w="60" w:type="dxa"/>
              <w:left w:w="100" w:type="dxa"/>
              <w:bottom w:w="60" w:type="dxa"/>
              <w:right w:w="100" w:type="dxa"/>
            </w:tcMar>
            <w:vAlign w:val="center"/>
          </w:tcPr>
          <w:p w14:paraId="631229B9" w14:textId="77777777" w:rsidR="00AB2FF2" w:rsidRDefault="00000000">
            <w:r>
              <w:t>₹500</w:t>
            </w:r>
          </w:p>
        </w:tc>
      </w:tr>
    </w:tbl>
    <w:p w14:paraId="47FFAC34" w14:textId="77777777" w:rsidR="00AB2FF2" w:rsidRDefault="00000000">
      <w:pPr>
        <w:spacing w:after="120"/>
      </w:pPr>
      <w:r>
        <w:t xml:space="preserve">In addition to the per-instalment caps above, the total penal charges levied over the entire loan shall not exceed </w:t>
      </w:r>
      <w:r>
        <w:rPr>
          <w:b/>
          <w:bCs/>
        </w:rPr>
        <w:t>₹3,000 per loan.</w:t>
      </w:r>
      <w:r>
        <w:t xml:space="preserve"> Applicable GST is levied in addition to the penal charges.</w:t>
      </w:r>
    </w:p>
    <w:p w14:paraId="367E19FD" w14:textId="77777777" w:rsidR="00AB2FF2" w:rsidRDefault="00000000">
      <w:pPr>
        <w:spacing w:after="120"/>
      </w:pPr>
      <w:r>
        <w:t>Illustration: an EWI of ₹1,700 that remains unpaid for 30 days accrues a penal charge of ₹10 per day, which would amount to ₹300, but is capped at ₹250 for that instalment. If the EWI is paid on the 12th day, the penal charge is ₹120.</w:t>
      </w:r>
    </w:p>
    <w:p w14:paraId="1EB7C33F" w14:textId="77777777" w:rsidR="00AB2FF2" w:rsidRDefault="00000000">
      <w:pPr>
        <w:spacing w:before="80" w:after="100"/>
      </w:pPr>
      <w:r>
        <w:t>These penal charges are governed by the following principles:</w:t>
      </w:r>
    </w:p>
    <w:p w14:paraId="0ACA148B" w14:textId="77777777" w:rsidR="00AB2FF2" w:rsidRDefault="00000000">
      <w:pPr>
        <w:pStyle w:val="ListParagraph"/>
        <w:numPr>
          <w:ilvl w:val="0"/>
          <w:numId w:val="1"/>
        </w:numPr>
        <w:spacing w:after="80"/>
      </w:pPr>
      <w:r>
        <w:t>Penal charges are levied as charges and not in the form of penal interest added to the rate of interest; no additional component is added to the rate of interest.</w:t>
      </w:r>
    </w:p>
    <w:p w14:paraId="0582C502" w14:textId="77777777" w:rsidR="00AB2FF2" w:rsidRDefault="00000000">
      <w:pPr>
        <w:pStyle w:val="ListParagraph"/>
        <w:numPr>
          <w:ilvl w:val="0"/>
          <w:numId w:val="1"/>
        </w:numPr>
        <w:spacing w:after="80"/>
      </w:pPr>
      <w:r>
        <w:t>Penal charges are levied only on the amount under default, are reasonable and commensurate with the non-compliance, and are applied in a non-discriminatory manner within a product category.</w:t>
      </w:r>
    </w:p>
    <w:p w14:paraId="04CC8D29" w14:textId="77777777" w:rsidR="00AB2FF2" w:rsidRDefault="00000000">
      <w:pPr>
        <w:pStyle w:val="ListParagraph"/>
        <w:numPr>
          <w:ilvl w:val="0"/>
          <w:numId w:val="1"/>
        </w:numPr>
        <w:spacing w:after="80"/>
      </w:pPr>
      <w:r>
        <w:t>Penal charges are not capitalised — no further interest is computed on such charges, and no fresh penal charge is levied on outstanding penal charges. Interest at the contracted rate continues to accrue on the amount outstanding as contractual interest.</w:t>
      </w:r>
    </w:p>
    <w:p w14:paraId="3650108C" w14:textId="77777777" w:rsidR="00AB2FF2" w:rsidRDefault="00000000">
      <w:pPr>
        <w:pStyle w:val="ListParagraph"/>
        <w:numPr>
          <w:ilvl w:val="0"/>
          <w:numId w:val="1"/>
        </w:numPr>
        <w:spacing w:after="80"/>
      </w:pPr>
      <w:r>
        <w:t>The quantum and reason for penal charges are disclosed upfront in the loan agreement (in bold) and in the KFS, and are stated in reminders sent for non-compliance. Any levy of penal charges, and the reason for it, is communicated to the borrower.</w:t>
      </w:r>
    </w:p>
    <w:p w14:paraId="38979C9B" w14:textId="77777777" w:rsidR="00AB2FF2" w:rsidRDefault="00000000">
      <w:pPr>
        <w:spacing w:before="200" w:after="100"/>
      </w:pPr>
      <w:r>
        <w:rPr>
          <w:b/>
          <w:bCs/>
          <w:color w:val="1F3864"/>
          <w:sz w:val="24"/>
          <w:szCs w:val="24"/>
        </w:rPr>
        <w:t>4. General</w:t>
      </w:r>
    </w:p>
    <w:p w14:paraId="2B5FC6AB" w14:textId="77777777" w:rsidR="00AB2FF2" w:rsidRDefault="00000000">
      <w:pPr>
        <w:spacing w:after="120"/>
      </w:pPr>
      <w:r>
        <w:t>The interest rate applicable to each loan is communicated in the application form, the KFS and the sanction letter. Any change in interest rates or charges applies prospectively only; the per-day basis of penal charges in Section 3 applies to loans sanctioned on or after the effective date below, and loans sanctioned earlier continue to be governed by the KFS issued to the borrower. This page is read with the Company’s Interest Rate Policy and Fair Practice Code, available on this website.</w:t>
      </w:r>
    </w:p>
    <w:p w14:paraId="1455583A" w14:textId="40F66684" w:rsidR="00AB2FF2" w:rsidRDefault="00000000">
      <w:pPr>
        <w:spacing w:after="120"/>
      </w:pPr>
      <w:r>
        <w:t xml:space="preserve">Effective date: </w:t>
      </w:r>
      <w:r w:rsidR="00B626D0">
        <w:t>16th</w:t>
      </w:r>
      <w:r>
        <w:t xml:space="preserve"> September 2026. Revised on 16 September 2026 (basis of penal charges changed from per overdue instalment to per day on each overdue instalment); approved. Previous version: 15 July 2026.</w:t>
      </w:r>
    </w:p>
    <w:sectPr w:rsidR="00AB2FF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724BC"/>
    <w:multiLevelType w:val="hybridMultilevel"/>
    <w:tmpl w:val="F7889F28"/>
    <w:lvl w:ilvl="0" w:tplc="2F84404E">
      <w:start w:val="1"/>
      <w:numFmt w:val="bullet"/>
      <w:lvlText w:val="●"/>
      <w:lvlJc w:val="left"/>
      <w:pPr>
        <w:ind w:left="720" w:hanging="360"/>
      </w:pPr>
    </w:lvl>
    <w:lvl w:ilvl="1" w:tplc="7390EC2C">
      <w:start w:val="1"/>
      <w:numFmt w:val="bullet"/>
      <w:lvlText w:val="○"/>
      <w:lvlJc w:val="left"/>
      <w:pPr>
        <w:ind w:left="1440" w:hanging="360"/>
      </w:pPr>
    </w:lvl>
    <w:lvl w:ilvl="2" w:tplc="13D2BBE2">
      <w:start w:val="1"/>
      <w:numFmt w:val="bullet"/>
      <w:lvlText w:val="■"/>
      <w:lvlJc w:val="left"/>
      <w:pPr>
        <w:ind w:left="2160" w:hanging="360"/>
      </w:pPr>
    </w:lvl>
    <w:lvl w:ilvl="3" w:tplc="726CFFD0">
      <w:start w:val="1"/>
      <w:numFmt w:val="bullet"/>
      <w:lvlText w:val="●"/>
      <w:lvlJc w:val="left"/>
      <w:pPr>
        <w:ind w:left="2880" w:hanging="360"/>
      </w:pPr>
    </w:lvl>
    <w:lvl w:ilvl="4" w:tplc="6E60C370">
      <w:start w:val="1"/>
      <w:numFmt w:val="bullet"/>
      <w:lvlText w:val="○"/>
      <w:lvlJc w:val="left"/>
      <w:pPr>
        <w:ind w:left="3600" w:hanging="360"/>
      </w:pPr>
    </w:lvl>
    <w:lvl w:ilvl="5" w:tplc="1826F154">
      <w:start w:val="1"/>
      <w:numFmt w:val="bullet"/>
      <w:lvlText w:val="■"/>
      <w:lvlJc w:val="left"/>
      <w:pPr>
        <w:ind w:left="4320" w:hanging="360"/>
      </w:pPr>
    </w:lvl>
    <w:lvl w:ilvl="6" w:tplc="E3DA9FA2">
      <w:start w:val="1"/>
      <w:numFmt w:val="bullet"/>
      <w:lvlText w:val="●"/>
      <w:lvlJc w:val="left"/>
      <w:pPr>
        <w:ind w:left="5040" w:hanging="360"/>
      </w:pPr>
    </w:lvl>
    <w:lvl w:ilvl="7" w:tplc="BC6044F0">
      <w:start w:val="1"/>
      <w:numFmt w:val="bullet"/>
      <w:lvlText w:val="●"/>
      <w:lvlJc w:val="left"/>
      <w:pPr>
        <w:ind w:left="5760" w:hanging="360"/>
      </w:pPr>
    </w:lvl>
    <w:lvl w:ilvl="8" w:tplc="41640340">
      <w:start w:val="1"/>
      <w:numFmt w:val="bullet"/>
      <w:lvlText w:val="●"/>
      <w:lvlJc w:val="left"/>
      <w:pPr>
        <w:ind w:left="6480" w:hanging="360"/>
      </w:pPr>
    </w:lvl>
  </w:abstractNum>
  <w:num w:numId="1" w16cid:durableId="585264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F2"/>
    <w:rsid w:val="0044427B"/>
    <w:rsid w:val="00AB2FF2"/>
    <w:rsid w:val="00B626D0"/>
    <w:rsid w:val="00F56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6D4EB5"/>
  <w15:docId w15:val="{267D5AB0-3D12-E445-A12D-573FD7D3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3879</Characters>
  <Application>Microsoft Office Word</Application>
  <DocSecurity>0</DocSecurity>
  <Lines>32</Lines>
  <Paragraphs>9</Paragraphs>
  <ScaleCrop>false</ScaleCrop>
  <Company>iacuire</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Aggarwal</cp:lastModifiedBy>
  <cp:revision>4</cp:revision>
  <dcterms:created xsi:type="dcterms:W3CDTF">2026-07-23T07:58:00Z</dcterms:created>
  <dcterms:modified xsi:type="dcterms:W3CDTF">2026-09-16T05:49:00Z</dcterms:modified>
</cp:coreProperties>
</file>