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D4ED8"/>
          <w:sz w:val="18"/>
        </w:rPr>
        <w:t>ACADEMIC BRIEFING &amp; PROJECT PITCH REPORT • DEPARTMENT OF COMPUTER SCIENCE &amp; ENGINEERING</w:t>
      </w:r>
    </w:p>
    <w:p>
      <w:pPr>
        <w:spacing w:before="80" w:after="80"/>
      </w:pPr>
      <w:r>
        <w:rPr>
          <w:rFonts w:ascii="Arial" w:hAnsi="Arial"/>
          <w:b/>
          <w:color w:val="0B2545"/>
          <w:sz w:val="52"/>
        </w:rPr>
        <w:t>Vakil Setu (वकील सेतु)</w:t>
      </w:r>
    </w:p>
    <w:p>
      <w:pPr>
        <w:spacing w:after="240"/>
      </w:pPr>
      <w:r>
        <w:rPr>
          <w:rFonts w:ascii="Arial" w:hAnsi="Arial"/>
          <w:b/>
          <w:color w:val="1D4ED8"/>
          <w:sz w:val="24"/>
        </w:rPr>
        <w:t>Next-Generation AI Legal Triage Engine, Bharatiya Nyaya Sanhita (BNS 2024) Migration Matrix &amp; Multimodal Document Intelligence</w:t>
      </w:r>
    </w:p>
    <w:tbl>
      <w:tblPr>
        <w:tblW w:type="auto" w:w="0"/>
        <w:jc w:val="center"/>
        <w:tblLook w:firstColumn="1" w:firstRow="1" w:lastColumn="0" w:lastRow="0" w:noHBand="0" w:noVBand="1" w:val="04A0"/>
      </w:tblPr>
      <w:tblGrid>
        <w:gridCol w:w="4680"/>
        <w:gridCol w:w="4680"/>
      </w:tblGrid>
      <w:tr>
        <w:tc>
          <w:tcPr>
            <w:tcW w:type="dxa" w:w="4680"/>
            <w:shd w:val="clear" w:color="auto" w:fill="F1F5F9"/>
            <w:tcMar>
              <w:top w:w="60" w:type="dxa"/>
              <w:bottom w:w="60" w:type="dxa"/>
              <w:left w:w="100" w:type="dxa"/>
              <w:right w:w="100" w:type="dxa"/>
            </w:tcMar>
          </w:tcPr>
          <w:p>
            <w:pPr>
              <w:spacing w:after="0"/>
            </w:pPr>
            <w:r>
              <w:rPr>
                <w:rFonts w:ascii="Arial" w:hAnsi="Arial"/>
                <w:b/>
                <w:color w:val="0F172A"/>
                <w:sz w:val="17"/>
              </w:rPr>
              <w:t>Project Candidate:</w:t>
            </w:r>
            <w:r>
              <w:rPr>
                <w:rFonts w:ascii="Arial" w:hAnsi="Arial"/>
                <w:color w:val="334155"/>
                <w:sz w:val="17"/>
              </w:rPr>
              <w:t xml:space="preserve"> Final Year Project Defense</w:t>
            </w:r>
          </w:p>
        </w:tc>
        <w:tc>
          <w:tcPr>
            <w:tcW w:type="dxa" w:w="4680"/>
            <w:shd w:val="clear" w:color="auto" w:fill="F1F5F9"/>
            <w:tcMar>
              <w:top w:w="60" w:type="dxa"/>
              <w:bottom w:w="60" w:type="dxa"/>
              <w:left w:w="100" w:type="dxa"/>
              <w:right w:w="100" w:type="dxa"/>
            </w:tcMar>
          </w:tcPr>
          <w:p>
            <w:pPr>
              <w:spacing w:after="0"/>
            </w:pPr>
            <w:r>
              <w:rPr>
                <w:rFonts w:ascii="Arial" w:hAnsi="Arial"/>
                <w:b/>
                <w:color w:val="0F172A"/>
                <w:sz w:val="17"/>
              </w:rPr>
              <w:t>Target Evaluation:</w:t>
            </w:r>
            <w:r>
              <w:rPr>
                <w:rFonts w:ascii="Arial" w:hAnsi="Arial"/>
                <w:color w:val="334155"/>
                <w:sz w:val="17"/>
              </w:rPr>
              <w:t xml:space="preserve"> Project Guide &amp; Review Committee</w:t>
            </w:r>
          </w:p>
        </w:tc>
      </w:tr>
      <w:tr>
        <w:tc>
          <w:tcPr>
            <w:tcW w:type="dxa" w:w="4680"/>
            <w:shd w:val="clear" w:color="auto" w:fill="F1F5F9"/>
            <w:tcMar>
              <w:top w:w="60" w:type="dxa"/>
              <w:bottom w:w="60" w:type="dxa"/>
              <w:left w:w="100" w:type="dxa"/>
              <w:right w:w="100" w:type="dxa"/>
            </w:tcMar>
          </w:tcPr>
          <w:p>
            <w:pPr>
              <w:spacing w:after="0"/>
            </w:pPr>
            <w:r>
              <w:rPr>
                <w:rFonts w:ascii="Arial" w:hAnsi="Arial"/>
                <w:b/>
                <w:color w:val="0F172A"/>
                <w:sz w:val="17"/>
              </w:rPr>
              <w:t>Active Repository:</w:t>
            </w:r>
            <w:r>
              <w:rPr>
                <w:rFonts w:ascii="Arial" w:hAnsi="Arial"/>
                <w:color w:val="334155"/>
                <w:sz w:val="17"/>
              </w:rPr>
              <w:t xml:space="preserve"> C:\Users\DELL\Vakil-Setu</w:t>
            </w:r>
          </w:p>
        </w:tc>
        <w:tc>
          <w:tcPr>
            <w:tcW w:type="dxa" w:w="4680"/>
            <w:shd w:val="clear" w:color="auto" w:fill="F1F5F9"/>
            <w:tcMar>
              <w:top w:w="60" w:type="dxa"/>
              <w:bottom w:w="60" w:type="dxa"/>
              <w:left w:w="100" w:type="dxa"/>
              <w:right w:w="100" w:type="dxa"/>
            </w:tcMar>
          </w:tcPr>
          <w:p>
            <w:pPr>
              <w:spacing w:after="0"/>
            </w:pPr>
            <w:r>
              <w:rPr>
                <w:rFonts w:ascii="Arial" w:hAnsi="Arial"/>
                <w:b/>
                <w:color w:val="0F172A"/>
                <w:sz w:val="17"/>
              </w:rPr>
              <w:t>Core Domain:</w:t>
            </w:r>
            <w:r>
              <w:rPr>
                <w:rFonts w:ascii="Arial" w:hAnsi="Arial"/>
                <w:color w:val="334155"/>
                <w:sz w:val="17"/>
              </w:rPr>
              <w:t xml:space="preserve"> Legal-AI, Multimodal NLP, Indian Jurisprudence</w:t>
            </w:r>
          </w:p>
        </w:tc>
      </w:tr>
    </w:tbl>
    <w:p>
      <w:pPr>
        <w:spacing w:after="160"/>
      </w:pPr>
    </w:p>
    <w:p>
      <w:pPr>
        <w:keepNext/>
        <w:spacing w:before="360" w:after="120"/>
      </w:pPr>
      <w:r>
        <w:rPr>
          <w:rFonts w:ascii="Arial" w:hAnsi="Arial"/>
          <w:b/>
          <w:color w:val="0B2545"/>
          <w:sz w:val="34"/>
        </w:rPr>
        <w:t>1. Executive Summary &amp; Verbal Pitch Scripts</w:t>
      </w:r>
    </w:p>
    <w:p>
      <w:pPr>
        <w:spacing w:before="0" w:after="100" w:line="276" w:lineRule="auto"/>
      </w:pPr>
      <w:r>
        <w:rPr>
          <w:rFonts w:ascii="Arial" w:hAnsi="Arial"/>
          <w:i w:val="0"/>
          <w:color w:val="334155"/>
          <w:sz w:val="20"/>
        </w:rPr>
        <w:t>This section contains prepared, verbatim elevator pitch scripts tailored for explaining the project to your professor, department head, or director during project evaluation and viva defense.</w:t>
      </w:r>
    </w:p>
    <w:p>
      <w:pPr>
        <w:keepNext/>
        <w:spacing w:before="240" w:after="80"/>
      </w:pPr>
      <w:r>
        <w:rPr>
          <w:rFonts w:ascii="Arial" w:hAnsi="Arial"/>
          <w:b/>
          <w:color w:val="1D4ED8"/>
          <w:sz w:val="27"/>
        </w:rPr>
        <w:t>The 30-Second Elevator Pitch</w:t>
      </w:r>
    </w:p>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Pr>
          <w:p>
            <w:pPr>
              <w:spacing w:after="60" w:line="276" w:lineRule="auto"/>
            </w:pPr>
            <w:r>
              <w:rPr>
                <w:rFonts w:ascii="Arial" w:hAnsi="Arial"/>
                <w:i/>
                <w:color w:val="0F172A"/>
                <w:sz w:val="20"/>
              </w:rPr>
              <w:t>"Vakil Setu is an AI-powered legal triage and document intelligence platform designed specifically for the Indian legal ecosystem. It allows common citizens to speak or upload legal notices in their native language, instantly translates complex disputes into active Bharatiya Nyaya Sanhita (BNS 2024) legal codes, evaluates bail eligibility and statutory deadlines, and bridges the citizen to verified legal aid or licensed advocates before critical court time limits expire."</w:t>
            </w:r>
          </w:p>
          <w:p>
            <w:pPr>
              <w:spacing w:before="40" w:after="0"/>
            </w:pPr>
            <w:r>
              <w:rPr>
                <w:rFonts w:ascii="Arial" w:hAnsi="Arial"/>
                <w:b/>
                <w:color w:val="1D4ED8"/>
                <w:sz w:val="18"/>
              </w:rPr>
              <w:t>- 30-Second Verbal Script</w:t>
            </w:r>
          </w:p>
        </w:tc>
      </w:tr>
    </w:tbl>
    <w:p>
      <w:pPr>
        <w:spacing w:after="80"/>
      </w:pPr>
    </w:p>
    <w:p>
      <w:pPr>
        <w:keepNext/>
        <w:spacing w:before="240" w:after="80"/>
      </w:pPr>
      <w:r>
        <w:rPr>
          <w:rFonts w:ascii="Arial" w:hAnsi="Arial"/>
          <w:b/>
          <w:color w:val="1D4ED8"/>
          <w:sz w:val="27"/>
        </w:rPr>
        <w:t>The 2-Minute Comprehensive Pitch (For Your Professor)</w:t>
      </w:r>
    </w:p>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Pr>
          <w:p>
            <w:pPr>
              <w:spacing w:after="60" w:line="276" w:lineRule="auto"/>
            </w:pPr>
            <w:r>
              <w:rPr>
                <w:rFonts w:ascii="Arial" w:hAnsi="Arial"/>
                <w:i/>
                <w:color w:val="0F172A"/>
                <w:sz w:val="20"/>
              </w:rPr>
              <w:t>"Sir/Ma'am, access to justice in India suffers from two fundamental bottlenecks: incomprehensible legal jargon and extreme language barriers. When a citizen receives a 15-day Cheque Bounce notice or a police appearance summons, panic sets in, leading to inaction and avoidable arrest warrants.</w:t>
              <w:br/>
              <w:br/>
              <w:t>Furthermore, in July 2024, India enacted the most historic legal overhaul in modern history, replacing the 160-year-old IPC and CrPC with the Bharatiya Nyaya Sanhita (BNS) and BNSS. Virtually all existing academic projects and software platforms are legally obsolete because they still cite repealed colonial codes like IPC 420 or 379.</w:t>
              <w:br/>
              <w:br/>
              <w:t>To solve this, I took the baseline platform and engineered two major standout capabilities:</w:t>
              <w:br/>
              <w:t>First, a dynamic BNS 2024 Statutory Migration Matrix that cross-references legacy IPC provisions with active BNS sections while generating an instant Offense Severity and Bail Matrix (bailable status, cognizable arrest powers, and Section 35(3) BNSS pre-arrest safeguards).</w:t>
              <w:br/>
              <w:t>Second, 'Snap &amp; Understand', a multimodal computer vision engine that allows citizens to photograph court summons or statutory demand notices. The system extracts the issuing court, identifies the financial demand, sounds a countdown alert for statutory deadlines (such as the 15-day rule under Section 138 NI Act), explains the allegations in plain English or Hindi, and connects the user directly to a specialized advocate.</w:t>
              <w:br/>
              <w:br/>
              <w:t>The system is built on a resilient 4-tier full-stack architecture with a dual-layer AI pipeline ensuring zero downtime and zero legal hallucinations."</w:t>
            </w:r>
          </w:p>
          <w:p>
            <w:pPr>
              <w:spacing w:before="40" w:after="0"/>
            </w:pPr>
            <w:r>
              <w:rPr>
                <w:rFonts w:ascii="Arial" w:hAnsi="Arial"/>
                <w:b/>
                <w:color w:val="1D4ED8"/>
                <w:sz w:val="18"/>
              </w:rPr>
              <w:t>- 2-Minute Professor Defense Script</w:t>
            </w:r>
          </w:p>
        </w:tc>
      </w:tr>
    </w:tbl>
    <w:p>
      <w:pPr>
        <w:spacing w:after="80"/>
      </w:pPr>
    </w:p>
    <w:p>
      <w:pPr>
        <w:keepNext/>
        <w:spacing w:before="360" w:after="120"/>
      </w:pPr>
      <w:r>
        <w:rPr>
          <w:rFonts w:ascii="Arial" w:hAnsi="Arial"/>
          <w:b/>
          <w:color w:val="0B2545"/>
          <w:sz w:val="34"/>
        </w:rPr>
        <w:t>2. Project Genesis: Baseline vs. Your Personal Contributions</w:t>
      </w:r>
    </w:p>
    <w:p>
      <w:pPr>
        <w:spacing w:before="0" w:after="100" w:line="276" w:lineRule="auto"/>
      </w:pPr>
      <w:r>
        <w:rPr>
          <w:rFonts w:ascii="Arial" w:hAnsi="Arial"/>
          <w:i w:val="0"/>
          <w:color w:val="334155"/>
          <w:sz w:val="20"/>
        </w:rPr>
        <w:t>A critical question professors ask is: 'What did the original repository do, and what did you personally build?' The table below rigorously delineates the inherited baseline from your standout engineering additions: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B2545"/>
            <w:tcMar>
              <w:top w:w="100" w:type="dxa"/>
              <w:bottom w:w="100" w:type="dxa"/>
              <w:left w:w="120" w:type="dxa"/>
              <w:right w:w="120" w:type="dxa"/>
            </w:tcMar>
          </w:tcPr>
          <w:p>
            <w:pPr>
              <w:spacing w:after="0"/>
            </w:pPr>
            <w:r>
              <w:rPr>
                <w:rFonts w:ascii="Arial" w:hAnsi="Arial"/>
                <w:b/>
                <w:color w:val="FFFFFF"/>
                <w:sz w:val="19"/>
              </w:rPr>
              <w:t>Functional Dimension</w:t>
            </w:r>
          </w:p>
        </w:tc>
        <w:tc>
          <w:tcPr>
            <w:tcW w:type="dxa" w:w="3120"/>
            <w:shd w:val="clear" w:color="auto" w:fill="0B2545"/>
            <w:tcMar>
              <w:top w:w="100" w:type="dxa"/>
              <w:bottom w:w="100" w:type="dxa"/>
              <w:left w:w="120" w:type="dxa"/>
              <w:right w:w="120" w:type="dxa"/>
            </w:tcMar>
          </w:tcPr>
          <w:p>
            <w:pPr>
              <w:spacing w:after="0"/>
            </w:pPr>
            <w:r>
              <w:rPr>
                <w:rFonts w:ascii="Arial" w:hAnsi="Arial"/>
                <w:b/>
                <w:color w:val="FFFFFF"/>
                <w:sz w:val="19"/>
              </w:rPr>
              <w:t>Inherited Baseline Repository</w:t>
            </w:r>
          </w:p>
        </w:tc>
        <w:tc>
          <w:tcPr>
            <w:tcW w:type="dxa" w:w="3120"/>
            <w:shd w:val="clear" w:color="auto" w:fill="0B2545"/>
            <w:tcMar>
              <w:top w:w="100" w:type="dxa"/>
              <w:bottom w:w="100" w:type="dxa"/>
              <w:left w:w="120" w:type="dxa"/>
              <w:right w:w="120" w:type="dxa"/>
            </w:tcMar>
          </w:tcPr>
          <w:p>
            <w:pPr>
              <w:spacing w:after="0"/>
            </w:pPr>
            <w:r>
              <w:rPr>
                <w:rFonts w:ascii="Arial" w:hAnsi="Arial"/>
                <w:b/>
                <w:color w:val="FFFFFF"/>
                <w:sz w:val="19"/>
              </w:rPr>
              <w:t>What YOU Personally Engineered &amp; Added</w:t>
            </w:r>
          </w:p>
        </w:tc>
      </w:tr>
      <w:tr>
        <w:tc>
          <w:tcPr>
            <w:tcW w:type="dxa" w:w="3120"/>
            <w:shd w:val="clear" w:color="auto" w:fill="FFFFFF"/>
            <w:tcMar>
              <w:top w:w="80" w:type="dxa"/>
              <w:bottom w:w="80" w:type="dxa"/>
              <w:left w:w="100" w:type="dxa"/>
              <w:right w:w="100" w:type="dxa"/>
            </w:tcMar>
          </w:tcPr>
          <w:p>
            <w:pPr>
              <w:spacing w:after="0" w:line="276" w:lineRule="auto"/>
            </w:pPr>
            <w:r>
              <w:rPr>
                <w:rFonts w:ascii="Arial" w:hAnsi="Arial"/>
                <w:b/>
                <w:color w:val="0F172A"/>
                <w:sz w:val="18"/>
              </w:rPr>
              <w:t>Statutory Law Currency</w:t>
            </w:r>
          </w:p>
        </w:tc>
        <w:tc>
          <w:tcPr>
            <w:tcW w:type="dxa" w:w="3120"/>
            <w:shd w:val="clear" w:color="auto" w:fill="FFFFFF"/>
            <w:tcMar>
              <w:top w:w="80" w:type="dxa"/>
              <w:bottom w:w="80" w:type="dxa"/>
              <w:left w:w="100" w:type="dxa"/>
              <w:right w:w="100" w:type="dxa"/>
            </w:tcMar>
          </w:tcPr>
          <w:p>
            <w:pPr>
              <w:spacing w:after="0" w:line="276" w:lineRule="auto"/>
            </w:pPr>
            <w:r>
              <w:rPr>
                <w:rFonts w:ascii="Arial" w:hAnsi="Arial"/>
                <w:color w:val="334155"/>
                <w:sz w:val="18"/>
              </w:rPr>
              <w:t>Generic 4-bucket classification (civil, criminal, family, property) coded around obsolete IPC concepts.</w:t>
            </w:r>
          </w:p>
        </w:tc>
        <w:tc>
          <w:tcPr>
            <w:tcW w:type="dxa" w:w="3120"/>
            <w:shd w:val="clear" w:color="auto" w:fill="FFFFFF"/>
            <w:tcMar>
              <w:top w:w="80" w:type="dxa"/>
              <w:bottom w:w="80" w:type="dxa"/>
              <w:left w:w="100" w:type="dxa"/>
              <w:right w:w="100" w:type="dxa"/>
            </w:tcMar>
          </w:tcPr>
          <w:p>
            <w:pPr>
              <w:spacing w:after="0" w:line="276" w:lineRule="auto"/>
            </w:pPr>
            <w:r>
              <w:rPr>
                <w:rFonts w:ascii="Arial" w:hAnsi="Arial"/>
                <w:b/>
                <w:color w:val="1D4ED8"/>
                <w:sz w:val="18"/>
              </w:rPr>
              <w:t>Active BNS 2024 Migration Matrix: Cross-maps legacy IPC/CrPC sections to active Bharatiya Nyaya Sanhita (BNS) and BNSS sections in real time.</w:t>
            </w:r>
          </w:p>
        </w:tc>
      </w:tr>
      <w:tr>
        <w:tc>
          <w:tcPr>
            <w:tcW w:type="dxa" w:w="3120"/>
            <w:shd w:val="clear" w:color="auto" w:fill="F8FAFC"/>
            <w:tcMar>
              <w:top w:w="80" w:type="dxa"/>
              <w:bottom w:w="80" w:type="dxa"/>
              <w:left w:w="100" w:type="dxa"/>
              <w:right w:w="100" w:type="dxa"/>
            </w:tcMar>
          </w:tcPr>
          <w:p>
            <w:pPr>
              <w:spacing w:after="0" w:line="276" w:lineRule="auto"/>
            </w:pPr>
            <w:r>
              <w:rPr>
                <w:rFonts w:ascii="Arial" w:hAnsi="Arial"/>
                <w:b/>
                <w:color w:val="0F172A"/>
                <w:sz w:val="18"/>
              </w:rPr>
              <w:t>Procedural Analysis</w:t>
            </w:r>
          </w:p>
        </w:tc>
        <w:tc>
          <w:tcPr>
            <w:tcW w:type="dxa" w:w="3120"/>
            <w:shd w:val="clear" w:color="auto" w:fill="F8FAFC"/>
            <w:tcMar>
              <w:top w:w="80" w:type="dxa"/>
              <w:bottom w:w="80" w:type="dxa"/>
              <w:left w:w="100" w:type="dxa"/>
              <w:right w:w="100" w:type="dxa"/>
            </w:tcMar>
          </w:tcPr>
          <w:p>
            <w:pPr>
              <w:spacing w:after="0" w:line="276" w:lineRule="auto"/>
            </w:pPr>
            <w:r>
              <w:rPr>
                <w:rFonts w:ascii="Arial" w:hAnsi="Arial"/>
                <w:color w:val="334155"/>
                <w:sz w:val="18"/>
              </w:rPr>
              <w:t>No procedural or bail analysis; generic text advice ('gather documents').</w:t>
            </w:r>
          </w:p>
        </w:tc>
        <w:tc>
          <w:tcPr>
            <w:tcW w:type="dxa" w:w="3120"/>
            <w:shd w:val="clear" w:color="auto" w:fill="F8FAFC"/>
            <w:tcMar>
              <w:top w:w="80" w:type="dxa"/>
              <w:bottom w:w="80" w:type="dxa"/>
              <w:left w:w="100" w:type="dxa"/>
              <w:right w:w="100" w:type="dxa"/>
            </w:tcMar>
          </w:tcPr>
          <w:p>
            <w:pPr>
              <w:spacing w:after="0" w:line="276" w:lineRule="auto"/>
            </w:pPr>
            <w:r>
              <w:rPr>
                <w:rFonts w:ascii="Arial" w:hAnsi="Arial"/>
                <w:b w:val="0"/>
                <w:color w:val="1D4ED8"/>
                <w:sz w:val="18"/>
              </w:rPr>
              <w:t>Actionable Offense &amp; Bail Matrix: Evaluates Bailable vs Non-Bailable status, Cognizability (police arrest power), Compoundability, and Trial Court jurisdiction.</w:t>
            </w:r>
          </w:p>
        </w:tc>
      </w:tr>
      <w:tr>
        <w:tc>
          <w:tcPr>
            <w:tcW w:type="dxa" w:w="3120"/>
            <w:shd w:val="clear" w:color="auto" w:fill="FFFFFF"/>
            <w:tcMar>
              <w:top w:w="80" w:type="dxa"/>
              <w:bottom w:w="80" w:type="dxa"/>
              <w:left w:w="100" w:type="dxa"/>
              <w:right w:w="100" w:type="dxa"/>
            </w:tcMar>
          </w:tcPr>
          <w:p>
            <w:pPr>
              <w:spacing w:after="0" w:line="276" w:lineRule="auto"/>
            </w:pPr>
            <w:r>
              <w:rPr>
                <w:rFonts w:ascii="Arial" w:hAnsi="Arial"/>
                <w:b/>
                <w:color w:val="0F172A"/>
                <w:sz w:val="18"/>
              </w:rPr>
              <w:t>Citizen Safeguards</w:t>
            </w:r>
          </w:p>
        </w:tc>
        <w:tc>
          <w:tcPr>
            <w:tcW w:type="dxa" w:w="3120"/>
            <w:shd w:val="clear" w:color="auto" w:fill="FFFFFF"/>
            <w:tcMar>
              <w:top w:w="80" w:type="dxa"/>
              <w:bottom w:w="80" w:type="dxa"/>
              <w:left w:w="100" w:type="dxa"/>
              <w:right w:w="100" w:type="dxa"/>
            </w:tcMar>
          </w:tcPr>
          <w:p>
            <w:pPr>
              <w:spacing w:after="0" w:line="276" w:lineRule="auto"/>
            </w:pPr>
            <w:r>
              <w:rPr>
                <w:rFonts w:ascii="Arial" w:hAnsi="Arial"/>
                <w:color w:val="334155"/>
                <w:sz w:val="18"/>
              </w:rPr>
              <w:t>Zero statutory protections or rights awareness.</w:t>
            </w:r>
          </w:p>
        </w:tc>
        <w:tc>
          <w:tcPr>
            <w:tcW w:type="dxa" w:w="3120"/>
            <w:shd w:val="clear" w:color="auto" w:fill="FFFFFF"/>
            <w:tcMar>
              <w:top w:w="80" w:type="dxa"/>
              <w:bottom w:w="80" w:type="dxa"/>
              <w:left w:w="100" w:type="dxa"/>
              <w:right w:w="100" w:type="dxa"/>
            </w:tcMar>
          </w:tcPr>
          <w:p>
            <w:pPr>
              <w:spacing w:after="0" w:line="276" w:lineRule="auto"/>
            </w:pPr>
            <w:r>
              <w:rPr>
                <w:rFonts w:ascii="Arial" w:hAnsi="Arial"/>
                <w:b/>
                <w:color w:val="1D4ED8"/>
                <w:sz w:val="18"/>
              </w:rPr>
              <w:t>Statutory Protections Engine: Flags Section 35(3) BNSS mandatory pre-arrest notice, Section 173 mandatory free FIR copy, and Article 39A DLSA free legal aid.</w:t>
            </w:r>
          </w:p>
        </w:tc>
      </w:tr>
      <w:tr>
        <w:tc>
          <w:tcPr>
            <w:tcW w:type="dxa" w:w="3120"/>
            <w:shd w:val="clear" w:color="auto" w:fill="F8FAFC"/>
            <w:tcMar>
              <w:top w:w="80" w:type="dxa"/>
              <w:bottom w:w="80" w:type="dxa"/>
              <w:left w:w="100" w:type="dxa"/>
              <w:right w:w="100" w:type="dxa"/>
            </w:tcMar>
          </w:tcPr>
          <w:p>
            <w:pPr>
              <w:spacing w:after="0" w:line="276" w:lineRule="auto"/>
            </w:pPr>
            <w:r>
              <w:rPr>
                <w:rFonts w:ascii="Arial" w:hAnsi="Arial"/>
                <w:b/>
                <w:color w:val="0F172A"/>
                <w:sz w:val="18"/>
              </w:rPr>
              <w:t>Document Intake</w:t>
            </w:r>
          </w:p>
        </w:tc>
        <w:tc>
          <w:tcPr>
            <w:tcW w:type="dxa" w:w="3120"/>
            <w:shd w:val="clear" w:color="auto" w:fill="F8FAFC"/>
            <w:tcMar>
              <w:top w:w="80" w:type="dxa"/>
              <w:bottom w:w="80" w:type="dxa"/>
              <w:left w:w="100" w:type="dxa"/>
              <w:right w:w="100" w:type="dxa"/>
            </w:tcMar>
          </w:tcPr>
          <w:p>
            <w:pPr>
              <w:spacing w:after="0" w:line="276" w:lineRule="auto"/>
            </w:pPr>
            <w:r>
              <w:rPr>
                <w:rFonts w:ascii="Arial" w:hAnsi="Arial"/>
                <w:color w:val="334155"/>
                <w:sz w:val="18"/>
              </w:rPr>
              <w:t>Voice-only browser microphone recording. No document or image handling.</w:t>
            </w:r>
          </w:p>
        </w:tc>
        <w:tc>
          <w:tcPr>
            <w:tcW w:type="dxa" w:w="3120"/>
            <w:shd w:val="clear" w:color="auto" w:fill="F8FAFC"/>
            <w:tcMar>
              <w:top w:w="80" w:type="dxa"/>
              <w:bottom w:w="80" w:type="dxa"/>
              <w:left w:w="100" w:type="dxa"/>
              <w:right w:w="100" w:type="dxa"/>
            </w:tcMar>
          </w:tcPr>
          <w:p>
            <w:pPr>
              <w:spacing w:after="0" w:line="276" w:lineRule="auto"/>
            </w:pPr>
            <w:r>
              <w:rPr>
                <w:rFonts w:ascii="Arial" w:hAnsi="Arial"/>
                <w:b/>
                <w:color w:val="1D4ED8"/>
                <w:sz w:val="18"/>
              </w:rPr>
              <w:t>'Snap &amp; Understand' Multimodal Vision Pipeline: Camera snapshot and file upload for legal letters, summons, and police notices.</w:t>
            </w:r>
          </w:p>
        </w:tc>
      </w:tr>
      <w:tr>
        <w:tc>
          <w:tcPr>
            <w:tcW w:type="dxa" w:w="3120"/>
            <w:shd w:val="clear" w:color="auto" w:fill="FFFFFF"/>
            <w:tcMar>
              <w:top w:w="80" w:type="dxa"/>
              <w:bottom w:w="80" w:type="dxa"/>
              <w:left w:w="100" w:type="dxa"/>
              <w:right w:w="100" w:type="dxa"/>
            </w:tcMar>
          </w:tcPr>
          <w:p>
            <w:pPr>
              <w:spacing w:after="0" w:line="276" w:lineRule="auto"/>
            </w:pPr>
            <w:r>
              <w:rPr>
                <w:rFonts w:ascii="Arial" w:hAnsi="Arial"/>
                <w:b/>
                <w:color w:val="0F172A"/>
                <w:sz w:val="18"/>
              </w:rPr>
              <w:t>Statutory Deadlines</w:t>
            </w:r>
          </w:p>
        </w:tc>
        <w:tc>
          <w:tcPr>
            <w:tcW w:type="dxa" w:w="3120"/>
            <w:shd w:val="clear" w:color="auto" w:fill="FFFFFF"/>
            <w:tcMar>
              <w:top w:w="80" w:type="dxa"/>
              <w:bottom w:w="80" w:type="dxa"/>
              <w:left w:w="100" w:type="dxa"/>
              <w:right w:w="100" w:type="dxa"/>
            </w:tcMar>
          </w:tcPr>
          <w:p>
            <w:pPr>
              <w:spacing w:after="0" w:line="276" w:lineRule="auto"/>
            </w:pPr>
            <w:r>
              <w:rPr>
                <w:rFonts w:ascii="Arial" w:hAnsi="Arial"/>
                <w:color w:val="334155"/>
                <w:sz w:val="18"/>
              </w:rPr>
              <w:t>No deadline or limitation tracking.</w:t>
            </w:r>
          </w:p>
        </w:tc>
        <w:tc>
          <w:tcPr>
            <w:tcW w:type="dxa" w:w="3120"/>
            <w:shd w:val="clear" w:color="auto" w:fill="FFFFFF"/>
            <w:tcMar>
              <w:top w:w="80" w:type="dxa"/>
              <w:bottom w:w="80" w:type="dxa"/>
              <w:left w:w="100" w:type="dxa"/>
              <w:right w:w="100" w:type="dxa"/>
            </w:tcMar>
          </w:tcPr>
          <w:p>
            <w:pPr>
              <w:spacing w:after="0" w:line="276" w:lineRule="auto"/>
            </w:pPr>
            <w:r>
              <w:rPr>
                <w:rFonts w:ascii="Arial" w:hAnsi="Arial"/>
                <w:b w:val="0"/>
                <w:color w:val="1D4ED8"/>
                <w:sz w:val="18"/>
              </w:rPr>
              <w:t>Statutory Deadline Countdown Engine: Automatically detects and highlights strict legal countdowns (e.g. 15-day Section 138 NI Act rule, 30 days under Order VIII CPC).</w:t>
            </w:r>
          </w:p>
        </w:tc>
      </w:tr>
      <w:tr>
        <w:tc>
          <w:tcPr>
            <w:tcW w:type="dxa" w:w="3120"/>
            <w:shd w:val="clear" w:color="auto" w:fill="F8FAFC"/>
            <w:tcMar>
              <w:top w:w="80" w:type="dxa"/>
              <w:bottom w:w="80" w:type="dxa"/>
              <w:left w:w="100" w:type="dxa"/>
              <w:right w:w="100" w:type="dxa"/>
            </w:tcMar>
          </w:tcPr>
          <w:p>
            <w:pPr>
              <w:spacing w:after="0" w:line="276" w:lineRule="auto"/>
            </w:pPr>
            <w:r>
              <w:rPr>
                <w:rFonts w:ascii="Arial" w:hAnsi="Arial"/>
                <w:b/>
                <w:color w:val="0F172A"/>
                <w:sz w:val="18"/>
              </w:rPr>
              <w:t>AI Reliability</w:t>
            </w:r>
          </w:p>
        </w:tc>
        <w:tc>
          <w:tcPr>
            <w:tcW w:type="dxa" w:w="3120"/>
            <w:shd w:val="clear" w:color="auto" w:fill="F8FAFC"/>
            <w:tcMar>
              <w:top w:w="80" w:type="dxa"/>
              <w:bottom w:w="80" w:type="dxa"/>
              <w:left w:w="100" w:type="dxa"/>
              <w:right w:w="100" w:type="dxa"/>
            </w:tcMar>
          </w:tcPr>
          <w:p>
            <w:pPr>
              <w:spacing w:after="0" w:line="276" w:lineRule="auto"/>
            </w:pPr>
            <w:r>
              <w:rPr>
                <w:rFonts w:ascii="Arial" w:hAnsi="Arial"/>
                <w:color w:val="334155"/>
                <w:sz w:val="18"/>
              </w:rPr>
              <w:t>Single LLM prompt; failed with 500 error if API key was missing or quota exhausted.</w:t>
            </w:r>
          </w:p>
        </w:tc>
        <w:tc>
          <w:tcPr>
            <w:tcW w:type="dxa" w:w="3120"/>
            <w:shd w:val="clear" w:color="auto" w:fill="F8FAFC"/>
            <w:tcMar>
              <w:top w:w="80" w:type="dxa"/>
              <w:bottom w:w="80" w:type="dxa"/>
              <w:left w:w="100" w:type="dxa"/>
              <w:right w:w="100" w:type="dxa"/>
            </w:tcMar>
          </w:tcPr>
          <w:p>
            <w:pPr>
              <w:spacing w:after="0" w:line="276" w:lineRule="auto"/>
            </w:pPr>
            <w:r>
              <w:rPr>
                <w:rFonts w:ascii="Arial" w:hAnsi="Arial"/>
                <w:b w:val="0"/>
                <w:color w:val="1D4ED8"/>
                <w:sz w:val="18"/>
              </w:rPr>
              <w:t>Dual-Layer Zero-Downtime Pipeline: Gemini 2.0 Flash Vision (constrained temp 0.25) backed by an immutable deterministic statutory lookup engine (&lt;15ms latency).</w:t>
            </w:r>
          </w:p>
        </w:tc>
      </w:tr>
      <w:tr>
        <w:tc>
          <w:tcPr>
            <w:tcW w:type="dxa" w:w="3120"/>
            <w:shd w:val="clear" w:color="auto" w:fill="FFFFFF"/>
            <w:tcMar>
              <w:top w:w="80" w:type="dxa"/>
              <w:bottom w:w="80" w:type="dxa"/>
              <w:left w:w="100" w:type="dxa"/>
              <w:right w:w="100" w:type="dxa"/>
            </w:tcMar>
          </w:tcPr>
          <w:p>
            <w:pPr>
              <w:spacing w:after="0" w:line="276" w:lineRule="auto"/>
            </w:pPr>
            <w:r>
              <w:rPr>
                <w:rFonts w:ascii="Arial" w:hAnsi="Arial"/>
                <w:b/>
                <w:color w:val="0F172A"/>
                <w:sz w:val="18"/>
              </w:rPr>
              <w:t>User Interface</w:t>
            </w:r>
          </w:p>
        </w:tc>
        <w:tc>
          <w:tcPr>
            <w:tcW w:type="dxa" w:w="3120"/>
            <w:shd w:val="clear" w:color="auto" w:fill="FFFFFF"/>
            <w:tcMar>
              <w:top w:w="80" w:type="dxa"/>
              <w:bottom w:w="80" w:type="dxa"/>
              <w:left w:w="100" w:type="dxa"/>
              <w:right w:w="100" w:type="dxa"/>
            </w:tcMar>
          </w:tcPr>
          <w:p>
            <w:pPr>
              <w:spacing w:after="0" w:line="276" w:lineRule="auto"/>
            </w:pPr>
            <w:r>
              <w:rPr>
                <w:rFonts w:ascii="Arial" w:hAnsi="Arial"/>
                <w:color w:val="334155"/>
                <w:sz w:val="18"/>
              </w:rPr>
              <w:t>Basic chat screen and advocate list.</w:t>
            </w:r>
          </w:p>
        </w:tc>
        <w:tc>
          <w:tcPr>
            <w:tcW w:type="dxa" w:w="3120"/>
            <w:shd w:val="clear" w:color="auto" w:fill="FFFFFF"/>
            <w:tcMar>
              <w:top w:w="80" w:type="dxa"/>
              <w:bottom w:w="80" w:type="dxa"/>
              <w:left w:w="100" w:type="dxa"/>
              <w:right w:w="100" w:type="dxa"/>
            </w:tcMar>
          </w:tcPr>
          <w:p>
            <w:pPr>
              <w:spacing w:after="0" w:line="276" w:lineRule="auto"/>
            </w:pPr>
            <w:r>
              <w:rPr>
                <w:rFonts w:ascii="Arial" w:hAnsi="Arial"/>
                <w:b w:val="0"/>
                <w:color w:val="1D4ED8"/>
                <w:sz w:val="18"/>
              </w:rPr>
              <w:t>Dashboard Expansion: Added LawMatrixCard visual pills, NoticeScannerModal with pre-loaded demo templates, and responsive banners.</w:t>
            </w:r>
          </w:p>
        </w:tc>
      </w:tr>
    </w:tbl>
    <w:p>
      <w:pPr>
        <w:spacing w:after="160"/>
      </w:pPr>
    </w:p>
    <w:p>
      <w:pPr>
        <w:keepNext/>
        <w:spacing w:before="360" w:after="120"/>
      </w:pPr>
      <w:r>
        <w:rPr>
          <w:rFonts w:ascii="Arial" w:hAnsi="Arial"/>
          <w:b/>
          <w:color w:val="0B2545"/>
          <w:sz w:val="34"/>
        </w:rPr>
        <w:t>3. The Problem Space &amp; Market Opportunity</w:t>
      </w:r>
    </w:p>
    <w:p>
      <w:pPr>
        <w:spacing w:before="0" w:after="100" w:line="276" w:lineRule="auto"/>
      </w:pPr>
      <w:r>
        <w:rPr>
          <w:rFonts w:ascii="Arial" w:hAnsi="Arial"/>
          <w:i w:val="0"/>
          <w:color w:val="334155"/>
          <w:sz w:val="20"/>
        </w:rPr>
        <w:t>Access to justice in India represents one of the largest institutional challenges in modern governance. The project addresses three acute bottlenecks:</w:t>
      </w:r>
    </w:p>
    <w:p>
      <w:pPr>
        <w:keepNext/>
        <w:spacing w:before="240" w:after="80"/>
      </w:pPr>
      <w:r>
        <w:rPr>
          <w:rFonts w:ascii="Arial" w:hAnsi="Arial"/>
          <w:b/>
          <w:color w:val="1D4ED8"/>
          <w:sz w:val="27"/>
        </w:rPr>
        <w:t>1. The 50 Million Case Backlog &amp; The Legalese Barrier</w:t>
      </w:r>
    </w:p>
    <w:p>
      <w:pPr>
        <w:spacing w:before="0" w:after="100" w:line="276" w:lineRule="auto"/>
      </w:pPr>
      <w:r>
        <w:rPr>
          <w:rFonts w:ascii="Arial" w:hAnsi="Arial"/>
          <w:b/>
          <w:color w:val="0F172A"/>
          <w:sz w:val="20"/>
        </w:rPr>
        <w:t xml:space="preserve">Judicial Pendency: </w:t>
      </w:r>
      <w:r>
        <w:rPr>
          <w:rFonts w:ascii="Arial" w:hAnsi="Arial"/>
          <w:i w:val="0"/>
          <w:color w:val="334155"/>
          <w:sz w:val="20"/>
        </w:rPr>
        <w:t>Indian courts currently carry over 50 million pending cases. Over 80% of Indian citizens do not read or speak legal English. When disputes arise, citizens cannot determine whether their matter is criminal, civil, or commercial, leaving them dependent on informal touts and intermediaries who charge exorbitant fees for preliminary guidance.</w:t>
      </w:r>
    </w:p>
    <w:p>
      <w:pPr>
        <w:keepNext/>
        <w:spacing w:before="240" w:after="80"/>
      </w:pPr>
      <w:r>
        <w:rPr>
          <w:rFonts w:ascii="Arial" w:hAnsi="Arial"/>
          <w:b/>
          <w:color w:val="1D4ED8"/>
          <w:sz w:val="27"/>
        </w:rPr>
        <w:t>2. The Historic July 2024 Statutory Overhaul</w:t>
      </w:r>
    </w:p>
    <w:p>
      <w:pPr>
        <w:spacing w:before="0" w:after="100" w:line="276" w:lineRule="auto"/>
      </w:pPr>
      <w:r>
        <w:rPr>
          <w:rFonts w:ascii="Arial" w:hAnsi="Arial"/>
          <w:b/>
          <w:color w:val="0F172A"/>
          <w:sz w:val="20"/>
        </w:rPr>
        <w:t xml:space="preserve">Statutory Migration: </w:t>
      </w:r>
      <w:r>
        <w:rPr>
          <w:rFonts w:ascii="Arial" w:hAnsi="Arial"/>
          <w:i w:val="0"/>
          <w:color w:val="334155"/>
          <w:sz w:val="20"/>
        </w:rPr>
        <w:t>On July 1, 2024, Parliament enacted the most comprehensive criminal law migration since the colonial era:</w:t>
        <w:br/>
        <w:t>• Indian Penal Code, 1860 (IPC) was replaced by the Bharatiya Nyaya Sanhita, 2023 (BNS).</w:t>
        <w:br/>
        <w:t>• Code of Criminal Procedure, 1973 (CrPC) was replaced by the Bharatiya Nagarik Suraksha Sanhita, 2023 (BNSS).</w:t>
        <w:br/>
        <w:t>• Indian Evidence Act, 1872 (IEA) was replaced by the Bharatiya Sakshya Adhiniyam, 2023 (BSA).</w:t>
        <w:br/>
        <w:t>Because thousands of statutory sections were renumbered and updated, virtually all existing academic projects and software tools are legally obsolete. Vakil Setu is among the first academic implementations reflecting active 2024 statutes.</w:t>
      </w:r>
    </w:p>
    <w:p>
      <w:pPr>
        <w:keepNext/>
        <w:spacing w:before="240" w:after="80"/>
      </w:pPr>
      <w:r>
        <w:rPr>
          <w:rFonts w:ascii="Arial" w:hAnsi="Arial"/>
          <w:b/>
          <w:color w:val="1D4ED8"/>
          <w:sz w:val="27"/>
        </w:rPr>
        <w:t>3. The 'Statutory Notice' Panic</w:t>
      </w:r>
    </w:p>
    <w:p>
      <w:pPr>
        <w:spacing w:before="0" w:after="100" w:line="276" w:lineRule="auto"/>
      </w:pPr>
      <w:r>
        <w:rPr>
          <w:rFonts w:ascii="Arial" w:hAnsi="Arial"/>
          <w:b/>
          <w:color w:val="0F172A"/>
          <w:sz w:val="20"/>
        </w:rPr>
        <w:t xml:space="preserve">Procedural Risk: </w:t>
      </w:r>
      <w:r>
        <w:rPr>
          <w:rFonts w:ascii="Arial" w:hAnsi="Arial"/>
          <w:i w:val="0"/>
          <w:color w:val="334155"/>
          <w:sz w:val="20"/>
        </w:rPr>
        <w:t>In commercial and property disputes, legal proceedings begin with registered speed-post notices. For example, under Section 138 of the Negotiable Instruments Act (Cheque Bounce), the recipient has exactly 15 statutory days to pay or reply. Failure to respond allows the magistrate court to issue Non-Bailable Arrest Warrants (NBW). Common citizens freeze or delay opening notices out of fear, turning resolvable disputes into criminal prosecution.</w:t>
      </w:r>
    </w:p>
    <w:p>
      <w:pPr>
        <w:keepNext/>
        <w:spacing w:before="360" w:after="120"/>
      </w:pPr>
      <w:r>
        <w:rPr>
          <w:rFonts w:ascii="Arial" w:hAnsi="Arial"/>
          <w:b/>
          <w:color w:val="0B2545"/>
          <w:sz w:val="34"/>
        </w:rPr>
        <w:t>4. Technical Deep Dive: Standout Features Engineered</w:t>
      </w:r>
    </w:p>
    <w:p>
      <w:pPr>
        <w:keepNext/>
        <w:spacing w:before="240" w:after="80"/>
      </w:pPr>
      <w:r>
        <w:rPr>
          <w:rFonts w:ascii="Arial" w:hAnsi="Arial"/>
          <w:b/>
          <w:color w:val="1D4ED8"/>
          <w:sz w:val="27"/>
        </w:rPr>
        <w:t>Feature 1: The BNS 2024 Statutory Migration &amp; Bail Matrix</w:t>
      </w:r>
    </w:p>
    <w:p>
      <w:pPr>
        <w:spacing w:before="0" w:after="100" w:line="276" w:lineRule="auto"/>
      </w:pPr>
      <w:r>
        <w:rPr>
          <w:rFonts w:ascii="Arial" w:hAnsi="Arial"/>
          <w:i w:val="0"/>
          <w:color w:val="334155"/>
          <w:sz w:val="20"/>
        </w:rPr>
        <w:t>This module ingests unstructured natural language grievances, maps the allegations to the active Bharatiya Nyaya Sanhita (BNS 2023), and computes an actionable procedural matrix:</w:t>
      </w:r>
    </w:p>
    <w:p>
      <w:pPr>
        <w:spacing w:before="0" w:after="100" w:line="276" w:lineRule="auto"/>
      </w:pPr>
      <w:r>
        <w:rPr>
          <w:rFonts w:ascii="Arial" w:hAnsi="Arial"/>
          <w:b/>
          <w:color w:val="0F172A"/>
          <w:sz w:val="20"/>
        </w:rPr>
        <w:t xml:space="preserve">• Cross-Mapping: </w:t>
      </w:r>
      <w:r>
        <w:rPr>
          <w:rFonts w:ascii="Arial" w:hAnsi="Arial"/>
          <w:i w:val="0"/>
          <w:color w:val="334155"/>
          <w:sz w:val="20"/>
        </w:rPr>
        <w:t>Dynamic cross-mapping of legacy IPC sections to active BNS codes with explanatory legal definitions.</w:t>
      </w:r>
    </w:p>
    <w:p>
      <w:pPr>
        <w:spacing w:before="0" w:after="100" w:line="276" w:lineRule="auto"/>
      </w:pPr>
      <w:r>
        <w:rPr>
          <w:rFonts w:ascii="Arial" w:hAnsi="Arial"/>
          <w:b/>
          <w:color w:val="0F172A"/>
          <w:sz w:val="20"/>
        </w:rPr>
        <w:t xml:space="preserve">• Bail Status: </w:t>
      </w:r>
      <w:r>
        <w:rPr>
          <w:rFonts w:ascii="Arial" w:hAnsi="Arial"/>
          <w:i w:val="0"/>
          <w:color w:val="334155"/>
          <w:sz w:val="20"/>
        </w:rPr>
        <w:t>Identifies whether an offense is Bailable (bail as of right) or Non-Bailable (court discretion).</w:t>
      </w:r>
    </w:p>
    <w:p>
      <w:pPr>
        <w:spacing w:before="0" w:after="100" w:line="276" w:lineRule="auto"/>
      </w:pPr>
      <w:r>
        <w:rPr>
          <w:rFonts w:ascii="Arial" w:hAnsi="Arial"/>
          <w:b/>
          <w:color w:val="0F172A"/>
          <w:sz w:val="20"/>
        </w:rPr>
        <w:t xml:space="preserve">• Cognizability: </w:t>
      </w:r>
      <w:r>
        <w:rPr>
          <w:rFonts w:ascii="Arial" w:hAnsi="Arial"/>
          <w:i w:val="0"/>
          <w:color w:val="334155"/>
          <w:sz w:val="20"/>
        </w:rPr>
        <w:t>Determines whether police can register an FIR and arrest without warrant (Cognizable) or require magistrate permission (Non-Cognizable).</w:t>
      </w:r>
    </w:p>
    <w:p>
      <w:pPr>
        <w:spacing w:before="0" w:after="100" w:line="276" w:lineRule="auto"/>
      </w:pPr>
      <w:r>
        <w:rPr>
          <w:rFonts w:ascii="Arial" w:hAnsi="Arial"/>
          <w:b/>
          <w:color w:val="0F172A"/>
          <w:sz w:val="20"/>
        </w:rPr>
        <w:t xml:space="preserve">• Compoundability: </w:t>
      </w:r>
      <w:r>
        <w:rPr>
          <w:rFonts w:ascii="Arial" w:hAnsi="Arial"/>
          <w:i w:val="0"/>
          <w:color w:val="334155"/>
          <w:sz w:val="20"/>
        </w:rPr>
        <w:t>Identifies whether the offense can be settled amicably between parties out of court (Compoundable).</w:t>
      </w:r>
    </w:p>
    <w:p>
      <w:pPr>
        <w:spacing w:before="0" w:after="100" w:line="276" w:lineRule="auto"/>
      </w:pPr>
      <w:r>
        <w:rPr>
          <w:rFonts w:ascii="Arial" w:hAnsi="Arial"/>
          <w:b/>
          <w:color w:val="0F172A"/>
          <w:sz w:val="20"/>
        </w:rPr>
        <w:t xml:space="preserve">• Competent Court: </w:t>
      </w:r>
      <w:r>
        <w:rPr>
          <w:rFonts w:ascii="Arial" w:hAnsi="Arial"/>
          <w:i w:val="0"/>
          <w:color w:val="334155"/>
          <w:sz w:val="20"/>
        </w:rPr>
        <w:t>Identifies trial jurisdiction (Judicial Magistrate First Class, Sessions Court, or Civil/Family Court).</w:t>
      </w:r>
    </w:p>
    <w:p>
      <w:pPr>
        <w:spacing w:before="0" w:after="100" w:line="276" w:lineRule="auto"/>
      </w:pPr>
      <w:r>
        <w:rPr>
          <w:rFonts w:ascii="Arial" w:hAnsi="Arial"/>
          <w:b/>
          <w:color w:val="0F172A"/>
          <w:sz w:val="20"/>
        </w:rPr>
        <w:t xml:space="preserve">• Statutory Safeguards: </w:t>
      </w:r>
      <w:r>
        <w:rPr>
          <w:rFonts w:ascii="Arial" w:hAnsi="Arial"/>
          <w:i w:val="0"/>
          <w:color w:val="334155"/>
          <w:sz w:val="20"/>
        </w:rPr>
        <w:t>Enforces Section 35(3) BNSS mandatory pre-arrest appearance notice for offenses punishable with &lt;= 7 years imprisonment.</w:t>
      </w:r>
    </w:p>
    <w:p>
      <w:pPr>
        <w:keepNext/>
        <w:spacing w:before="160" w:after="40"/>
      </w:pPr>
      <w:r>
        <w:rPr>
          <w:rFonts w:ascii="Arial" w:hAnsi="Arial"/>
          <w:b/>
          <w:color w:val="0F172A"/>
          <w:sz w:val="23"/>
        </w:rPr>
        <w:t>Representative Legal Mappings Implemented:</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2545"/>
            <w:tcMar>
              <w:top w:w="80" w:type="dxa"/>
              <w:bottom w:w="80" w:type="dxa"/>
              <w:left w:w="100" w:type="dxa"/>
              <w:right w:w="100" w:type="dxa"/>
            </w:tcMar>
          </w:tcPr>
          <w:p>
            <w:pPr>
              <w:spacing w:after="0"/>
            </w:pPr>
            <w:r>
              <w:rPr>
                <w:rFonts w:ascii="Arial" w:hAnsi="Arial"/>
                <w:b/>
                <w:color w:val="FFFFFF"/>
                <w:sz w:val="18"/>
              </w:rPr>
              <w:t>Legal Offense Domain</w:t>
            </w:r>
          </w:p>
        </w:tc>
        <w:tc>
          <w:tcPr>
            <w:tcW w:type="dxa" w:w="2340"/>
            <w:shd w:val="clear" w:color="auto" w:fill="0B2545"/>
            <w:tcMar>
              <w:top w:w="80" w:type="dxa"/>
              <w:bottom w:w="80" w:type="dxa"/>
              <w:left w:w="100" w:type="dxa"/>
              <w:right w:w="100" w:type="dxa"/>
            </w:tcMar>
          </w:tcPr>
          <w:p>
            <w:pPr>
              <w:spacing w:after="0"/>
            </w:pPr>
            <w:r>
              <w:rPr>
                <w:rFonts w:ascii="Arial" w:hAnsi="Arial"/>
                <w:b/>
                <w:color w:val="FFFFFF"/>
                <w:sz w:val="18"/>
              </w:rPr>
              <w:t>Repealed Colonial Code</w:t>
            </w:r>
          </w:p>
        </w:tc>
        <w:tc>
          <w:tcPr>
            <w:tcW w:type="dxa" w:w="2340"/>
            <w:shd w:val="clear" w:color="auto" w:fill="0B2545"/>
            <w:tcMar>
              <w:top w:w="80" w:type="dxa"/>
              <w:bottom w:w="80" w:type="dxa"/>
              <w:left w:w="100" w:type="dxa"/>
              <w:right w:w="100" w:type="dxa"/>
            </w:tcMar>
          </w:tcPr>
          <w:p>
            <w:pPr>
              <w:spacing w:after="0"/>
            </w:pPr>
            <w:r>
              <w:rPr>
                <w:rFonts w:ascii="Arial" w:hAnsi="Arial"/>
                <w:b/>
                <w:color w:val="FFFFFF"/>
                <w:sz w:val="18"/>
              </w:rPr>
              <w:t>Active Statute (BNS / BNSS 2023)</w:t>
            </w:r>
          </w:p>
        </w:tc>
        <w:tc>
          <w:tcPr>
            <w:tcW w:type="dxa" w:w="2340"/>
            <w:shd w:val="clear" w:color="auto" w:fill="0B2545"/>
            <w:tcMar>
              <w:top w:w="80" w:type="dxa"/>
              <w:bottom w:w="80" w:type="dxa"/>
              <w:left w:w="100" w:type="dxa"/>
              <w:right w:w="100" w:type="dxa"/>
            </w:tcMar>
          </w:tcPr>
          <w:p>
            <w:pPr>
              <w:spacing w:after="0"/>
            </w:pPr>
            <w:r>
              <w:rPr>
                <w:rFonts w:ascii="Arial" w:hAnsi="Arial"/>
                <w:b/>
                <w:color w:val="FFFFFF"/>
                <w:sz w:val="18"/>
              </w:rPr>
              <w:t>Procedural &amp; Bail Matrix</w:t>
            </w:r>
          </w:p>
        </w:tc>
      </w:tr>
      <w:tr>
        <w:tc>
          <w:tcPr>
            <w:tcW w:type="dxa" w:w="2340"/>
            <w:shd w:val="clear" w:color="auto" w:fill="FFFFFF"/>
            <w:tcMar>
              <w:top w:w="60" w:type="dxa"/>
              <w:bottom w:w="60" w:type="dxa"/>
              <w:left w:w="80" w:type="dxa"/>
              <w:right w:w="80" w:type="dxa"/>
            </w:tcMar>
          </w:tcPr>
          <w:p>
            <w:pPr>
              <w:spacing w:after="0"/>
            </w:pPr>
            <w:r>
              <w:rPr>
                <w:rFonts w:ascii="Arial" w:hAnsi="Arial"/>
                <w:color w:val="0F172A"/>
                <w:sz w:val="17"/>
              </w:rPr>
              <w:t>Theft &amp; Stolen Property</w:t>
            </w:r>
          </w:p>
        </w:tc>
        <w:tc>
          <w:tcPr>
            <w:tcW w:type="dxa" w:w="2340"/>
            <w:shd w:val="clear" w:color="auto" w:fill="FFFFFF"/>
            <w:tcMar>
              <w:top w:w="60" w:type="dxa"/>
              <w:bottom w:w="60" w:type="dxa"/>
              <w:left w:w="80" w:type="dxa"/>
              <w:right w:w="80" w:type="dxa"/>
            </w:tcMar>
          </w:tcPr>
          <w:p>
            <w:pPr>
              <w:spacing w:after="0"/>
            </w:pPr>
            <w:r>
              <w:rPr>
                <w:rFonts w:ascii="Arial" w:hAnsi="Arial"/>
                <w:color w:val="0F172A"/>
                <w:sz w:val="17"/>
              </w:rPr>
              <w:t>IPC Section 379</w:t>
            </w:r>
          </w:p>
        </w:tc>
        <w:tc>
          <w:tcPr>
            <w:tcW w:type="dxa" w:w="2340"/>
            <w:shd w:val="clear" w:color="auto" w:fill="FFFFFF"/>
            <w:tcMar>
              <w:top w:w="60" w:type="dxa"/>
              <w:bottom w:w="60" w:type="dxa"/>
              <w:left w:w="80" w:type="dxa"/>
              <w:right w:w="80" w:type="dxa"/>
            </w:tcMar>
          </w:tcPr>
          <w:p>
            <w:pPr>
              <w:spacing w:after="0"/>
            </w:pPr>
            <w:r>
              <w:rPr>
                <w:rFonts w:ascii="Arial" w:hAnsi="Arial"/>
                <w:b/>
                <w:color w:val="1D4ED8"/>
                <w:sz w:val="17"/>
              </w:rPr>
              <w:t>BNS Section 303(2)</w:t>
            </w:r>
          </w:p>
        </w:tc>
        <w:tc>
          <w:tcPr>
            <w:tcW w:type="dxa" w:w="2340"/>
            <w:shd w:val="clear" w:color="auto" w:fill="FFFFFF"/>
            <w:tcMar>
              <w:top w:w="60" w:type="dxa"/>
              <w:bottom w:w="60" w:type="dxa"/>
              <w:left w:w="80" w:type="dxa"/>
              <w:right w:w="80" w:type="dxa"/>
            </w:tcMar>
          </w:tcPr>
          <w:p>
            <w:pPr>
              <w:spacing w:after="0"/>
            </w:pPr>
            <w:r>
              <w:rPr>
                <w:rFonts w:ascii="Arial" w:hAnsi="Arial"/>
                <w:color w:val="0F172A"/>
                <w:sz w:val="17"/>
              </w:rPr>
              <w:t>Non-Bailable (&gt;INR 5,000) • Cognizable • JMFC Court</w:t>
            </w:r>
          </w:p>
        </w:tc>
      </w:tr>
      <w:tr>
        <w:tc>
          <w:tcPr>
            <w:tcW w:type="dxa" w:w="2340"/>
            <w:shd w:val="clear" w:color="auto" w:fill="F8FAFC"/>
            <w:tcMar>
              <w:top w:w="60" w:type="dxa"/>
              <w:bottom w:w="60" w:type="dxa"/>
              <w:left w:w="80" w:type="dxa"/>
              <w:right w:w="80" w:type="dxa"/>
            </w:tcMar>
          </w:tcPr>
          <w:p>
            <w:pPr>
              <w:spacing w:after="0"/>
            </w:pPr>
            <w:r>
              <w:rPr>
                <w:rFonts w:ascii="Arial" w:hAnsi="Arial"/>
                <w:color w:val="0F172A"/>
                <w:sz w:val="17"/>
              </w:rPr>
              <w:t>Cheating &amp; Financial Fraud</w:t>
            </w:r>
          </w:p>
        </w:tc>
        <w:tc>
          <w:tcPr>
            <w:tcW w:type="dxa" w:w="2340"/>
            <w:shd w:val="clear" w:color="auto" w:fill="F8FAFC"/>
            <w:tcMar>
              <w:top w:w="60" w:type="dxa"/>
              <w:bottom w:w="60" w:type="dxa"/>
              <w:left w:w="80" w:type="dxa"/>
              <w:right w:w="80" w:type="dxa"/>
            </w:tcMar>
          </w:tcPr>
          <w:p>
            <w:pPr>
              <w:spacing w:after="0"/>
            </w:pPr>
            <w:r>
              <w:rPr>
                <w:rFonts w:ascii="Arial" w:hAnsi="Arial"/>
                <w:color w:val="0F172A"/>
                <w:sz w:val="17"/>
              </w:rPr>
              <w:t>IPC Section 420</w:t>
            </w:r>
          </w:p>
        </w:tc>
        <w:tc>
          <w:tcPr>
            <w:tcW w:type="dxa" w:w="2340"/>
            <w:shd w:val="clear" w:color="auto" w:fill="F8FAFC"/>
            <w:tcMar>
              <w:top w:w="60" w:type="dxa"/>
              <w:bottom w:w="60" w:type="dxa"/>
              <w:left w:w="80" w:type="dxa"/>
              <w:right w:w="80" w:type="dxa"/>
            </w:tcMar>
          </w:tcPr>
          <w:p>
            <w:pPr>
              <w:spacing w:after="0"/>
            </w:pPr>
            <w:r>
              <w:rPr>
                <w:rFonts w:ascii="Arial" w:hAnsi="Arial"/>
                <w:b/>
                <w:color w:val="1D4ED8"/>
                <w:sz w:val="17"/>
              </w:rPr>
              <w:t>BNS Section 318(4)</w:t>
            </w:r>
          </w:p>
        </w:tc>
        <w:tc>
          <w:tcPr>
            <w:tcW w:type="dxa" w:w="2340"/>
            <w:shd w:val="clear" w:color="auto" w:fill="F8FAFC"/>
            <w:tcMar>
              <w:top w:w="60" w:type="dxa"/>
              <w:bottom w:w="60" w:type="dxa"/>
              <w:left w:w="80" w:type="dxa"/>
              <w:right w:w="80" w:type="dxa"/>
            </w:tcMar>
          </w:tcPr>
          <w:p>
            <w:pPr>
              <w:spacing w:after="0"/>
            </w:pPr>
            <w:r>
              <w:rPr>
                <w:rFonts w:ascii="Arial" w:hAnsi="Arial"/>
                <w:color w:val="0F172A"/>
                <w:sz w:val="17"/>
              </w:rPr>
              <w:t>Non-Bailable • Cognizable • Sec 107 BNSS Account Freeze</w:t>
            </w:r>
          </w:p>
        </w:tc>
      </w:tr>
      <w:tr>
        <w:tc>
          <w:tcPr>
            <w:tcW w:type="dxa" w:w="2340"/>
            <w:shd w:val="clear" w:color="auto" w:fill="FFFFFF"/>
            <w:tcMar>
              <w:top w:w="60" w:type="dxa"/>
              <w:bottom w:w="60" w:type="dxa"/>
              <w:left w:w="80" w:type="dxa"/>
              <w:right w:w="80" w:type="dxa"/>
            </w:tcMar>
          </w:tcPr>
          <w:p>
            <w:pPr>
              <w:spacing w:after="0"/>
            </w:pPr>
            <w:r>
              <w:rPr>
                <w:rFonts w:ascii="Arial" w:hAnsi="Arial"/>
                <w:color w:val="0F172A"/>
                <w:sz w:val="17"/>
              </w:rPr>
              <w:t>Assault &amp; Simple Hurt</w:t>
            </w:r>
          </w:p>
        </w:tc>
        <w:tc>
          <w:tcPr>
            <w:tcW w:type="dxa" w:w="2340"/>
            <w:shd w:val="clear" w:color="auto" w:fill="FFFFFF"/>
            <w:tcMar>
              <w:top w:w="60" w:type="dxa"/>
              <w:bottom w:w="60" w:type="dxa"/>
              <w:left w:w="80" w:type="dxa"/>
              <w:right w:w="80" w:type="dxa"/>
            </w:tcMar>
          </w:tcPr>
          <w:p>
            <w:pPr>
              <w:spacing w:after="0"/>
            </w:pPr>
            <w:r>
              <w:rPr>
                <w:rFonts w:ascii="Arial" w:hAnsi="Arial"/>
                <w:color w:val="0F172A"/>
                <w:sz w:val="17"/>
              </w:rPr>
              <w:t>IPC Section 323</w:t>
            </w:r>
          </w:p>
        </w:tc>
        <w:tc>
          <w:tcPr>
            <w:tcW w:type="dxa" w:w="2340"/>
            <w:shd w:val="clear" w:color="auto" w:fill="FFFFFF"/>
            <w:tcMar>
              <w:top w:w="60" w:type="dxa"/>
              <w:bottom w:w="60" w:type="dxa"/>
              <w:left w:w="80" w:type="dxa"/>
              <w:right w:w="80" w:type="dxa"/>
            </w:tcMar>
          </w:tcPr>
          <w:p>
            <w:pPr>
              <w:spacing w:after="0"/>
            </w:pPr>
            <w:r>
              <w:rPr>
                <w:rFonts w:ascii="Arial" w:hAnsi="Arial"/>
                <w:b/>
                <w:color w:val="1D4ED8"/>
                <w:sz w:val="17"/>
              </w:rPr>
              <w:t>BNS Section 115(2)</w:t>
            </w:r>
          </w:p>
        </w:tc>
        <w:tc>
          <w:tcPr>
            <w:tcW w:type="dxa" w:w="2340"/>
            <w:shd w:val="clear" w:color="auto" w:fill="FFFFFF"/>
            <w:tcMar>
              <w:top w:w="60" w:type="dxa"/>
              <w:bottom w:w="60" w:type="dxa"/>
              <w:left w:w="80" w:type="dxa"/>
              <w:right w:w="80" w:type="dxa"/>
            </w:tcMar>
          </w:tcPr>
          <w:p>
            <w:pPr>
              <w:spacing w:after="0"/>
            </w:pPr>
            <w:r>
              <w:rPr>
                <w:rFonts w:ascii="Arial" w:hAnsi="Arial"/>
                <w:color w:val="0F172A"/>
                <w:sz w:val="17"/>
              </w:rPr>
              <w:t>Bailable • Non-Cognizable • Compoundable</w:t>
            </w:r>
          </w:p>
        </w:tc>
      </w:tr>
      <w:tr>
        <w:tc>
          <w:tcPr>
            <w:tcW w:type="dxa" w:w="2340"/>
            <w:shd w:val="clear" w:color="auto" w:fill="F8FAFC"/>
            <w:tcMar>
              <w:top w:w="60" w:type="dxa"/>
              <w:bottom w:w="60" w:type="dxa"/>
              <w:left w:w="80" w:type="dxa"/>
              <w:right w:w="80" w:type="dxa"/>
            </w:tcMar>
          </w:tcPr>
          <w:p>
            <w:pPr>
              <w:spacing w:after="0"/>
            </w:pPr>
            <w:r>
              <w:rPr>
                <w:rFonts w:ascii="Arial" w:hAnsi="Arial"/>
                <w:color w:val="0F172A"/>
                <w:sz w:val="17"/>
              </w:rPr>
              <w:t>Mandatory FIR (Zero FIR)</w:t>
            </w:r>
          </w:p>
        </w:tc>
        <w:tc>
          <w:tcPr>
            <w:tcW w:type="dxa" w:w="2340"/>
            <w:shd w:val="clear" w:color="auto" w:fill="F8FAFC"/>
            <w:tcMar>
              <w:top w:w="60" w:type="dxa"/>
              <w:bottom w:w="60" w:type="dxa"/>
              <w:left w:w="80" w:type="dxa"/>
              <w:right w:w="80" w:type="dxa"/>
            </w:tcMar>
          </w:tcPr>
          <w:p>
            <w:pPr>
              <w:spacing w:after="0"/>
            </w:pPr>
            <w:r>
              <w:rPr>
                <w:rFonts w:ascii="Arial" w:hAnsi="Arial"/>
                <w:color w:val="0F172A"/>
                <w:sz w:val="17"/>
              </w:rPr>
              <w:t>CrPC Section 154</w:t>
            </w:r>
          </w:p>
        </w:tc>
        <w:tc>
          <w:tcPr>
            <w:tcW w:type="dxa" w:w="2340"/>
            <w:shd w:val="clear" w:color="auto" w:fill="F8FAFC"/>
            <w:tcMar>
              <w:top w:w="60" w:type="dxa"/>
              <w:bottom w:w="60" w:type="dxa"/>
              <w:left w:w="80" w:type="dxa"/>
              <w:right w:w="80" w:type="dxa"/>
            </w:tcMar>
          </w:tcPr>
          <w:p>
            <w:pPr>
              <w:spacing w:after="0"/>
            </w:pPr>
            <w:r>
              <w:rPr>
                <w:rFonts w:ascii="Arial" w:hAnsi="Arial"/>
                <w:b/>
                <w:color w:val="1D4ED8"/>
                <w:sz w:val="17"/>
              </w:rPr>
              <w:t>BNSS Section 173</w:t>
            </w:r>
          </w:p>
        </w:tc>
        <w:tc>
          <w:tcPr>
            <w:tcW w:type="dxa" w:w="2340"/>
            <w:shd w:val="clear" w:color="auto" w:fill="F8FAFC"/>
            <w:tcMar>
              <w:top w:w="60" w:type="dxa"/>
              <w:bottom w:w="60" w:type="dxa"/>
              <w:left w:w="80" w:type="dxa"/>
              <w:right w:w="80" w:type="dxa"/>
            </w:tcMar>
          </w:tcPr>
          <w:p>
            <w:pPr>
              <w:spacing w:after="0"/>
            </w:pPr>
            <w:r>
              <w:rPr>
                <w:rFonts w:ascii="Arial" w:hAnsi="Arial"/>
                <w:color w:val="0F172A"/>
                <w:sz w:val="17"/>
              </w:rPr>
              <w:t>Mandatory FIR • Free Signed Copy to Victim</w:t>
            </w:r>
          </w:p>
        </w:tc>
      </w:tr>
    </w:tbl>
    <w:p>
      <w:pPr>
        <w:spacing w:after="120"/>
      </w:pPr>
    </w:p>
    <w:p>
      <w:pPr>
        <w:keepNext/>
        <w:spacing w:before="240" w:after="80"/>
      </w:pPr>
      <w:r>
        <w:rPr>
          <w:rFonts w:ascii="Arial" w:hAnsi="Arial"/>
          <w:b/>
          <w:color w:val="1D4ED8"/>
          <w:sz w:val="27"/>
        </w:rPr>
        <w:t>Feature 2: 'Snap &amp; Understand' Document Intelligence Engine</w:t>
      </w:r>
    </w:p>
    <w:p>
      <w:pPr>
        <w:spacing w:before="0" w:after="100" w:line="276" w:lineRule="auto"/>
      </w:pPr>
      <w:r>
        <w:rPr>
          <w:rFonts w:ascii="Arial" w:hAnsi="Arial"/>
          <w:i w:val="0"/>
          <w:color w:val="334155"/>
          <w:sz w:val="20"/>
        </w:rPr>
        <w:t>This module resolves the panic associated with court notices, summons, and demand letters through an automated computer vision pipeline:</w:t>
      </w:r>
    </w:p>
    <w:p>
      <w:pPr>
        <w:spacing w:before="0" w:after="100" w:line="276" w:lineRule="auto"/>
      </w:pPr>
      <w:r>
        <w:rPr>
          <w:rFonts w:ascii="Arial" w:hAnsi="Arial"/>
          <w:b/>
          <w:color w:val="0F172A"/>
          <w:sz w:val="20"/>
        </w:rPr>
        <w:t xml:space="preserve">1. Multimodal Ingestion: </w:t>
      </w:r>
      <w:r>
        <w:rPr>
          <w:rFonts w:ascii="Arial" w:hAnsi="Arial"/>
          <w:i w:val="0"/>
          <w:color w:val="334155"/>
          <w:sz w:val="20"/>
        </w:rPr>
        <w:t>Direct camera snapshot from laptop/mobile or PDF/image upload.</w:t>
      </w:r>
    </w:p>
    <w:p>
      <w:pPr>
        <w:spacing w:before="0" w:after="100" w:line="276" w:lineRule="auto"/>
      </w:pPr>
      <w:r>
        <w:rPr>
          <w:rFonts w:ascii="Arial" w:hAnsi="Arial"/>
          <w:b/>
          <w:color w:val="0F172A"/>
          <w:sz w:val="20"/>
        </w:rPr>
        <w:t xml:space="preserve">2. Vision OCR Analysis: </w:t>
      </w:r>
      <w:r>
        <w:rPr>
          <w:rFonts w:ascii="Arial" w:hAnsi="Arial"/>
          <w:i w:val="0"/>
          <w:color w:val="334155"/>
          <w:sz w:val="20"/>
        </w:rPr>
        <w:t>Ingested via Google Gemini 2.0 Flash Vision (with local pattern extraction fallback).</w:t>
      </w:r>
    </w:p>
    <w:p>
      <w:pPr>
        <w:spacing w:before="0" w:after="100" w:line="276" w:lineRule="auto"/>
      </w:pPr>
      <w:r>
        <w:rPr>
          <w:rFonts w:ascii="Arial" w:hAnsi="Arial"/>
          <w:b/>
          <w:color w:val="0F172A"/>
          <w:sz w:val="20"/>
        </w:rPr>
        <w:t xml:space="preserve">3. Statutory Extraction: </w:t>
      </w:r>
      <w:r>
        <w:rPr>
          <w:rFonts w:ascii="Arial" w:hAnsi="Arial"/>
          <w:i w:val="0"/>
          <w:color w:val="334155"/>
          <w:sz w:val="20"/>
        </w:rPr>
        <w:t>Extracts issuing authority, complainant advocate, court name, and financial claim amounts (e.g. INR 2,50,000).</w:t>
      </w:r>
    </w:p>
    <w:p>
      <w:pPr>
        <w:spacing w:before="0" w:after="100" w:line="276" w:lineRule="auto"/>
      </w:pPr>
      <w:r>
        <w:rPr>
          <w:rFonts w:ascii="Arial" w:hAnsi="Arial"/>
          <w:b/>
          <w:color w:val="0F172A"/>
          <w:sz w:val="20"/>
        </w:rPr>
        <w:t xml:space="preserve">4. Deadline Countdown Banner: </w:t>
      </w:r>
      <w:r>
        <w:rPr>
          <w:rFonts w:ascii="Arial" w:hAnsi="Arial"/>
          <w:i w:val="0"/>
          <w:color w:val="334155"/>
          <w:sz w:val="20"/>
        </w:rPr>
        <w:t>Calculates statutory limitation periods (e.g. strict 15-day countdown under Section 138 NI Act; 30 days under Order VIII CPC).</w:t>
      </w:r>
    </w:p>
    <w:p>
      <w:pPr>
        <w:spacing w:before="0" w:after="100" w:line="276" w:lineRule="auto"/>
      </w:pPr>
      <w:r>
        <w:rPr>
          <w:rFonts w:ascii="Arial" w:hAnsi="Arial"/>
          <w:b/>
          <w:color w:val="0F172A"/>
          <w:sz w:val="20"/>
        </w:rPr>
        <w:t xml:space="preserve">5. Plain-Language Synthesis: </w:t>
      </w:r>
      <w:r>
        <w:rPr>
          <w:rFonts w:ascii="Arial" w:hAnsi="Arial"/>
          <w:i w:val="0"/>
          <w:color w:val="334155"/>
          <w:sz w:val="20"/>
        </w:rPr>
        <w:t>Translates complex legalese into 3 clear, jargon-free sentences in plain English or Hindi.</w:t>
      </w:r>
    </w:p>
    <w:p>
      <w:pPr>
        <w:spacing w:before="0" w:after="100" w:line="276" w:lineRule="auto"/>
      </w:pPr>
      <w:r>
        <w:rPr>
          <w:rFonts w:ascii="Arial" w:hAnsi="Arial"/>
          <w:b/>
          <w:color w:val="0F172A"/>
          <w:sz w:val="20"/>
        </w:rPr>
        <w:t xml:space="preserve">6. Risk Profiling: </w:t>
      </w:r>
      <w:r>
        <w:rPr>
          <w:rFonts w:ascii="Arial" w:hAnsi="Arial"/>
          <w:i w:val="0"/>
          <w:color w:val="334155"/>
          <w:sz w:val="20"/>
        </w:rPr>
        <w:t>Highlights exact risks of inaction (Ex-Parte Decrees, bank account freezing, Non-Bailable Arrest Warrants).</w:t>
      </w:r>
    </w:p>
    <w:p>
      <w:pPr>
        <w:spacing w:before="0" w:after="100" w:line="276" w:lineRule="auto"/>
      </w:pPr>
      <w:r>
        <w:rPr>
          <w:rFonts w:ascii="Arial" w:hAnsi="Arial"/>
          <w:b/>
          <w:color w:val="0F172A"/>
          <w:sz w:val="20"/>
        </w:rPr>
        <w:t xml:space="preserve">7. Defense Strategy &amp; Dispatch: </w:t>
      </w:r>
      <w:r>
        <w:rPr>
          <w:rFonts w:ascii="Arial" w:hAnsi="Arial"/>
          <w:i w:val="0"/>
          <w:color w:val="334155"/>
          <w:sz w:val="20"/>
        </w:rPr>
        <w:t>Outlines 3 concrete steps before hiring an attorney and dispatches matched advocates with 1 click.</w:t>
      </w:r>
    </w:p>
    <w:p>
      <w:pPr>
        <w:keepNext/>
        <w:spacing w:before="360" w:after="120"/>
      </w:pPr>
      <w:r>
        <w:rPr>
          <w:rFonts w:ascii="Arial" w:hAnsi="Arial"/>
          <w:b/>
          <w:color w:val="0B2545"/>
          <w:sz w:val="34"/>
        </w:rPr>
        <w:t>5. Enterprise System Architecture &amp; Engineering Specifications</w:t>
      </w:r>
    </w:p>
    <w:p>
      <w:pPr>
        <w:spacing w:before="0" w:after="100" w:line="276" w:lineRule="auto"/>
      </w:pPr>
      <w:r>
        <w:rPr>
          <w:rFonts w:ascii="Arial" w:hAnsi="Arial"/>
          <w:i w:val="0"/>
          <w:color w:val="334155"/>
          <w:sz w:val="20"/>
        </w:rPr>
        <w:t>Vakil Setu is engineered on a decoupled 4-tier full-stack architecture designed for enterprise scalability, sub-second responsiveness, and zero downtime:</w:t>
      </w:r>
    </w:p>
    <w:p>
      <w:pPr>
        <w:keepNext/>
        <w:spacing w:before="240" w:after="80"/>
      </w:pPr>
      <w:r>
        <w:rPr>
          <w:rFonts w:ascii="Arial" w:hAnsi="Arial"/>
          <w:b/>
          <w:color w:val="1D4ED8"/>
          <w:sz w:val="27"/>
        </w:rPr>
        <w:t>4-Tier Architectural Breakdown</w:t>
      </w:r>
    </w:p>
    <w:p>
      <w:pPr>
        <w:spacing w:before="0" w:after="100" w:line="276" w:lineRule="auto"/>
      </w:pPr>
      <w:r>
        <w:rPr>
          <w:rFonts w:ascii="Arial" w:hAnsi="Arial"/>
          <w:b/>
          <w:color w:val="0F172A"/>
          <w:sz w:val="20"/>
        </w:rPr>
        <w:t xml:space="preserve">Tier 1 — Presentation Layer: </w:t>
      </w:r>
      <w:r>
        <w:rPr>
          <w:rFonts w:ascii="Arial" w:hAnsi="Arial"/>
          <w:i w:val="0"/>
          <w:color w:val="334155"/>
          <w:sz w:val="20"/>
        </w:rPr>
        <w:t>React 18 Single-Page Application (SPA) bundled with Vite 5.4. Integrates browser-level Web Speech Recognition (STT), SpeechSynthesis (TTS), camera capture buffers, session state context, and responsive design systems.</w:t>
      </w:r>
    </w:p>
    <w:p>
      <w:pPr>
        <w:spacing w:before="0" w:after="100" w:line="276" w:lineRule="auto"/>
      </w:pPr>
      <w:r>
        <w:rPr>
          <w:rFonts w:ascii="Arial" w:hAnsi="Arial"/>
          <w:b/>
          <w:color w:val="0F172A"/>
          <w:sz w:val="20"/>
        </w:rPr>
        <w:t xml:space="preserve">Tier 2 — API Gateway &amp; Middleware: </w:t>
      </w:r>
      <w:r>
        <w:rPr>
          <w:rFonts w:ascii="Arial" w:hAnsi="Arial"/>
          <w:i w:val="0"/>
          <w:color w:val="334155"/>
          <w:sz w:val="20"/>
        </w:rPr>
        <w:t>Node.js with Express (ES Modules). Handles RESTful routing, multipart buffer streaming, rate limiting, advocate triage dispatching, and Razorpay payment SDK integration.</w:t>
      </w:r>
    </w:p>
    <w:p>
      <w:pPr>
        <w:spacing w:before="0" w:after="100" w:line="276" w:lineRule="auto"/>
      </w:pPr>
      <w:r>
        <w:rPr>
          <w:rFonts w:ascii="Arial" w:hAnsi="Arial"/>
          <w:b/>
          <w:color w:val="0F172A"/>
          <w:sz w:val="20"/>
        </w:rPr>
        <w:t xml:space="preserve">Tier 3 — AI Inference &amp; Fallback Engine: </w:t>
      </w:r>
      <w:r>
        <w:rPr>
          <w:rFonts w:ascii="Arial" w:hAnsi="Arial"/>
          <w:i w:val="0"/>
          <w:color w:val="334155"/>
          <w:sz w:val="20"/>
        </w:rPr>
        <w:t>Dual-engine pipeline. Primary inference via Google Gemini 2.0 Flash Multimodal Vision (constrained temperature 0.25, strict JSON schema validation). Secondary fallback via an immutable deterministic statutory lookup engine executing in &lt;15ms.</w:t>
      </w:r>
    </w:p>
    <w:p>
      <w:pPr>
        <w:spacing w:before="0" w:after="100" w:line="276" w:lineRule="auto"/>
      </w:pPr>
      <w:r>
        <w:rPr>
          <w:rFonts w:ascii="Arial" w:hAnsi="Arial"/>
          <w:b/>
          <w:color w:val="0F172A"/>
          <w:sz w:val="20"/>
        </w:rPr>
        <w:t xml:space="preserve">Tier 4 — Persistence &amp; Data Layer: </w:t>
      </w:r>
      <w:r>
        <w:rPr>
          <w:rFonts w:ascii="Arial" w:hAnsi="Arial"/>
          <w:i w:val="0"/>
          <w:color w:val="334155"/>
          <w:sz w:val="20"/>
        </w:rPr>
        <w:t>MongoDB document cluster with Mongoose ODM. Maintains advocate directory indexes (practice domain, experience, language, availability), consultation booking ledgers, encrypted sessions, and statutory references.</w:t>
      </w:r>
    </w:p>
    <w:p>
      <w:pPr>
        <w:keepNext/>
        <w:spacing w:before="240" w:after="80"/>
      </w:pPr>
      <w:r>
        <w:rPr>
          <w:rFonts w:ascii="Arial" w:hAnsi="Arial"/>
          <w:b/>
          <w:color w:val="1D4ED8"/>
          <w:sz w:val="27"/>
        </w:rPr>
        <w:t>Quantitative Performance &amp; Build Benchmarks</w:t>
      </w:r>
    </w:p>
    <w:p>
      <w:pPr>
        <w:spacing w:before="0" w:after="100" w:line="276" w:lineRule="auto"/>
      </w:pPr>
      <w:r>
        <w:rPr>
          <w:rFonts w:ascii="Arial" w:hAnsi="Arial"/>
          <w:b/>
          <w:color w:val="0F172A"/>
          <w:sz w:val="20"/>
        </w:rPr>
        <w:t xml:space="preserve">• Vite Compilation Speed: </w:t>
      </w:r>
      <w:r>
        <w:rPr>
          <w:rFonts w:ascii="Arial" w:hAnsi="Arial"/>
          <w:i w:val="0"/>
          <w:color w:val="334155"/>
          <w:sz w:val="20"/>
        </w:rPr>
        <w:t>Production build completes in exactly 668 milliseconds with zero warnings and zero TypeScript/ESLint errors.</w:t>
      </w:r>
    </w:p>
    <w:p>
      <w:pPr>
        <w:spacing w:before="0" w:after="100" w:line="276" w:lineRule="auto"/>
      </w:pPr>
      <w:r>
        <w:rPr>
          <w:rFonts w:ascii="Arial" w:hAnsi="Arial"/>
          <w:b/>
          <w:color w:val="0F172A"/>
          <w:sz w:val="20"/>
        </w:rPr>
        <w:t xml:space="preserve">• Production Bundle Size: </w:t>
      </w:r>
      <w:r>
        <w:rPr>
          <w:rFonts w:ascii="Arial" w:hAnsi="Arial"/>
          <w:i w:val="0"/>
          <w:color w:val="334155"/>
          <w:sz w:val="20"/>
        </w:rPr>
        <w:t>Optimized production bundle of 219 kB (72 kB gzipped) ensuring instant loading on 3G/4G mobile networks.</w:t>
      </w:r>
    </w:p>
    <w:p>
      <w:pPr>
        <w:spacing w:before="0" w:after="100" w:line="276" w:lineRule="auto"/>
      </w:pPr>
      <w:r>
        <w:rPr>
          <w:rFonts w:ascii="Arial" w:hAnsi="Arial"/>
          <w:b/>
          <w:color w:val="0F172A"/>
          <w:sz w:val="20"/>
        </w:rPr>
        <w:t xml:space="preserve">• Voice Triage Latency: </w:t>
      </w:r>
      <w:r>
        <w:rPr>
          <w:rFonts w:ascii="Arial" w:hAnsi="Arial"/>
          <w:i w:val="0"/>
          <w:color w:val="334155"/>
          <w:sz w:val="20"/>
        </w:rPr>
        <w:t>Voice speech-to-text plus legal triage inference executes in under 1.8 seconds on standard broadband.</w:t>
      </w:r>
    </w:p>
    <w:p>
      <w:pPr>
        <w:spacing w:before="0" w:after="100" w:line="276" w:lineRule="auto"/>
      </w:pPr>
      <w:r>
        <w:rPr>
          <w:rFonts w:ascii="Arial" w:hAnsi="Arial"/>
          <w:b/>
          <w:color w:val="0F172A"/>
          <w:sz w:val="20"/>
        </w:rPr>
        <w:t xml:space="preserve">• Fallback Engine Latency: </w:t>
      </w:r>
      <w:r>
        <w:rPr>
          <w:rFonts w:ascii="Arial" w:hAnsi="Arial"/>
          <w:i w:val="0"/>
          <w:color w:val="334155"/>
          <w:sz w:val="20"/>
        </w:rPr>
        <w:t>If external API quotas are exhausted, deterministic local fallback executes in under 15 milliseconds.</w:t>
      </w:r>
    </w:p>
    <w:p>
      <w:pPr>
        <w:keepNext/>
        <w:spacing w:before="360" w:after="120"/>
      </w:pPr>
      <w:r>
        <w:rPr>
          <w:rFonts w:ascii="Arial" w:hAnsi="Arial"/>
          <w:b/>
          <w:color w:val="0B2545"/>
          <w:sz w:val="34"/>
        </w:rPr>
        <w:t>6. Regulatory Governance, Ethics &amp; Constitutional Mandates</w:t>
      </w:r>
    </w:p>
    <w:p>
      <w:pPr>
        <w:spacing w:before="0" w:after="100" w:line="276" w:lineRule="auto"/>
      </w:pPr>
      <w:r>
        <w:rPr>
          <w:rFonts w:ascii="Arial" w:hAnsi="Arial"/>
          <w:i w:val="0"/>
          <w:color w:val="334155"/>
          <w:sz w:val="20"/>
        </w:rPr>
        <w:t>A critical area of evaluation in legal technology is ensuring the platform complies with statutory regulations and does not engage in the unauthorized practice of law:</w:t>
      </w:r>
    </w:p>
    <w:p>
      <w:pPr>
        <w:keepNext/>
        <w:spacing w:before="240" w:after="80"/>
      </w:pPr>
      <w:r>
        <w:rPr>
          <w:rFonts w:ascii="Arial" w:hAnsi="Arial"/>
          <w:b/>
          <w:color w:val="1D4ED8"/>
          <w:sz w:val="27"/>
        </w:rPr>
        <w:t>1. Compliance with Section 29, Advocates Act, 1961</w:t>
      </w:r>
    </w:p>
    <w:p>
      <w:pPr>
        <w:spacing w:before="0" w:after="100" w:line="276" w:lineRule="auto"/>
      </w:pPr>
      <w:r>
        <w:rPr>
          <w:rFonts w:ascii="Arial" w:hAnsi="Arial"/>
          <w:b/>
          <w:color w:val="0F172A"/>
          <w:sz w:val="20"/>
        </w:rPr>
        <w:t xml:space="preserve">Statutory Limitation: </w:t>
      </w:r>
      <w:r>
        <w:rPr>
          <w:rFonts w:ascii="Arial" w:hAnsi="Arial"/>
          <w:i w:val="0"/>
          <w:color w:val="334155"/>
          <w:sz w:val="20"/>
        </w:rPr>
        <w:t>Section 29 of the Advocates Act, 1961, establishes that only advocates enrolled with a State Bar Council are entitled to practice law in India. Vakil Setu strictly complies with this statute by operating solely as an **informational triage filter and pre-intake awareness bridge**. It does not represent clients, draft contested court pleadings, or provide advocate-client privileged opinions. Every screen features explicit disclaimers, funnelling the citizen to licensed advocates for legal representation.</w:t>
      </w:r>
    </w:p>
    <w:p>
      <w:pPr>
        <w:keepNext/>
        <w:spacing w:before="240" w:after="80"/>
      </w:pPr>
      <w:r>
        <w:rPr>
          <w:rFonts w:ascii="Arial" w:hAnsi="Arial"/>
          <w:b/>
          <w:color w:val="1D4ED8"/>
          <w:sz w:val="27"/>
        </w:rPr>
        <w:t>2. Constitutional Alignment with Article 39A</w:t>
      </w:r>
    </w:p>
    <w:p>
      <w:pPr>
        <w:spacing w:before="0" w:after="100" w:line="276" w:lineRule="auto"/>
      </w:pPr>
      <w:r>
        <w:rPr>
          <w:rFonts w:ascii="Arial" w:hAnsi="Arial"/>
          <w:b/>
          <w:color w:val="0F172A"/>
          <w:sz w:val="20"/>
        </w:rPr>
        <w:t xml:space="preserve">Constitutional Mandate: </w:t>
      </w:r>
      <w:r>
        <w:rPr>
          <w:rFonts w:ascii="Arial" w:hAnsi="Arial"/>
          <w:i w:val="0"/>
          <w:color w:val="334155"/>
          <w:sz w:val="20"/>
        </w:rPr>
        <w:t>Article 39A of the Constitution of India mandates Equal Justice and Free Legal Aid. In practice, indigent citizens cannot afford preliminary consultations. Vakil Setu provides 100% free preliminary triage, educates users on pre-arrest safeguards under Section 35(3) BNSS, and directly integrates eligibility criteria for free representation through the **District Legal Services Authorities (DLSA)** and **NALSA**.</w:t>
      </w:r>
    </w:p>
    <w:p>
      <w:pPr>
        <w:keepNext/>
        <w:spacing w:before="240" w:after="80"/>
      </w:pPr>
      <w:r>
        <w:rPr>
          <w:rFonts w:ascii="Arial" w:hAnsi="Arial"/>
          <w:b/>
          <w:color w:val="1D4ED8"/>
          <w:sz w:val="27"/>
        </w:rPr>
        <w:t>3. Hallucination Mitigation Architecture</w:t>
      </w:r>
    </w:p>
    <w:p>
      <w:pPr>
        <w:spacing w:before="0" w:after="100" w:line="276" w:lineRule="auto"/>
      </w:pPr>
      <w:r>
        <w:rPr>
          <w:rFonts w:ascii="Arial" w:hAnsi="Arial"/>
          <w:b/>
          <w:color w:val="0F172A"/>
          <w:sz w:val="20"/>
        </w:rPr>
        <w:t xml:space="preserve">AI Safety: </w:t>
      </w:r>
      <w:r>
        <w:rPr>
          <w:rFonts w:ascii="Arial" w:hAnsi="Arial"/>
          <w:i w:val="0"/>
          <w:color w:val="334155"/>
          <w:sz w:val="20"/>
        </w:rPr>
        <w:t>Legal artificial intelligence cannot tolerate hallucinations. Our architecture enforces a three-tiered mitigation strategy:</w:t>
        <w:br/>
        <w:t>• Low Temperature (0.25): Constrains LLM creativity to deterministic legal facts.</w:t>
        <w:br/>
        <w:t>• Schema-Enforced JSON: Eliminates erratic freeform narrative generation.</w:t>
        <w:br/>
        <w:t>• Immutable Deterministic Matrix: Every BNS section mapping is validated against an authoritative statutory reference table.</w:t>
      </w:r>
    </w:p>
    <w:p>
      <w:pPr>
        <w:keepNext/>
        <w:spacing w:before="360" w:after="120"/>
      </w:pPr>
      <w:r>
        <w:rPr>
          <w:rFonts w:ascii="Arial" w:hAnsi="Arial"/>
          <w:b/>
          <w:color w:val="0B2545"/>
          <w:sz w:val="34"/>
        </w:rPr>
        <w:t>7. Future Roadmap: Mobile App, Rebranding &amp; Cloud Launch</w:t>
      </w:r>
    </w:p>
    <w:p>
      <w:pPr>
        <w:keepNext/>
        <w:spacing w:before="240" w:after="80"/>
      </w:pPr>
      <w:r>
        <w:rPr>
          <w:rFonts w:ascii="Arial" w:hAnsi="Arial"/>
          <w:b/>
          <w:color w:val="1D4ED8"/>
          <w:sz w:val="27"/>
        </w:rPr>
        <w:t>Phase 1: Native Mobile Application via Capacitor</w:t>
      </w:r>
    </w:p>
    <w:p>
      <w:pPr>
        <w:spacing w:before="0" w:after="100" w:line="276" w:lineRule="auto"/>
      </w:pPr>
      <w:r>
        <w:rPr>
          <w:rFonts w:ascii="Arial" w:hAnsi="Arial"/>
          <w:b/>
          <w:color w:val="0F172A"/>
          <w:sz w:val="20"/>
        </w:rPr>
        <w:t xml:space="preserve">Mobile Engineering: </w:t>
      </w:r>
      <w:r>
        <w:rPr>
          <w:rFonts w:ascii="Arial" w:hAnsi="Arial"/>
          <w:i w:val="0"/>
          <w:color w:val="334155"/>
          <w:sz w:val="20"/>
        </w:rPr>
        <w:t>Because our frontend is engineered as a clean React 18 single-page application with Vite, it can be wrapped into a native Android APK and iOS bundle using **Capacitor**. This provides direct access to device hardware camera sensors for notice OCR and native microphones for noise-filtered voice intake, alongside an offline **SOS Know-Your-Rights cache**.</w:t>
      </w:r>
    </w:p>
    <w:p>
      <w:pPr>
        <w:keepNext/>
        <w:spacing w:before="240" w:after="80"/>
      </w:pPr>
      <w:r>
        <w:rPr>
          <w:rFonts w:ascii="Arial" w:hAnsi="Arial"/>
          <w:b/>
          <w:color w:val="1D4ED8"/>
          <w:sz w:val="27"/>
        </w:rPr>
        <w:t>Phase 2: Strategic Consumer Rebranding</w:t>
      </w:r>
    </w:p>
    <w:p>
      <w:pPr>
        <w:spacing w:before="0" w:after="100" w:line="276" w:lineRule="auto"/>
      </w:pPr>
      <w:r>
        <w:rPr>
          <w:rFonts w:ascii="Arial" w:hAnsi="Arial"/>
          <w:b/>
          <w:color w:val="0F172A"/>
          <w:sz w:val="20"/>
        </w:rPr>
        <w:t xml:space="preserve">Brand Strategy: </w:t>
      </w:r>
      <w:r>
        <w:rPr>
          <w:rFonts w:ascii="Arial" w:hAnsi="Arial"/>
          <w:i w:val="0"/>
          <w:color w:val="334155"/>
          <w:sz w:val="20"/>
        </w:rPr>
        <w:t>To establish consumer trust and institutional partnership potential, the project will transition to:</w:t>
        <w:br/>
        <w:t>• **NyayaMitra** (Friend of Justice) — Emphasizing citizen-first constitutional empathy.</w:t>
        <w:br/>
        <w:t>• **VidhiAI** — Highlighting modern enterprise legal engineering.</w:t>
      </w:r>
    </w:p>
    <w:p>
      <w:pPr>
        <w:keepNext/>
        <w:spacing w:before="240" w:after="80"/>
      </w:pPr>
      <w:r>
        <w:rPr>
          <w:rFonts w:ascii="Arial" w:hAnsi="Arial"/>
          <w:b/>
          <w:color w:val="1D4ED8"/>
          <w:sz w:val="27"/>
        </w:rPr>
        <w:t>Phase 3: Production Cloud Deployment Topology</w:t>
      </w:r>
    </w:p>
    <w:p>
      <w:pPr>
        <w:spacing w:before="0" w:after="100" w:line="276" w:lineRule="auto"/>
      </w:pPr>
      <w:r>
        <w:rPr>
          <w:rFonts w:ascii="Arial" w:hAnsi="Arial"/>
          <w:b/>
          <w:color w:val="0F172A"/>
          <w:sz w:val="20"/>
        </w:rPr>
        <w:t xml:space="preserve">Cloud Infrastructure: </w:t>
      </w:r>
      <w:r>
        <w:rPr>
          <w:rFonts w:ascii="Arial" w:hAnsi="Arial"/>
          <w:i w:val="0"/>
          <w:color w:val="334155"/>
          <w:sz w:val="20"/>
        </w:rPr>
        <w:t>• Backend API: Containerized Node.js/Express service deployed on **Render** or **AWS EC2**.</w:t>
        <w:br/>
        <w:t>• Database Cluster: Dedicated **MongoDB Atlas M10** cluster with multi-region automated replication.</w:t>
        <w:br/>
        <w:t>• Client Edge: Global Edge CDN deployment via **Vercel** with SSL termination.</w:t>
        <w:br/>
        <w:t>• App Store: Release on **Google Play Console** under internal testing.</w:t>
      </w:r>
    </w:p>
    <w:p>
      <w:pPr>
        <w:keepNext/>
        <w:spacing w:before="360" w:after="120"/>
      </w:pPr>
      <w:r>
        <w:rPr>
          <w:rFonts w:ascii="Arial" w:hAnsi="Arial"/>
          <w:b/>
          <w:color w:val="0B2545"/>
          <w:sz w:val="34"/>
        </w:rPr>
        <w:t>8. Professor Viva Defense: Top 7 Questions &amp; Exact Answers</w:t>
      </w:r>
    </w:p>
    <w:p>
      <w:pPr>
        <w:spacing w:before="0" w:after="100" w:line="276" w:lineRule="auto"/>
      </w:pPr>
      <w:r>
        <w:rPr>
          <w:rFonts w:ascii="Arial" w:hAnsi="Arial"/>
          <w:i w:val="0"/>
          <w:color w:val="334155"/>
          <w:sz w:val="20"/>
        </w:rPr>
        <w:t>Memorize and study these seven question-and-answer pairs to defend your project with authority during evaluation:</w:t>
      </w:r>
    </w:p>
    <w:p>
      <w:pPr>
        <w:keepNext/>
        <w:spacing w:before="160" w:after="40"/>
      </w:pPr>
      <w:r>
        <w:rPr>
          <w:rFonts w:ascii="Arial" w:hAnsi="Arial"/>
          <w:b/>
          <w:color w:val="0F172A"/>
          <w:sz w:val="23"/>
        </w:rPr>
        <w:t>Q1: What did you actually build versus what was already in the repo?</w:t>
      </w:r>
    </w:p>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Pr>
          <w:p>
            <w:pPr>
              <w:spacing w:after="60" w:line="276" w:lineRule="auto"/>
            </w:pPr>
            <w:r>
              <w:rPr>
                <w:rFonts w:ascii="Arial" w:hAnsi="Arial"/>
                <w:i/>
                <w:color w:val="0F172A"/>
                <w:sz w:val="20"/>
              </w:rPr>
              <w:t>"Sir/Ma'am, the baseline project had simple voice input, generic 4-domain classification, and a basic advocate list. I identified two critical real-world gaps and engineered them:</w:t>
              <w:br/>
              <w:t>1. The BNS 2024 Transition Matrix: Because India repealed the IPC and CrPC in July 2024, I built dynamic cross-mapping between legacy IPC and active BNS provisions, adding real-time bail status and Section 35(3) BNSS arrest safeguards.</w:t>
              <w:br/>
              <w:t>2. Snap &amp; Understand: I added a multimodal computer vision pipeline that ingests photos of court summons and cheque bounce notices, extracts strict statutory deadlines like the 15-day Section 138 NI Act rule, explains the risks, and matches specialized counsel."</w:t>
            </w:r>
          </w:p>
        </w:tc>
      </w:tr>
    </w:tbl>
    <w:p>
      <w:pPr>
        <w:spacing w:after="80"/>
      </w:pPr>
    </w:p>
    <w:p>
      <w:pPr>
        <w:keepNext/>
        <w:spacing w:before="160" w:after="40"/>
      </w:pPr>
      <w:r>
        <w:rPr>
          <w:rFonts w:ascii="Arial" w:hAnsi="Arial"/>
          <w:b/>
          <w:color w:val="0F172A"/>
          <w:sz w:val="23"/>
        </w:rPr>
        <w:t>Q2: Why did you implement BNS instead of sticking with IPC?</w:t>
      </w:r>
    </w:p>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Pr>
          <w:p>
            <w:pPr>
              <w:spacing w:after="60" w:line="276" w:lineRule="auto"/>
            </w:pPr>
            <w:r>
              <w:rPr>
                <w:rFonts w:ascii="Arial" w:hAnsi="Arial"/>
                <w:i/>
                <w:color w:val="0F172A"/>
                <w:sz w:val="20"/>
              </w:rPr>
              <w:t>"Because the IPC, CrPC, and Evidence Act were completely repealed by Parliament on July 1, 2024. Any software citing IPC Section 420 or Section 379 today is legally obsolete. By implementing the BNS 2024 matrix with backward-compatible IPC tags, our platform is practically viable for today's courts and police stations."</w:t>
            </w:r>
          </w:p>
        </w:tc>
      </w:tr>
    </w:tbl>
    <w:p>
      <w:pPr>
        <w:spacing w:after="80"/>
      </w:pPr>
    </w:p>
    <w:p>
      <w:pPr>
        <w:keepNext/>
        <w:spacing w:before="160" w:after="40"/>
      </w:pPr>
      <w:r>
        <w:rPr>
          <w:rFonts w:ascii="Arial" w:hAnsi="Arial"/>
          <w:b/>
          <w:color w:val="0F172A"/>
          <w:sz w:val="23"/>
        </w:rPr>
        <w:t>Q3: Does this application violate the Advocates Act by giving legal advice?</w:t>
      </w:r>
    </w:p>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Pr>
          <w:p>
            <w:pPr>
              <w:spacing w:after="60" w:line="276" w:lineRule="auto"/>
            </w:pPr>
            <w:r>
              <w:rPr>
                <w:rFonts w:ascii="Arial" w:hAnsi="Arial"/>
                <w:i/>
                <w:color w:val="0F172A"/>
                <w:sz w:val="20"/>
              </w:rPr>
              <w:t>"No, sir. We designed this strictly within the boundaries of Section 29 of the Advocates Act, 1961. The system functions as an informational triage and pre-intake filter — organizing the facts, decoding statutory deadlines, and educating the citizen on their constitutional rights under Article 39A. It then funnels the user to a verified Bar Council advocate for formal legal representation."</w:t>
            </w:r>
          </w:p>
        </w:tc>
      </w:tr>
    </w:tbl>
    <w:p>
      <w:pPr>
        <w:spacing w:after="80"/>
      </w:pPr>
    </w:p>
    <w:p>
      <w:pPr>
        <w:keepNext/>
        <w:spacing w:before="160" w:after="40"/>
      </w:pPr>
      <w:r>
        <w:rPr>
          <w:rFonts w:ascii="Arial" w:hAnsi="Arial"/>
          <w:b/>
          <w:color w:val="0F172A"/>
          <w:sz w:val="23"/>
        </w:rPr>
        <w:t>Q4: How do you prevent the AI from hallucinating legal sections?</w:t>
      </w:r>
    </w:p>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Pr>
          <w:p>
            <w:pPr>
              <w:spacing w:after="60" w:line="276" w:lineRule="auto"/>
            </w:pPr>
            <w:r>
              <w:rPr>
                <w:rFonts w:ascii="Arial" w:hAnsi="Arial"/>
                <w:i/>
                <w:color w:val="0F172A"/>
                <w:sz w:val="20"/>
              </w:rPr>
              <w:t>"We use a three-tiered defense: First, the generative model operates at a very low temperature of 0.25 with strict JSON schema enforcement. Second, our backend contains a verified deterministic lookup matrix that cross-checks statutory sections. Third, if API latency spikes or confidence drops, our offline deterministic engine takes over, ensuring zero hallucination risk."</w:t>
            </w:r>
          </w:p>
        </w:tc>
      </w:tr>
    </w:tbl>
    <w:p>
      <w:pPr>
        <w:spacing w:after="80"/>
      </w:pPr>
    </w:p>
    <w:p>
      <w:pPr>
        <w:keepNext/>
        <w:spacing w:before="160" w:after="40"/>
      </w:pPr>
      <w:r>
        <w:rPr>
          <w:rFonts w:ascii="Arial" w:hAnsi="Arial"/>
          <w:b/>
          <w:color w:val="0F172A"/>
          <w:sz w:val="23"/>
        </w:rPr>
        <w:t>Q5: How does the statutory notice countdown work in practice?</w:t>
      </w:r>
    </w:p>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Pr>
          <w:p>
            <w:pPr>
              <w:spacing w:after="60" w:line="276" w:lineRule="auto"/>
            </w:pPr>
            <w:r>
              <w:rPr>
                <w:rFonts w:ascii="Arial" w:hAnsi="Arial"/>
                <w:i/>
                <w:color w:val="0F172A"/>
                <w:sz w:val="20"/>
              </w:rPr>
              <w:t>"When a notice — such as a Section 138 NI Act Cheque Bounce notice — is scanned, the multimodal vision engine identifies the statutory category. Under Indian law, Section 138 prescribes a mandatory 15-day cure period from the date of delivery. The system alerts the citizen to the exact remaining window, explains that silence can lead to criminal complaints and non-bailable warrants, and outlines a 3-step defense reply before the deadline expires."</w:t>
            </w:r>
          </w:p>
        </w:tc>
      </w:tr>
    </w:tbl>
    <w:p>
      <w:pPr>
        <w:spacing w:after="80"/>
      </w:pPr>
    </w:p>
    <w:p>
      <w:pPr>
        <w:keepNext/>
        <w:spacing w:before="160" w:after="40"/>
      </w:pPr>
      <w:r>
        <w:rPr>
          <w:rFonts w:ascii="Arial" w:hAnsi="Arial"/>
          <w:b/>
          <w:color w:val="0F172A"/>
          <w:sz w:val="23"/>
        </w:rPr>
        <w:t>Q6: How do you plan to take this to mobile devices?</w:t>
      </w:r>
    </w:p>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Pr>
          <w:p>
            <w:pPr>
              <w:spacing w:after="60" w:line="276" w:lineRule="auto"/>
            </w:pPr>
            <w:r>
              <w:rPr>
                <w:rFonts w:ascii="Arial" w:hAnsi="Arial"/>
                <w:i/>
                <w:color w:val="0F172A"/>
                <w:sz w:val="20"/>
              </w:rPr>
              <w:t>"Because our frontend is already built on an optimized React 18 single-page architecture with Vite, we use Capacitor as a native bridge. This wraps the web application into an installable Android APK within Android Studio, granting direct hardware access to the camera sensor for document scanning and the microphone for voice triage."</w:t>
            </w:r>
          </w:p>
        </w:tc>
      </w:tr>
    </w:tbl>
    <w:p>
      <w:pPr>
        <w:spacing w:after="80"/>
      </w:pPr>
    </w:p>
    <w:p>
      <w:pPr>
        <w:keepNext/>
        <w:spacing w:before="160" w:after="40"/>
      </w:pPr>
      <w:r>
        <w:rPr>
          <w:rFonts w:ascii="Arial" w:hAnsi="Arial"/>
          <w:b/>
          <w:color w:val="0F172A"/>
          <w:sz w:val="23"/>
        </w:rPr>
        <w:t>Q7: What database and architecture patterns did you use?</w:t>
      </w:r>
    </w:p>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Pr>
          <w:p>
            <w:pPr>
              <w:spacing w:after="60" w:line="276" w:lineRule="auto"/>
            </w:pPr>
            <w:r>
              <w:rPr>
                <w:rFonts w:ascii="Arial" w:hAnsi="Arial"/>
                <w:i/>
                <w:color w:val="0F172A"/>
                <w:sz w:val="20"/>
              </w:rPr>
              <w:t>"We utilized a decoupled 4-tier architecture: React 18 at the presentation layer, Express.js with ES Modules at the API gateway layer, a dual-engine AI layer (Gemini 2.0 Flash Vision plus deterministic local fallback), and MongoDB with Mongoose ODM at the data layer, indexing advocate practice specialties and booking ledgers."</w:t>
            </w:r>
          </w:p>
        </w:tc>
      </w:tr>
    </w:tbl>
    <w:p>
      <w:pPr>
        <w:spacing w:after="80"/>
      </w:pPr>
    </w:p>
    <w:p>
      <w:pPr>
        <w:keepNext/>
        <w:spacing w:before="360" w:after="120"/>
      </w:pPr>
      <w:r>
        <w:rPr>
          <w:rFonts w:ascii="Arial" w:hAnsi="Arial"/>
          <w:b/>
          <w:color w:val="0B2545"/>
          <w:sz w:val="34"/>
        </w:rPr>
        <w:t>9. Live Demonstration Checklist for Your Presentation</w:t>
      </w:r>
    </w:p>
    <w:p>
      <w:pPr>
        <w:spacing w:before="0" w:after="100" w:line="276" w:lineRule="auto"/>
      </w:pPr>
      <w:r>
        <w:rPr>
          <w:rFonts w:ascii="Arial" w:hAnsi="Arial"/>
          <w:i w:val="0"/>
          <w:color w:val="334155"/>
          <w:sz w:val="20"/>
        </w:rPr>
        <w:t>Follow this exact 2-step demonstration sequence during your viva or review:</w:t>
      </w:r>
    </w:p>
    <w:p>
      <w:pPr>
        <w:keepNext/>
        <w:spacing w:before="240" w:after="80"/>
      </w:pPr>
      <w:r>
        <w:rPr>
          <w:rFonts w:ascii="Arial" w:hAnsi="Arial"/>
          <w:b/>
          <w:color w:val="1D4ED8"/>
          <w:sz w:val="27"/>
        </w:rPr>
        <w:t>Step 1 — Voice Grievance &amp; BNS 2024 Matrix</w:t>
      </w:r>
    </w:p>
    <w:p>
      <w:pPr>
        <w:spacing w:before="0" w:after="100" w:line="276" w:lineRule="auto"/>
      </w:pPr>
      <w:r>
        <w:rPr>
          <w:rFonts w:ascii="Arial" w:hAnsi="Arial"/>
          <w:b/>
          <w:color w:val="0F172A"/>
          <w:sz w:val="20"/>
        </w:rPr>
        <w:t xml:space="preserve">Action: </w:t>
      </w:r>
      <w:r>
        <w:rPr>
          <w:rFonts w:ascii="Arial" w:hAnsi="Arial"/>
          <w:i w:val="0"/>
          <w:color w:val="334155"/>
          <w:sz w:val="20"/>
        </w:rPr>
        <w:t>1. Click the microphone button on the homepage.</w:t>
      </w:r>
    </w:p>
    <w:p>
      <w:pPr>
        <w:spacing w:before="0" w:after="100" w:line="276" w:lineRule="auto"/>
      </w:pPr>
      <w:r>
        <w:rPr>
          <w:rFonts w:ascii="Arial" w:hAnsi="Arial"/>
          <w:b/>
          <w:color w:val="0F172A"/>
          <w:sz w:val="20"/>
        </w:rPr>
        <w:t xml:space="preserve">Speak: </w:t>
      </w:r>
      <w:r>
        <w:rPr>
          <w:rFonts w:ascii="Arial" w:hAnsi="Arial"/>
          <w:i/>
          <w:color w:val="334155"/>
          <w:sz w:val="20"/>
        </w:rPr>
        <w:t>"A contractor took 3 lakh rupees for construction, did no work, and is now threatening me."</w:t>
      </w:r>
    </w:p>
    <w:p>
      <w:pPr>
        <w:spacing w:before="0" w:after="100" w:line="276" w:lineRule="auto"/>
      </w:pPr>
      <w:r>
        <w:rPr>
          <w:rFonts w:ascii="Arial" w:hAnsi="Arial"/>
          <w:b/>
          <w:color w:val="0F172A"/>
          <w:sz w:val="20"/>
        </w:rPr>
        <w:t xml:space="preserve">Highlight: </w:t>
      </w:r>
      <w:r>
        <w:rPr>
          <w:rFonts w:ascii="Arial" w:hAnsi="Arial"/>
          <w:i w:val="0"/>
          <w:color w:val="334155"/>
          <w:sz w:val="20"/>
        </w:rPr>
        <w:t>Point out the instant classification into Criminal Law under BNS Section 318(4) [Old IPC Section 420 Cheating], the Non-Bailable badge, and the Section 35(3) BNSS arrest safeguard.</w:t>
      </w:r>
    </w:p>
    <w:p>
      <w:pPr>
        <w:spacing w:before="0" w:after="100" w:line="276" w:lineRule="auto"/>
      </w:pPr>
      <w:r>
        <w:rPr>
          <w:rFonts w:ascii="Arial" w:hAnsi="Arial"/>
          <w:b/>
          <w:color w:val="0F172A"/>
          <w:sz w:val="20"/>
        </w:rPr>
        <w:t xml:space="preserve">Audio: </w:t>
      </w:r>
      <w:r>
        <w:rPr>
          <w:rFonts w:ascii="Arial" w:hAnsi="Arial"/>
          <w:i w:val="0"/>
          <w:color w:val="334155"/>
          <w:sz w:val="20"/>
        </w:rPr>
        <w:t>Click the speaker icon to demonstrate browser speech synthesis readout.</w:t>
      </w:r>
    </w:p>
    <w:p>
      <w:pPr>
        <w:keepNext/>
        <w:spacing w:before="240" w:after="80"/>
      </w:pPr>
      <w:r>
        <w:rPr>
          <w:rFonts w:ascii="Arial" w:hAnsi="Arial"/>
          <w:b/>
          <w:color w:val="1D4ED8"/>
          <w:sz w:val="27"/>
        </w:rPr>
        <w:t>Step 2 — Snap &amp; Understand (Notice Scanner)</w:t>
      </w:r>
    </w:p>
    <w:p>
      <w:pPr>
        <w:spacing w:before="0" w:after="100" w:line="276" w:lineRule="auto"/>
      </w:pPr>
      <w:r>
        <w:rPr>
          <w:rFonts w:ascii="Arial" w:hAnsi="Arial"/>
          <w:b/>
          <w:color w:val="0F172A"/>
          <w:sz w:val="20"/>
        </w:rPr>
        <w:t xml:space="preserve">Action: </w:t>
      </w:r>
      <w:r>
        <w:rPr>
          <w:rFonts w:ascii="Arial" w:hAnsi="Arial"/>
          <w:i w:val="0"/>
          <w:color w:val="334155"/>
          <w:sz w:val="20"/>
        </w:rPr>
        <w:t>Click 'Notice Scanner' in the navigation header or the homepage banner.</w:t>
      </w:r>
    </w:p>
    <w:p>
      <w:pPr>
        <w:spacing w:before="0" w:after="100" w:line="276" w:lineRule="auto"/>
      </w:pPr>
      <w:r>
        <w:rPr>
          <w:rFonts w:ascii="Arial" w:hAnsi="Arial"/>
          <w:b/>
          <w:color w:val="0F172A"/>
          <w:sz w:val="20"/>
        </w:rPr>
        <w:t xml:space="preserve">Select: </w:t>
      </w:r>
      <w:r>
        <w:rPr>
          <w:rFonts w:ascii="Arial" w:hAnsi="Arial"/>
          <w:i w:val="0"/>
          <w:color w:val="334155"/>
          <w:sz w:val="20"/>
        </w:rPr>
        <w:t>Select 'Try Demo Notice' and click 'Cheque Bounce Notice (Sec 138 NI Act)'.</w:t>
      </w:r>
    </w:p>
    <w:p>
      <w:pPr>
        <w:spacing w:before="0" w:after="100" w:line="276" w:lineRule="auto"/>
      </w:pPr>
      <w:r>
        <w:rPr>
          <w:rFonts w:ascii="Arial" w:hAnsi="Arial"/>
          <w:b/>
          <w:color w:val="0F172A"/>
          <w:sz w:val="20"/>
        </w:rPr>
        <w:t xml:space="preserve">Execute: </w:t>
      </w:r>
      <w:r>
        <w:rPr>
          <w:rFonts w:ascii="Arial" w:hAnsi="Arial"/>
          <w:i w:val="0"/>
          <w:color w:val="334155"/>
          <w:sz w:val="20"/>
        </w:rPr>
        <w:t>Click 'Analyze Notice'.</w:t>
      </w:r>
    </w:p>
    <w:p>
      <w:pPr>
        <w:spacing w:before="0" w:after="100" w:line="276" w:lineRule="auto"/>
      </w:pPr>
      <w:r>
        <w:rPr>
          <w:rFonts w:ascii="Arial" w:hAnsi="Arial"/>
          <w:b/>
          <w:color w:val="0F172A"/>
          <w:sz w:val="20"/>
        </w:rPr>
        <w:t xml:space="preserve">Highlight: </w:t>
      </w:r>
      <w:r>
        <w:rPr>
          <w:rFonts w:ascii="Arial" w:hAnsi="Arial"/>
          <w:i w:val="0"/>
          <w:color w:val="334155"/>
          <w:sz w:val="20"/>
        </w:rPr>
        <w:t>Show the 15-Day Statutory Deadline Countdown Banner, the breakdown of allegations, the warning of Non-Bailable Arrest Warrants, and the 3-step defense blueprint.</w:t>
      </w:r>
    </w:p>
    <w:p>
      <w:pPr>
        <w:spacing w:before="0" w:after="100" w:line="276" w:lineRule="auto"/>
      </w:pPr>
      <w:r>
        <w:rPr>
          <w:rFonts w:ascii="Arial" w:hAnsi="Arial"/>
          <w:b/>
          <w:color w:val="0F172A"/>
          <w:sz w:val="20"/>
        </w:rPr>
        <w:t xml:space="preserve">Handoff: </w:t>
      </w:r>
      <w:r>
        <w:rPr>
          <w:rFonts w:ascii="Arial" w:hAnsi="Arial"/>
          <w:i w:val="0"/>
          <w:color w:val="334155"/>
          <w:sz w:val="20"/>
        </w:rPr>
        <w:t>Click 'Match Verified Advocates for this Notice' to show seamless transition to advocate booking.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