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Vakil Setu Presentation Script</w:t>
      </w:r>
    </w:p>
    <w:p>
      <w:pPr>
        <w:pStyle w:val="Subtitle"/>
      </w:pPr>
      <w:r>
        <w:t>Faculty presentation and viva preparation</w:t>
      </w:r>
    </w:p>
    <w:p>
      <w:r>
        <w:t>About 10 minutes for 14 slides. Add about 90 seconds if demonstrating the application. The speaking text also appears in the PowerPoint speaker notes.</w:t>
      </w:r>
    </w:p>
    <w:p>
      <w:pPr>
        <w:pStyle w:val="Heading1"/>
      </w:pPr>
      <w:r>
        <w:t>Presentation scope</w:t>
      </w:r>
    </w:p>
    <w:p>
      <w:r>
        <w:t>This presentation explains the maintained Next.js, Convex and Clerk rebuild. It distinguishes implemented workflows from recorded runtime evidence and remaining acceptance work. The legacy React and Express application remains separate.</w:t>
      </w:r>
    </w:p>
    <w:p>
      <w:pPr>
        <w:pStyle w:val="Heading1"/>
      </w:pPr>
      <w:r>
        <w:t>Before presenting</w:t>
      </w:r>
    </w:p>
    <w:p>
      <w:pPr>
        <w:pStyle w:val="ListBullet"/>
      </w:pPr>
      <w:r>
        <w:t>Confirm each member's real contribution and assign speaking sections. The contribution slide names workstreams without assigning personal ownership.</w:t>
      </w:r>
    </w:p>
    <w:p>
      <w:pPr>
        <w:pStyle w:val="ListBullet"/>
      </w:pPr>
      <w:r>
        <w:t>Rehearse with the installed presentation software. Use the notes as spoken paragraphs rather than reading the slide text.</w:t>
      </w:r>
    </w:p>
    <w:p>
      <w:pPr>
        <w:pStyle w:val="ListBullet"/>
      </w:pPr>
      <w:r>
        <w:t>Prepare a labelled synthetic example. Use no real case, identity document or private client details in the demonstration.</w:t>
      </w:r>
    </w:p>
    <w:p>
      <w:pPr>
        <w:pStyle w:val="ListBullet"/>
      </w:pPr>
      <w:r>
        <w:t>Check the development application before presenting. If a service is unavailable, explain the state and use the screenshot and recorded evidence.</w:t>
      </w:r>
    </w:p>
    <w:p>
      <w:pPr>
        <w:pStyle w:val="ListBullet"/>
      </w:pPr>
      <w:r>
        <w:t>Keep these boundaries explicit: no verified DGX inference, no measured legal accuracy, no claim of complete support for 23 languages, and no guarantee of emergency connection.</w:t>
      </w:r>
    </w:p>
    <w:p>
      <w:pPr>
        <w:pStyle w:val="Heading1"/>
      </w:pPr>
      <w:r>
        <w:t>Suggested speaking allocation</w:t>
      </w:r>
    </w:p>
    <w:p>
      <w:r>
        <w:t>For one presenter, deliver all sections. For a group, assign slides 1–4, 5–9 and 10–14 to available members. This is a speaking allocation, not a claim about who developed the components.</w:t>
      </w:r>
    </w:p>
    <w:p>
      <w:pPr>
        <w:spacing w:after="180"/>
      </w:pPr>
      <w:r>
        <w:rPr>
          <w:b/>
        </w:rPr>
        <w:t xml:space="preserve">Timing </w:t>
      </w:r>
      <w:r>
        <w:t>The slide targets total about nine minutes of speech, leaving roughly one minute for transitions. Adjust to your natural speaking pace.</w:t>
      </w:r>
    </w:p>
    <w:p>
      <w:r>
        <w:br w:type="page"/>
      </w:r>
    </w:p>
    <w:p>
      <w:pPr>
        <w:pStyle w:val="Heading1"/>
      </w:pPr>
      <w:r>
        <w:t>Slide 01 Vakil Setu</w:t>
      </w:r>
    </w:p>
    <w:p>
      <w:pPr>
        <w:spacing w:after="180"/>
      </w:pPr>
      <w:r>
        <w:rPr>
          <w:b/>
        </w:rPr>
        <w:t xml:space="preserve">Section </w:t>
      </w:r>
      <w:r>
        <w:t>PROJECT PRESENTATION    |    Target 30 seconds</w:t>
      </w:r>
    </w:p>
    <w:p>
      <w:r>
        <w:t>Good morning. We are presenting Vakil Setu, a multilingual legal intake and consultation project. Our focus is the first step a person takes when facing a legal concern: explaining the situation, reviewing a clear summary, and finding an appropriate advocate. The current project is a web application with English, Hindi and Punjabi pilot interfaces. We will explain the problem, our development approach, how the application works, and the evidence behind our results.</w:t>
      </w:r>
    </w:p>
    <w:p>
      <w:pPr>
        <w:spacing w:after="180"/>
      </w:pPr>
      <w:r>
        <w:rPr>
          <w:b/>
        </w:rPr>
        <w:t xml:space="preserve">Presenter cue </w:t>
      </w:r>
      <w:r>
        <w:t>Introduce the team verbally. Keep the opening under 30 seconds.</w:t>
      </w:r>
    </w:p>
    <w:p/>
    <w:p>
      <w:pPr>
        <w:pStyle w:val="Heading1"/>
      </w:pPr>
      <w:r>
        <w:t>Slide 02 The difficult first step</w:t>
      </w:r>
    </w:p>
    <w:p>
      <w:pPr>
        <w:spacing w:after="180"/>
      </w:pPr>
      <w:r>
        <w:rPr>
          <w:b/>
        </w:rPr>
        <w:t xml:space="preserve">Section </w:t>
      </w:r>
      <w:r>
        <w:t>P — PROBLEM    |    Target 40 seconds</w:t>
      </w:r>
    </w:p>
    <w:p>
      <w:r>
        <w:t>The problem we address is uncertainty at the beginning of a legal interaction. A person may know what happened but may not know the relevant legal category, which facts matter, or whom to contact. Searching online or relying on personal referrals can leave the person repeating the same story across different channels. Our working hypothesis is that a private intake in a familiar language, followed by a reviewed summary, can make this first interaction easier. We have not yet measured that benefit through a field study, so we present it as the problem we are testing.</w:t>
      </w:r>
    </w:p>
    <w:p>
      <w:pPr>
        <w:spacing w:after="180"/>
      </w:pPr>
      <w:r>
        <w:rPr>
          <w:b/>
        </w:rPr>
        <w:t xml:space="preserve">Presenter cue </w:t>
      </w:r>
      <w:r>
        <w:t>Use a hypothetical tenant whose security deposit has not been returned. Do not give a legal conclusion.</w:t>
      </w:r>
    </w:p>
    <w:p>
      <w:r>
        <w:br w:type="page"/>
      </w:r>
    </w:p>
    <w:p>
      <w:pPr>
        <w:pStyle w:val="Heading1"/>
      </w:pPr>
      <w:r>
        <w:t>Slide 03 Existing services and our focus</w:t>
      </w:r>
    </w:p>
    <w:p>
      <w:pPr>
        <w:spacing w:after="180"/>
      </w:pPr>
      <w:r>
        <w:rPr>
          <w:b/>
        </w:rPr>
        <w:t xml:space="preserve">Section </w:t>
      </w:r>
      <w:r>
        <w:t>R — REASON    |    Target 40 seconds</w:t>
      </w:r>
    </w:p>
    <w:p>
      <w:r>
        <w:t>The need for digital legal access is already recognised. Tele-Law connects people with lawyers through telephone and video services, while LawRato provides lawyer discovery and consultation options. We therefore cannot claim that online access to lawyers is a new idea. Our project focuses on the intake before the consultation: retaining the user's words, letting the user review a summary, and sharing a specific version with a chosen advocate. Citizens and advocates are the intended beneficiaries. Whether this approach improves completion or reduces repeated explanations still requires a comparative user study.</w:t>
      </w:r>
    </w:p>
    <w:p>
      <w:pPr>
        <w:spacing w:after="180"/>
      </w:pPr>
      <w:r>
        <w:rPr>
          <w:b/>
        </w:rPr>
        <w:t xml:space="preserve">Presenter cue </w:t>
      </w:r>
      <w:r>
        <w:t>Explain the project's chosen focus without claiming competitors lack these capabilities.</w:t>
      </w:r>
    </w:p>
    <w:p/>
    <w:p>
      <w:pPr>
        <w:pStyle w:val="Heading1"/>
      </w:pPr>
      <w:r>
        <w:t>Slide 04 A reviewable path to consultation</w:t>
      </w:r>
    </w:p>
    <w:p>
      <w:pPr>
        <w:spacing w:after="180"/>
      </w:pPr>
      <w:r>
        <w:rPr>
          <w:b/>
        </w:rPr>
        <w:t xml:space="preserve">Section </w:t>
      </w:r>
      <w:r>
        <w:t>O — OBJECTIVE    |    Target 40 seconds</w:t>
      </w:r>
    </w:p>
    <w:p>
      <w:r>
        <w:t>Our objective is to implement a reviewable path from a person's concern to a consultation request. The MVP includes user accounts, application roles, private cases, versioned summaries, advocate approval, discovery and future consultation slots. Successful completion means that the system preserves the user's words, checks ownership on the backend, shares the exact approved summary version, and clearly records the request state. A request remains pending until an advocate accepts it. Payments, public reviews, a native mobile application and guaranteed emergency connections are outside the current MVP.</w:t>
      </w:r>
    </w:p>
    <w:p>
      <w:pPr>
        <w:spacing w:after="180"/>
      </w:pPr>
      <w:r>
        <w:rPr>
          <w:b/>
        </w:rPr>
        <w:t xml:space="preserve">Presenter cue </w:t>
      </w:r>
      <w:r>
        <w:t>Separate the implemented workflow from the remaining hosted acceptance checks.</w:t>
      </w:r>
    </w:p>
    <w:p>
      <w:r>
        <w:br w:type="page"/>
      </w:r>
    </w:p>
    <w:p>
      <w:pPr>
        <w:pStyle w:val="Heading1"/>
      </w:pPr>
      <w:r>
        <w:t>Slide 05 Development approach and decisions</w:t>
      </w:r>
    </w:p>
    <w:p>
      <w:pPr>
        <w:spacing w:after="180"/>
      </w:pPr>
      <w:r>
        <w:rPr>
          <w:b/>
        </w:rPr>
        <w:t xml:space="preserve">Section </w:t>
      </w:r>
      <w:r>
        <w:t>J — JOURNEY    |    Target 45 seconds</w:t>
      </w:r>
    </w:p>
    <w:p>
      <w:r>
        <w:t>We began by comparing the source requirements with the inherited React and Express application. That audit exposed a gap between some advertised features and the actual code, so we kept the legacy version and built the maintained implementation separately. We narrowed the first language pilot to English, Hindi and Punjabi. We then developed the backend permissions and consultation lifecycle alongside the web interface. An alternative was to expand every feature and language immediately. We chose staged coverage so that each capability could have separate evidence. Validation combined automated tests, responsive browser checks and a limited real hosted intake check.</w:t>
      </w:r>
    </w:p>
    <w:p>
      <w:pPr>
        <w:spacing w:after="180"/>
      </w:pPr>
      <w:r>
        <w:rPr>
          <w:b/>
        </w:rPr>
        <w:t xml:space="preserve">Presenter cue </w:t>
      </w:r>
      <w:r>
        <w:t>Describe the actual sequence. Do not invent interviews, sprint dates or survey findings.</w:t>
      </w:r>
    </w:p>
    <w:p/>
    <w:p>
      <w:pPr>
        <w:pStyle w:val="Heading1"/>
      </w:pPr>
      <w:r>
        <w:t>Slide 06 Application architecture</w:t>
      </w:r>
    </w:p>
    <w:p>
      <w:pPr>
        <w:spacing w:after="180"/>
      </w:pPr>
      <w:r>
        <w:rPr>
          <w:b/>
        </w:rPr>
        <w:t xml:space="preserve">Section </w:t>
      </w:r>
      <w:r>
        <w:t>E — EXECUTION    |    Target 45 seconds</w:t>
      </w:r>
    </w:p>
    <w:p>
      <w:r>
        <w:t>The current implementation uses Next.js and React for the web interface, with TypeScript across the workspace. Clerk handles identity and sessions. Convex owns the application data and checks roles, record ownership and permitted actions. It also handles slot reservations and lifecycle changes through backend mutations. Shared domain and language packages keep common rules separate from the interface. These choices support a typed web application with a hosted backend and managed identity. AI sits behind a server-side gateway adapter. The browser never needs the provider credentials, and a successful sign-in does not grant unrestricted access to application data.</w:t>
      </w:r>
    </w:p>
    <w:p>
      <w:pPr>
        <w:spacing w:after="180"/>
      </w:pPr>
      <w:r>
        <w:rPr>
          <w:b/>
        </w:rPr>
        <w:t xml:space="preserve">Presenter cue </w:t>
      </w:r>
      <w:r>
        <w:t>If asked why the stack changed, explain the explicit identity and backend permission boundaries.</w:t>
      </w:r>
    </w:p>
    <w:p>
      <w:r>
        <w:br w:type="page"/>
      </w:r>
    </w:p>
    <w:p>
      <w:pPr>
        <w:pStyle w:val="Heading1"/>
      </w:pPr>
      <w:r>
        <w:t>Slide 07 The implemented web experience</w:t>
      </w:r>
    </w:p>
    <w:p>
      <w:pPr>
        <w:spacing w:after="180"/>
      </w:pPr>
      <w:r>
        <w:rPr>
          <w:b/>
        </w:rPr>
        <w:t xml:space="preserve">Section </w:t>
      </w:r>
      <w:r>
        <w:t>E — EXECUTION    |    Target 35 seconds</w:t>
      </w:r>
    </w:p>
    <w:p>
      <w:r>
        <w:t>This is the implemented web experience. A user starts by describing a concern, either by typing or by trying browser speech where available. The text remains editable before saving. Saving an intake stores the user's words privately. It does not automatically produce AI analysis. The saved case confirms that distinction and offers a manual summary starting from the original intake, or advocate discovery. This gives us a useful workflow even when the AI provider is unavailable. A person should always know whether they are reading their own summary or a provider-generated draft.</w:t>
      </w:r>
    </w:p>
    <w:p>
      <w:pPr>
        <w:spacing w:after="180"/>
      </w:pPr>
      <w:r>
        <w:rPr>
          <w:b/>
        </w:rPr>
        <w:t xml:space="preserve">Presenter cue </w:t>
      </w:r>
      <w:r>
        <w:t>Point to the start action. For a live demo, use the synthetic example in the script appendix.</w:t>
      </w:r>
    </w:p>
    <w:p/>
    <w:p>
      <w:pPr>
        <w:pStyle w:val="Heading1"/>
      </w:pPr>
      <w:r>
        <w:t>Slide 08 Consultation request lifecycle</w:t>
      </w:r>
    </w:p>
    <w:p>
      <w:pPr>
        <w:spacing w:after="180"/>
      </w:pPr>
      <w:r>
        <w:rPr>
          <w:b/>
        </w:rPr>
        <w:t xml:space="preserve">Section </w:t>
      </w:r>
      <w:r>
        <w:t>E — EXECUTION    |    Target 45 seconds</w:t>
      </w:r>
    </w:p>
    <w:p>
      <w:r>
        <w:t>The consultation flow begins with a reviewed summary and an approved advocate who has a future slot. Before submitting, the user consents to share a specific summary version with that advocate. The backend checks ownership, approval and slot availability together, then reserves the slot and records a pending request. Repeated identical submissions use an idempotency key, which prevents duplicate request records. The advocate can accept or decline, and the system handles cancellation and expiry through recorded state changes. Automated tests exercise these rules, including competing reservations. A complete hosted user-to-advocate acceptance trial remains part of the next validation stage.</w:t>
      </w:r>
    </w:p>
    <w:p>
      <w:pPr>
        <w:spacing w:after="180"/>
      </w:pPr>
      <w:r>
        <w:rPr>
          <w:b/>
        </w:rPr>
        <w:t xml:space="preserve">Presenter cue </w:t>
      </w:r>
      <w:r>
        <w:t>Explain pending versus accepted. Avoid describing a request as a completed consultation.</w:t>
      </w:r>
    </w:p>
    <w:p>
      <w:r>
        <w:br w:type="page"/>
      </w:r>
    </w:p>
    <w:p>
      <w:pPr>
        <w:pStyle w:val="Heading1"/>
      </w:pPr>
      <w:r>
        <w:t>Slide 09 Language capability and AI status</w:t>
      </w:r>
    </w:p>
    <w:p>
      <w:pPr>
        <w:spacing w:after="180"/>
      </w:pPr>
      <w:r>
        <w:rPr>
          <w:b/>
        </w:rPr>
        <w:t xml:space="preserve">Section </w:t>
      </w:r>
      <w:r>
        <w:t>E — EXECUTION    |    Target 45 seconds</w:t>
      </w:r>
    </w:p>
    <w:p>
      <w:r>
        <w:t>Language support has several independent parts. Our pilot has English, Hindi and Punjabi interface bundles, although some operational text still falls back to English. Hindi and Punjabi read-aloud use a bundled engine whose audio generation and browser lifecycle have been checked. That does not establish pronunciation quality or physical audibility. Speech recognition uses an optional browser path and still needs microphone accuracy testing. The broader registry includes 22 scheduled languages plus English, but those entries are expansion targets. The AI adapter exists, while the DGX endpoint and live inference remain unverified. We therefore claim neither complete multilingual AI nor measured legal accuracy.</w:t>
      </w:r>
    </w:p>
    <w:p>
      <w:pPr>
        <w:spacing w:after="180"/>
      </w:pPr>
      <w:r>
        <w:rPr>
          <w:b/>
        </w:rPr>
        <w:t xml:space="preserve">Presenter cue </w:t>
      </w:r>
      <w:r>
        <w:t>Emphasise the distinction between a translated interface, speech and AI comprehension.</w:t>
      </w:r>
    </w:p>
    <w:p/>
    <w:p>
      <w:pPr>
        <w:pStyle w:val="Heading1"/>
      </w:pPr>
      <w:r>
        <w:t>Slide 10 Application workstreams and ownership</w:t>
      </w:r>
    </w:p>
    <w:p>
      <w:pPr>
        <w:spacing w:after="180"/>
      </w:pPr>
      <w:r>
        <w:rPr>
          <w:b/>
        </w:rPr>
        <w:t xml:space="preserve">Section </w:t>
      </w:r>
      <w:r>
        <w:t>C — CONTRIBUTION    |    Target 40 seconds</w:t>
      </w:r>
    </w:p>
    <w:p>
      <w:r>
        <w:t>The project work falls into four areas. The web workflow covers intake, case review, discovery and responsive interaction. The backend area covers ownership, credential review and the consultation lifecycle. Language access covers pilot text, locale handling and read-aloud behaviour. Validation covers the automated scenarios, browser checks and evidence records. For individual evaluation, each team member should name the component they personally handled, explain one decision, describe a challenge and show the resulting behaviour. We will attribute individual work only after confirming it within the team.</w:t>
      </w:r>
    </w:p>
    <w:p>
      <w:pPr>
        <w:spacing w:after="180"/>
      </w:pPr>
      <w:r>
        <w:rPr>
          <w:b/>
        </w:rPr>
        <w:t xml:space="preserve">Presenter cue </w:t>
      </w:r>
      <w:r>
        <w:t>Replace the final two sentences with the confirmed personal contribution paragraph in the preparation section.</w:t>
      </w:r>
    </w:p>
    <w:p>
      <w:r>
        <w:br w:type="page"/>
      </w:r>
    </w:p>
    <w:p>
      <w:pPr>
        <w:pStyle w:val="Heading1"/>
      </w:pPr>
      <w:r>
        <w:t>Slide 11 Results and the evidence boundary</w:t>
      </w:r>
    </w:p>
    <w:p>
      <w:pPr>
        <w:spacing w:after="180"/>
      </w:pPr>
      <w:r>
        <w:rPr>
          <w:b/>
        </w:rPr>
        <w:t xml:space="preserve">Section </w:t>
      </w:r>
      <w:r>
        <w:t>T — TAKEAWAY    |    Target 45 seconds</w:t>
      </w:r>
    </w:p>
    <w:p>
      <w:r>
        <w:t>The recorded verification provides three useful forms of evidence. First, the latest record reports 78 passing tests: 60 backend tests, 12 language tests and six case-render tests. Typechecks and the production build also passed. Second, browser checks covered narrow and desktop layouts and specific speech lifecycle scenarios. Third, a labelled synthetic Punjabi intake crossed real Clerk authentication and Convex persistence, preserved the Gurmukhi text and remained available after reload. These checks support those specific behaviours. They do not establish production readiness, full hosted booking reliability or AI quality. The evidence dates are the fourteenth to sixteenth of October 2026.</w:t>
      </w:r>
    </w:p>
    <w:p>
      <w:pPr>
        <w:spacing w:after="180"/>
      </w:pPr>
      <w:r>
        <w:rPr>
          <w:b/>
        </w:rPr>
        <w:t xml:space="preserve">Presenter cue </w:t>
      </w:r>
      <w:r>
        <w:t>Call these recorded results. Do not claim a coverage percentage or a fresh test run.</w:t>
      </w:r>
    </w:p>
    <w:p/>
    <w:p>
      <w:pPr>
        <w:pStyle w:val="Heading1"/>
      </w:pPr>
      <w:r>
        <w:t>Slide 12 Lessons and current limitations</w:t>
      </w:r>
    </w:p>
    <w:p>
      <w:pPr>
        <w:spacing w:after="180"/>
      </w:pPr>
      <w:r>
        <w:rPr>
          <w:b/>
        </w:rPr>
        <w:t xml:space="preserve">Section </w:t>
      </w:r>
      <w:r>
        <w:t>T — TAKEAWAY    |    Target 40 seconds</w:t>
      </w:r>
    </w:p>
    <w:p>
      <w:r>
        <w:t>The main lesson is that implementation, configuration and real-world validation are separate milestones. A hidden button cannot replace a backend ownership check. A saved intake needs an explicit success state so the user understands what happened. Speech features need recovery behaviour when a voice or browser capability fails. The remaining limitations are substantial: we have no measured user study or legal accuracy evaluation, human language review is incomplete, and hosted multi-role acceptance still needs work. The bundled speech assets also need source and build provenance review before public redistribution. These limits define the next work rather than disappearing behind a successful build.</w:t>
      </w:r>
    </w:p>
    <w:p>
      <w:pPr>
        <w:spacing w:after="180"/>
      </w:pPr>
      <w:r>
        <w:rPr>
          <w:b/>
        </w:rPr>
        <w:t xml:space="preserve">Presenter cue </w:t>
      </w:r>
      <w:r>
        <w:t>Connect these lessons to engineering judgement and professional growth.</w:t>
      </w:r>
    </w:p>
    <w:p>
      <w:r>
        <w:br w:type="page"/>
      </w:r>
    </w:p>
    <w:p>
      <w:pPr>
        <w:pStyle w:val="Heading1"/>
      </w:pPr>
      <w:r>
        <w:t>Slide 13 Next validation and development steps</w:t>
      </w:r>
    </w:p>
    <w:p>
      <w:pPr>
        <w:spacing w:after="180"/>
      </w:pPr>
      <w:r>
        <w:rPr>
          <w:b/>
        </w:rPr>
        <w:t xml:space="preserve">Section </w:t>
      </w:r>
      <w:r>
        <w:t>T — TAKEAWAY    |    Target 35 seconds</w:t>
      </w:r>
    </w:p>
    <w:p>
      <w:r>
        <w:t>Our immediate priority is validation of the existing workflow. We need independent user and advocate accounts to exercise approval, sharing, booking and cancellation on the hosted system. We then need microphone trials and human review of language quality and usability. AI activation requires an actual gateway contract, explicit consent tests and a legally reviewed evaluation set. Only after those checks should we expand the language coverage or assess native mobile work. We would measure task completion, corrections to captured facts, understanding of sharing consent and booking conflicts. These are proposed pilot metrics, not results already achieved.</w:t>
      </w:r>
    </w:p>
    <w:p>
      <w:pPr>
        <w:spacing w:after="180"/>
      </w:pPr>
      <w:r>
        <w:rPr>
          <w:b/>
        </w:rPr>
        <w:t xml:space="preserve">Presenter cue </w:t>
      </w:r>
      <w:r>
        <w:t>Avoid promising a delivery date without an agreed schedule or dependencies.</w:t>
      </w:r>
    </w:p>
    <w:p/>
    <w:p>
      <w:pPr>
        <w:pStyle w:val="Heading1"/>
      </w:pPr>
      <w:r>
        <w:t>Slide 14 Vakil Setu</w:t>
      </w:r>
    </w:p>
    <w:p>
      <w:pPr>
        <w:spacing w:after="180"/>
      </w:pPr>
      <w:r>
        <w:rPr>
          <w:b/>
        </w:rPr>
        <w:t xml:space="preserve">Section </w:t>
      </w:r>
      <w:r>
        <w:t>T — TAKEAWAY    |    Target 20 seconds</w:t>
      </w:r>
    </w:p>
    <w:p>
      <w:r>
        <w:t>To conclude, Vakil Setu provides a working foundation for multilingual legal intake, user-reviewed summaries and controlled consultation requests. The original objective is partly achieved: the core workflows exist and specific behaviours have evidence, while complete hosted acceptance and validated AI remain unfinished. The next milestone is a measured pilot that tests whether users can complete the process and understand what they share. Thank you. We are ready for questions.</w:t>
      </w:r>
    </w:p>
    <w:p>
      <w:pPr>
        <w:spacing w:after="180"/>
      </w:pPr>
      <w:r>
        <w:rPr>
          <w:b/>
        </w:rPr>
        <w:t xml:space="preserve">Presenter cue </w:t>
      </w:r>
      <w:r>
        <w:t>Pause for questions. Use the viva answers in the script as preparation.</w:t>
      </w:r>
    </w:p>
    <w:p>
      <w:r>
        <w:br w:type="page"/>
      </w:r>
    </w:p>
    <w:p>
      <w:pPr>
        <w:pStyle w:val="Title"/>
      </w:pPr>
      <w:r>
        <w:t>Optional live demonstration</w:t>
      </w:r>
    </w:p>
    <w:p>
      <w:r>
        <w:t>Use this after slide 7 or after the main presentation. Target about 90 seconds. Complete the save operation only in an authorised development account.</w:t>
      </w:r>
    </w:p>
    <w:p>
      <w:pPr>
        <w:pStyle w:val="Heading2"/>
      </w:pPr>
      <w:r>
        <w:t>Begin on the landing page</w:t>
      </w:r>
    </w:p>
    <w:p>
      <w:r>
        <w:t>“I will use a fictional example to show the intake and review flow.”</w:t>
      </w:r>
    </w:p>
    <w:p>
      <w:pPr>
        <w:pStyle w:val="Heading2"/>
      </w:pPr>
      <w:r>
        <w:t>Open intake and select a pilot language</w:t>
      </w:r>
    </w:p>
    <w:p>
      <w:r>
        <w:t>“The interface language and the intake language are recorded separately. Typed input remains available if speech is unavailable.”</w:t>
      </w:r>
    </w:p>
    <w:p>
      <w:pPr>
        <w:pStyle w:val="Heading2"/>
      </w:pPr>
      <w:r>
        <w:t>Enter the labelled example below</w:t>
      </w:r>
    </w:p>
    <w:p>
      <w:r>
        <w:t>“These are the user's words. We can correct them before saving.”</w:t>
      </w:r>
    </w:p>
    <w:p>
      <w:pPr>
        <w:pStyle w:val="Heading2"/>
      </w:pPr>
      <w:r>
        <w:t>Acknowledge review and save privately</w:t>
      </w:r>
    </w:p>
    <w:p>
      <w:r>
        <w:t>“Saving records the intake. It does not automatically generate AI analysis.”</w:t>
      </w:r>
    </w:p>
    <w:p>
      <w:pPr>
        <w:pStyle w:val="Heading2"/>
      </w:pPr>
      <w:r>
        <w:t>Open the manual summary editor</w:t>
      </w:r>
    </w:p>
    <w:p>
      <w:r>
        <w:t>“The starter uses the saved intake. The user must review the summary before saving.”</w:t>
      </w:r>
    </w:p>
    <w:p>
      <w:pPr>
        <w:pStyle w:val="Heading2"/>
      </w:pPr>
      <w:r>
        <w:t>Explain the next step without submitting a booking</w:t>
      </w:r>
    </w:p>
    <w:p>
      <w:r>
        <w:t>“The user can browse approved advocates. A consultation request needs a future slot, specific sharing consent and advocate acceptance.”</w:t>
      </w:r>
    </w:p>
    <w:p>
      <w:pPr>
        <w:pStyle w:val="Heading2"/>
      </w:pPr>
      <w:r>
        <w:t>Synthetic example</w:t>
      </w:r>
    </w:p>
    <w:p>
      <w:r>
        <w:t>[TEST] Deposit intake demo</w:t>
        <w:br/>
        <w:t>I moved out of a rented room on 1 October. My landlord has not returned my deposit of Rs 10,000. I have the agreement and payment receipt. I want to speak with an advocate about my options.</w:t>
      </w:r>
    </w:p>
    <w:p>
      <w:pPr>
        <w:spacing w:after="180"/>
      </w:pPr>
      <w:r>
        <w:rPr>
          <w:b/>
        </w:rPr>
        <w:t xml:space="preserve">Fallback </w:t>
      </w:r>
      <w:r>
        <w:t>If login or persistence fails, stop the submission, show the slide screenshot, and describe the recorded synthetic Punjabi save-and-reload result. Never announce that a failed save succeeded.</w:t>
      </w:r>
    </w:p>
    <w:p>
      <w:r>
        <w:br w:type="page"/>
      </w:r>
    </w:p>
    <w:p>
      <w:pPr>
        <w:pStyle w:val="Title"/>
      </w:pPr>
      <w:r>
        <w:t>Individual contribution preparation</w:t>
      </w:r>
    </w:p>
    <w:p>
      <w:r>
        <w:t>Each member should prepare one truthful paragraph using the pattern below. Replace the blanks with work that the member actually performed and can explain during the viva.</w:t>
      </w:r>
    </w:p>
    <w:p>
      <w:r>
        <w:t>“My specific responsibility was _____. I personally handled _____ in the _____ component. I contributed to the decision to _____ because _____. The main challenge I addressed was _____. I used _____ to resolve it, and I checked the result by _____. The outcome of my work was _____. The remaining limitation is _____.”</w:t>
      </w:r>
    </w:p>
    <w:p>
      <w:pPr>
        <w:pStyle w:val="Heading1"/>
      </w:pPr>
      <w:r>
        <w:t>Evidence to prepare</w:t>
      </w:r>
    </w:p>
    <w:p>
      <w:pPr>
        <w:pStyle w:val="ListBullet"/>
      </w:pPr>
      <w:r>
        <w:t>One component or backend operation you can walk through.</w:t>
      </w:r>
    </w:p>
    <w:p>
      <w:pPr>
        <w:pStyle w:val="ListBullet"/>
      </w:pPr>
      <w:r>
        <w:t>One design choice and the alternative you considered.</w:t>
      </w:r>
    </w:p>
    <w:p>
      <w:pPr>
        <w:pStyle w:val="ListBullet"/>
      </w:pPr>
      <w:r>
        <w:t>One concrete failure or edge case you addressed.</w:t>
      </w:r>
    </w:p>
    <w:p>
      <w:pPr>
        <w:pStyle w:val="ListBullet"/>
      </w:pPr>
      <w:r>
        <w:t>One check demonstrating the resulting behaviour.</w:t>
      </w:r>
    </w:p>
    <w:p>
      <w:pPr>
        <w:pStyle w:val="ListBullet"/>
      </w:pPr>
      <w:r>
        <w:t>A clear account of code, tools or assistance you used.</w:t>
      </w:r>
    </w:p>
    <w:p>
      <w:pPr>
        <w:pStyle w:val="Heading1"/>
      </w:pPr>
      <w:r>
        <w:t>Questions the PROJECT structure answers</w:t>
      </w:r>
    </w:p>
    <w:p>
      <w:pPr>
        <w:spacing w:after="180"/>
      </w:pPr>
      <w:r>
        <w:rPr>
          <w:b/>
        </w:rPr>
        <w:t xml:space="preserve">Problem </w:t>
      </w:r>
      <w:r>
        <w:t>Slides 2–3 identify the people affected, friction, existing approaches and the project gap.</w:t>
      </w:r>
    </w:p>
    <w:p>
      <w:pPr>
        <w:spacing w:after="180"/>
      </w:pPr>
      <w:r>
        <w:rPr>
          <w:b/>
        </w:rPr>
        <w:t xml:space="preserve">Reason </w:t>
      </w:r>
      <w:r>
        <w:t>Slide 3 explains relevance, intended beneficiaries and established alternatives.</w:t>
      </w:r>
    </w:p>
    <w:p>
      <w:pPr>
        <w:spacing w:after="180"/>
      </w:pPr>
      <w:r>
        <w:rPr>
          <w:b/>
        </w:rPr>
        <w:t xml:space="preserve">Objective </w:t>
      </w:r>
      <w:r>
        <w:t>Slide 4 defines features, boundaries and completion criteria.</w:t>
      </w:r>
    </w:p>
    <w:p>
      <w:pPr>
        <w:spacing w:after="180"/>
      </w:pPr>
      <w:r>
        <w:rPr>
          <w:b/>
        </w:rPr>
        <w:t xml:space="preserve">Journey </w:t>
      </w:r>
      <w:r>
        <w:t>Slide 5 explains the audit, requirements, alternative scope and verification approach.</w:t>
      </w:r>
    </w:p>
    <w:p>
      <w:pPr>
        <w:spacing w:after="180"/>
      </w:pPr>
      <w:r>
        <w:rPr>
          <w:b/>
        </w:rPr>
        <w:t xml:space="preserve">Execution </w:t>
      </w:r>
      <w:r>
        <w:t>Slides 6–9 explain tools, component boundaries, intake, consultation and capability status.</w:t>
      </w:r>
    </w:p>
    <w:p>
      <w:pPr>
        <w:spacing w:after="180"/>
      </w:pPr>
      <w:r>
        <w:rPr>
          <w:b/>
        </w:rPr>
        <w:t xml:space="preserve">Contribution </w:t>
      </w:r>
      <w:r>
        <w:t>Slide 10 and the paragraph above cover role, task, decisions, challenge, skills and outcome.</w:t>
      </w:r>
    </w:p>
    <w:p>
      <w:pPr>
        <w:spacing w:after="180"/>
      </w:pPr>
      <w:r>
        <w:rPr>
          <w:b/>
        </w:rPr>
        <w:t xml:space="preserve">Takeaway </w:t>
      </w:r>
      <w:r>
        <w:t>Slides 11–14 explain results, partial objective achievement, evaluation, learning, limits and improvements.</w:t>
      </w:r>
    </w:p>
    <w:p>
      <w:r>
        <w:br w:type="page"/>
      </w:r>
    </w:p>
    <w:p>
      <w:pPr>
        <w:pStyle w:val="Title"/>
      </w:pPr>
      <w:r>
        <w:t>Viva questions and answers</w:t>
      </w:r>
    </w:p>
    <w:p>
      <w:pPr>
        <w:pStyle w:val="Heading2"/>
      </w:pPr>
      <w:r>
        <w:t>01 What problem does Vakil Setu solve</w:t>
      </w:r>
    </w:p>
    <w:p>
      <w:r>
        <w:t>It addresses the first interaction: describing a legal concern, reviewing a private summary and requesting a consultation with a chosen advocate. Whether it improves user outcomes remains a pilot hypothesis.</w:t>
      </w:r>
    </w:p>
    <w:p>
      <w:pPr>
        <w:pStyle w:val="Heading2"/>
      </w:pPr>
      <w:r>
        <w:t>02 Why build this when Tele Law and LawRato exist</w:t>
      </w:r>
    </w:p>
    <w:p>
      <w:r>
        <w:t>Those services show that digital access to lawyers is established. Our project studies the intake and review process before a consultation, including specific-version sharing consent. We have not established comparative superiority.</w:t>
      </w:r>
    </w:p>
    <w:p>
      <w:pPr>
        <w:pStyle w:val="Heading2"/>
      </w:pPr>
      <w:r>
        <w:t>03 What is the current stack</w:t>
      </w:r>
    </w:p>
    <w:p>
      <w:r>
        <w:t>Next.js and React provide the web interface. TypeScript supports shared types. Clerk handles sessions and Convex handles authorised application operations and data. Bun and Turborepo organise the workspace. The legacy React, Express and MongoDB stack is separate.</w:t>
      </w:r>
    </w:p>
    <w:p>
      <w:pPr>
        <w:pStyle w:val="Heading2"/>
      </w:pPr>
      <w:r>
        <w:t>04 Is the AI running on DGX Spark</w:t>
      </w:r>
    </w:p>
    <w:p>
      <w:r>
        <w:t>That is unverified. The gateway adapter is implemented, but the endpoint contract and verified inference evidence are absent. A gateway name or model label does not prove hardware attribution.</w:t>
      </w:r>
    </w:p>
    <w:p>
      <w:pPr>
        <w:pStyle w:val="Heading2"/>
      </w:pPr>
      <w:r>
        <w:t>05 Does saving a case run AI</w:t>
      </w:r>
    </w:p>
    <w:p>
      <w:r>
        <w:t>No. Saving stores the reviewed intake privately. The user can start a manual summary. A provider draft requires configuration, consent and review.</w:t>
      </w:r>
    </w:p>
    <w:p>
      <w:r>
        <w:br w:type="page"/>
      </w:r>
    </w:p>
    <w:p>
      <w:pPr>
        <w:pStyle w:val="Title"/>
      </w:pPr>
      <w:r>
        <w:t>Viva questions and answers</w:t>
      </w:r>
    </w:p>
    <w:p>
      <w:pPr>
        <w:pStyle w:val="Heading2"/>
      </w:pPr>
      <w:r>
        <w:t>06 How do you prevent AI hallucinations</w:t>
      </w:r>
    </w:p>
    <w:p>
      <w:r>
        <w:t>We do not claim to eliminate them. The adapter validates structure, locale and output bounds, which can reject malformed results. Those checks cannot establish legal correctness. Legal review and a factual evaluation set are still required.</w:t>
      </w:r>
    </w:p>
    <w:p>
      <w:pPr>
        <w:pStyle w:val="Heading2"/>
      </w:pPr>
      <w:r>
        <w:t>07 How many languages are supported</w:t>
      </w:r>
    </w:p>
    <w:p>
      <w:r>
        <w:t>English, Hindi and Punjabi are the pilot interfaces, with some English fallbacks and incomplete human review. The registry contains 22 scheduled languages plus English as a broader target. Speech and AI capabilities have separate evidence boundaries.</w:t>
      </w:r>
    </w:p>
    <w:p>
      <w:pPr>
        <w:pStyle w:val="Heading2"/>
      </w:pPr>
      <w:r>
        <w:t>08 What stops another user reading a private case</w:t>
      </w:r>
    </w:p>
    <w:p>
      <w:r>
        <w:t>Backend operations derive the authenticated account and check record ownership or an explicitly permitted relationship. Hiding UI controls is insufficient. In-memory tests exercise access rules, while independent-account hosted checks still need completion.</w:t>
      </w:r>
    </w:p>
    <w:p>
      <w:pPr>
        <w:pStyle w:val="Heading2"/>
      </w:pPr>
      <w:r>
        <w:t>09 How do you handle two people requesting one slot</w:t>
      </w:r>
    </w:p>
    <w:p>
      <w:r>
        <w:t>The request mutation checks and reserves the slot atomically and rejects unavailable slots. An idempotency key also prevents duplicate request records for repeated identical submissions. Competing reservations have automated test coverage. Hosted concurrency acceptance remains pending.</w:t>
      </w:r>
    </w:p>
    <w:p>
      <w:pPr>
        <w:pStyle w:val="Heading2"/>
      </w:pPr>
      <w:r>
        <w:t>10 What exactly do the 78 tests prove</w:t>
      </w:r>
    </w:p>
    <w:p>
      <w:r>
        <w:t>The recorded total is 60 backend, 12 language and six case-render tests. They exercise specified behaviours with synthetic boundaries where documented. They do not prove actual speech accuracy, human comprehension, live AI quality or every hosted workflow.</w:t>
      </w:r>
    </w:p>
    <w:p>
      <w:r>
        <w:br w:type="page"/>
      </w:r>
    </w:p>
    <w:p>
      <w:pPr>
        <w:pStyle w:val="Title"/>
      </w:pPr>
      <w:r>
        <w:t>Viva questions and answers</w:t>
      </w:r>
    </w:p>
    <w:p>
      <w:pPr>
        <w:pStyle w:val="Heading2"/>
      </w:pPr>
      <w:r>
        <w:t>11 Is the application production ready</w:t>
      </w:r>
    </w:p>
    <w:p>
      <w:r>
        <w:t>No. The record supports local workflows and a limited authenticated hosted intake check. Cross-account and full booking acceptance, language review, operational policies and speech-asset provenance review remain release work.</w:t>
      </w:r>
    </w:p>
    <w:p>
      <w:pPr>
        <w:pStyle w:val="Heading2"/>
      </w:pPr>
      <w:r>
        <w:t>12 What does it cost per consultation</w:t>
      </w:r>
    </w:p>
    <w:p>
      <w:r>
        <w:t>There is no measured unit-cost model yet. A pilot should record hosting, storage, speech and AI usage plus support and credential-review time, then divide total relevant costs by completed consultations. A successful build says nothing about affordable unit economics.</w:t>
      </w:r>
    </w:p>
    <w:p>
      <w:pPr>
        <w:pStyle w:val="Heading2"/>
      </w:pPr>
      <w:r>
        <w:t>13 What would you improve first</w:t>
      </w:r>
    </w:p>
    <w:p>
      <w:r>
        <w:t>I would finish hosted multi-role acceptance and run a small observed pilot before adding features. I would measure task completion, corrections to names, dates and amounts, sharing-consent comprehension and booking conflicts.</w:t>
      </w:r>
    </w:p>
    <w:p>
      <w:pPr>
        <w:pStyle w:val="Heading2"/>
      </w:pPr>
      <w:r>
        <w:t>14 What did you personally contribute</w:t>
      </w:r>
    </w:p>
    <w:p>
      <w:r>
        <w:t>Answer with the confirmed contribution paragraph. Name one component, one decision, one challenge and the check you performed. Do not claim sole authorship of inherited code or work performed by another team member.</w:t>
      </w:r>
    </w:p>
    <w:p>
      <w:r>
        <w:br w:type="page"/>
      </w:r>
    </w:p>
    <w:p>
      <w:pPr>
        <w:pStyle w:val="Title"/>
      </w:pPr>
      <w:r>
        <w:t>Source and claim notes</w:t>
      </w:r>
    </w:p>
    <w:p>
      <w:r>
        <w:t>Project status evidence dates are 14 to 16 October 2026. The deck reports recorded results and does not represent a fresh execution of the project tests.</w:t>
      </w:r>
    </w:p>
    <w:p>
      <w:pPr>
        <w:pStyle w:val="Heading1"/>
      </w:pPr>
      <w:r>
        <w:t>Primary project records</w:t>
      </w:r>
    </w:p>
    <w:p>
      <w:r>
        <w:t>rebuild/README.md</w:t>
      </w:r>
    </w:p>
    <w:p>
      <w:r>
        <w:t>rebuild/docs/requirements.md</w:t>
      </w:r>
    </w:p>
    <w:p>
      <w:r>
        <w:t>rebuild/docs/decisions.md</w:t>
      </w:r>
    </w:p>
    <w:p>
      <w:r>
        <w:t>rebuild/docs/legacy-ai-audit.md</w:t>
      </w:r>
    </w:p>
    <w:p>
      <w:r>
        <w:t>rebuild/docs/verification.md</w:t>
      </w:r>
    </w:p>
    <w:p>
      <w:r>
        <w:t>rebuild/docs/hosted-activation.md</w:t>
      </w:r>
    </w:p>
    <w:p>
      <w:r>
        <w:t>rebuild/docs/language-matrix.md</w:t>
      </w:r>
    </w:p>
    <w:p>
      <w:r>
        <w:t>rebuild/packages/backend/convex/bookings.ts</w:t>
      </w:r>
    </w:p>
    <w:p>
      <w:r>
        <w:t>rebuild/packages/backend/convex/lib/provider.ts</w:t>
      </w:r>
    </w:p>
    <w:p>
      <w:pPr>
        <w:pStyle w:val="Heading1"/>
      </w:pPr>
      <w:r>
        <w:t>External service context</w:t>
      </w:r>
    </w:p>
    <w:p>
      <w:r>
        <w:t>Tele-Law service description</w:t>
        <w:br/>
        <w:t>https://www.tele-law.in/faq.html</w:t>
      </w:r>
    </w:p>
    <w:p>
      <w:r>
        <w:t>LawRato service description</w:t>
        <w:br/>
        <w:t>https://lawrato.com/cmses/page/how-does-lawrato-work</w:t>
      </w:r>
    </w:p>
    <w:p>
      <w:r>
        <w:t>Accessed 17 October 2026. These sources support the service descriptions on slide 3. The presentation does not claim either service lacks the capabilities explored by Vakil Setu.</w:t>
      </w:r>
    </w:p>
    <w:p>
      <w:pPr>
        <w:pStyle w:val="Heading1"/>
      </w:pPr>
      <w:r>
        <w:t>Claims to avoid</w:t>
      </w:r>
    </w:p>
    <w:p>
      <w:r>
        <w:t>Do not claim zero hallucinations, zero downtime, verified DGX hardware, legally certified outputs, an invented accuracy percentage, full support for 23 languages, a completed consultation from a pending request, or personal ownership that the team has not confirmed.</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b/>
      <w:bCs/>
      <w:color w:val="B12632"/>
      <w:sz w:val="38"/>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rial" w:hAnsi="Arial"/>
      <w:b/>
      <w:bCs/>
      <w:color w:val="172A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5261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