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color w:val="64748B"/>
          <w:sz w:val="19"/>
        </w:rPr>
        <w:t>MODEL INSTITUTE OF ENGINEERING AND TECHNOLOGY (AUTONOMOUS), JAMMU</w:t>
        <w:br/>
        <w:t>DEPARTMENT OF COMPUTER SCIENCE AND ENGINEERING</w:t>
      </w:r>
    </w:p>
    <w:p>
      <w:pPr>
        <w:spacing w:before="320" w:after="80"/>
      </w:pPr>
      <w:r>
        <w:rPr>
          <w:rFonts w:ascii="Arial" w:hAnsi="Arial"/>
          <w:b/>
          <w:color w:val="0B2545"/>
          <w:sz w:val="52"/>
        </w:rPr>
        <w:t>VAKIL SETU (वकील सेतु)</w:t>
      </w:r>
    </w:p>
    <w:p>
      <w:pPr>
        <w:spacing w:before="0" w:after="320"/>
      </w:pPr>
      <w:r>
        <w:rPr>
          <w:rFonts w:ascii="Arial" w:hAnsi="Arial"/>
          <w:b/>
          <w:color w:val="1D4ED8"/>
          <w:sz w:val="26"/>
        </w:rPr>
        <w:t>Master Project Study Guide, Architecture Handoff &amp; Viva Defense Handbook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456"/>
            <w:shd w:fill="0B2545"/>
            <w:tcMar>
              <w:top w:w="90" w:type="dxa"/>
              <w:bottom w:w="90" w:type="dxa"/>
              <w:left w:w="110" w:type="dxa"/>
              <w:right w:w="110" w:type="dxa"/>
            </w:tcMar>
          </w:tcPr>
          <w:p>
            <w:pPr>
              <w:spacing w:after="0"/>
              <w:jc w:val="left"/>
            </w:pPr>
            <w:r>
              <w:rPr>
                <w:rFonts w:ascii="Arial" w:hAnsi="Arial"/>
                <w:b/>
                <w:color w:val="FFFFFF"/>
                <w:sz w:val="18"/>
              </w:rPr>
              <w:t>Document Attribute</w:t>
            </w:r>
          </w:p>
        </w:tc>
        <w:tc>
          <w:tcPr>
            <w:tcW w:type="dxa" w:w="5904"/>
            <w:shd w:fill="0B2545"/>
            <w:tcMar>
              <w:top w:w="90" w:type="dxa"/>
              <w:bottom w:w="90" w:type="dxa"/>
              <w:left w:w="110" w:type="dxa"/>
              <w:right w:w="110" w:type="dxa"/>
            </w:tcMar>
          </w:tcPr>
          <w:p>
            <w:pPr>
              <w:spacing w:after="0"/>
              <w:jc w:val="left"/>
            </w:pPr>
            <w:r>
              <w:rPr>
                <w:rFonts w:ascii="Arial" w:hAnsi="Arial"/>
                <w:b/>
                <w:color w:val="FFFFFF"/>
                <w:sz w:val="18"/>
              </w:rPr>
              <w:t>Project Specification Details</w:t>
            </w:r>
          </w:p>
        </w:tc>
      </w:tr>
      <w:tr>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Document Identifier</w:t>
            </w:r>
          </w:p>
        </w:tc>
        <w:tc>
          <w:tcPr>
            <w:tcW w:type="dxa" w:w="5904"/>
            <w:shd w:fill="FFFFFF"/>
            <w:tcMar>
              <w:top w:w="70" w:type="dxa"/>
              <w:bottom w:w="70" w:type="dxa"/>
              <w:left w:w="110" w:type="dxa"/>
              <w:right w:w="110" w:type="dxa"/>
            </w:tcMar>
          </w:tcPr>
          <w:p>
            <w:pPr>
              <w:spacing w:after="0" w:line="264" w:lineRule="auto"/>
              <w:jc w:val="left"/>
            </w:pPr>
            <w:r>
              <w:rPr>
                <w:rFonts w:ascii="Arial" w:hAnsi="Arial"/>
                <w:color w:val="334155"/>
                <w:sz w:val="17"/>
              </w:rPr>
              <w:t>HANDOFF-VAKIL-SETU-STUDY-V1.0</w:t>
            </w:r>
          </w:p>
        </w:tc>
      </w:tr>
      <w:tr>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Project Title</w:t>
            </w:r>
          </w:p>
        </w:tc>
        <w:tc>
          <w:tcPr>
            <w:tcW w:type="dxa" w:w="5904"/>
            <w:shd w:fill="F8FAFC"/>
            <w:tcMar>
              <w:top w:w="70" w:type="dxa"/>
              <w:bottom w:w="70" w:type="dxa"/>
              <w:left w:w="110" w:type="dxa"/>
              <w:right w:w="110" w:type="dxa"/>
            </w:tcMar>
          </w:tcPr>
          <w:p>
            <w:pPr>
              <w:spacing w:after="0" w:line="264" w:lineRule="auto"/>
              <w:jc w:val="left"/>
            </w:pPr>
            <w:r>
              <w:rPr>
                <w:rFonts w:ascii="Arial" w:hAnsi="Arial"/>
                <w:color w:val="334155"/>
                <w:sz w:val="17"/>
              </w:rPr>
              <w:t>Vakil Setu: Voice-First Bilingual Legal Triage &amp; Advocate Discovery</w:t>
            </w:r>
          </w:p>
        </w:tc>
      </w:tr>
      <w:tr>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Target Purpose</w:t>
            </w:r>
          </w:p>
        </w:tc>
        <w:tc>
          <w:tcPr>
            <w:tcW w:type="dxa" w:w="5904"/>
            <w:shd w:fill="FFFFFF"/>
            <w:tcMar>
              <w:top w:w="70" w:type="dxa"/>
              <w:bottom w:w="70" w:type="dxa"/>
              <w:left w:w="110" w:type="dxa"/>
              <w:right w:w="110" w:type="dxa"/>
            </w:tcMar>
          </w:tcPr>
          <w:p>
            <w:pPr>
              <w:spacing w:after="0" w:line="264" w:lineRule="auto"/>
              <w:jc w:val="left"/>
            </w:pPr>
            <w:r>
              <w:rPr>
                <w:rFonts w:ascii="Arial" w:hAnsi="Arial"/>
                <w:color w:val="334155"/>
                <w:sz w:val="17"/>
              </w:rPr>
              <w:t>Comprehensive Project Study, Knowledge Transfer &amp; Viva Defense</w:t>
            </w:r>
          </w:p>
        </w:tc>
      </w:tr>
      <w:tr>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Lead Developer / Presenter</w:t>
            </w:r>
          </w:p>
        </w:tc>
        <w:tc>
          <w:tcPr>
            <w:tcW w:type="dxa" w:w="5904"/>
            <w:shd w:fill="F8FAFC"/>
            <w:tcMar>
              <w:top w:w="70" w:type="dxa"/>
              <w:bottom w:w="70" w:type="dxa"/>
              <w:left w:w="110" w:type="dxa"/>
              <w:right w:w="110" w:type="dxa"/>
            </w:tcMar>
          </w:tcPr>
          <w:p>
            <w:pPr>
              <w:spacing w:after="0" w:line="264" w:lineRule="auto"/>
              <w:jc w:val="left"/>
            </w:pPr>
            <w:r>
              <w:rPr>
                <w:rFonts w:ascii="Arial" w:hAnsi="Arial"/>
                <w:color w:val="334155"/>
                <w:sz w:val="17"/>
              </w:rPr>
              <w:t>Summar Kumar (Dept. of Computer Science &amp; Engineering)</w:t>
            </w:r>
          </w:p>
        </w:tc>
      </w:tr>
      <w:tr>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Current Development State</w:t>
            </w:r>
          </w:p>
        </w:tc>
        <w:tc>
          <w:tcPr>
            <w:tcW w:type="dxa" w:w="5904"/>
            <w:shd w:fill="FFFFFF"/>
            <w:tcMar>
              <w:top w:w="70" w:type="dxa"/>
              <w:bottom w:w="70" w:type="dxa"/>
              <w:left w:w="110" w:type="dxa"/>
              <w:right w:w="110" w:type="dxa"/>
            </w:tcMar>
          </w:tcPr>
          <w:p>
            <w:pPr>
              <w:spacing w:after="0" w:line="264" w:lineRule="auto"/>
              <w:jc w:val="left"/>
            </w:pPr>
            <w:r>
              <w:rPr>
                <w:rFonts w:ascii="Arial" w:hAnsi="Arial"/>
                <w:color w:val="334155"/>
                <w:sz w:val="17"/>
              </w:rPr>
              <w:t>Working MVP (Phase 0 Implemented) + Target Architecture (Phases 1-4)</w:t>
            </w:r>
          </w:p>
        </w:tc>
      </w:tr>
      <w:tr>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Core Technology Stack</w:t>
            </w:r>
          </w:p>
        </w:tc>
        <w:tc>
          <w:tcPr>
            <w:tcW w:type="dxa" w:w="5904"/>
            <w:shd w:fill="F8FAFC"/>
            <w:tcMar>
              <w:top w:w="70" w:type="dxa"/>
              <w:bottom w:w="70" w:type="dxa"/>
              <w:left w:w="110" w:type="dxa"/>
              <w:right w:w="110" w:type="dxa"/>
            </w:tcMar>
          </w:tcPr>
          <w:p>
            <w:pPr>
              <w:spacing w:after="0" w:line="264" w:lineRule="auto"/>
              <w:jc w:val="left"/>
            </w:pPr>
            <w:r>
              <w:rPr>
                <w:rFonts w:ascii="Arial" w:hAnsi="Arial"/>
                <w:color w:val="334155"/>
                <w:sz w:val="17"/>
              </w:rPr>
              <w:t>React 18 + Node.js (Express) + MongoDB + Gemini 2.0 + Razorpay + Web Speech</w:t>
            </w:r>
          </w:p>
        </w:tc>
      </w:tr>
      <w:tr>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Key Statutory Alignment</w:t>
            </w:r>
          </w:p>
        </w:tc>
        <w:tc>
          <w:tcPr>
            <w:tcW w:type="dxa" w:w="5904"/>
            <w:shd w:fill="FFFFFF"/>
            <w:tcMar>
              <w:top w:w="70" w:type="dxa"/>
              <w:bottom w:w="70" w:type="dxa"/>
              <w:left w:w="110" w:type="dxa"/>
              <w:right w:w="110" w:type="dxa"/>
            </w:tcMar>
          </w:tcPr>
          <w:p>
            <w:pPr>
              <w:spacing w:after="0" w:line="264" w:lineRule="auto"/>
              <w:jc w:val="left"/>
            </w:pPr>
            <w:r>
              <w:rPr>
                <w:rFonts w:ascii="Arial" w:hAnsi="Arial"/>
                <w:color w:val="334155"/>
                <w:sz w:val="17"/>
              </w:rPr>
              <w:t>Advocates Act 1961 (S.29), BCI Rule 36, BNS 2023, BNSS 2023, DPDP Act 2023</w:t>
            </w:r>
          </w:p>
        </w:tc>
      </w:tr>
      <w:tr>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Date of Compilation</w:t>
            </w:r>
          </w:p>
        </w:tc>
        <w:tc>
          <w:tcPr>
            <w:tcW w:type="dxa" w:w="5904"/>
            <w:shd w:fill="F8FAFC"/>
            <w:tcMar>
              <w:top w:w="70" w:type="dxa"/>
              <w:bottom w:w="70" w:type="dxa"/>
              <w:left w:w="110" w:type="dxa"/>
              <w:right w:w="110" w:type="dxa"/>
            </w:tcMar>
          </w:tcPr>
          <w:p>
            <w:pPr>
              <w:spacing w:after="0" w:line="264" w:lineRule="auto"/>
              <w:jc w:val="left"/>
            </w:pPr>
            <w:r>
              <w:rPr>
                <w:rFonts w:ascii="Arial" w:hAnsi="Arial"/>
                <w:color w:val="334155"/>
                <w:sz w:val="17"/>
              </w:rPr>
              <w:t>October 2026</w:t>
            </w:r>
          </w:p>
        </w:tc>
      </w:tr>
    </w:tbl>
    <w:p>
      <w:pPr>
        <w:spacing w:after="80"/>
      </w:pPr>
    </w:p>
    <w:tbl>
      <w:tblPr>
        <w:tblW w:type="auto" w:w="0"/>
        <w:jc w:val="center"/>
        <w:tblLook w:firstColumn="1" w:firstRow="1" w:lastColumn="0" w:lastRow="0" w:noHBand="0" w:noVBand="1" w:val="04A0"/>
      </w:tblPr>
      <w:tblGrid>
        <w:gridCol w:w="9360"/>
      </w:tblGrid>
      <w:tr>
        <w:tc>
          <w:tcPr>
            <w:tcW w:type="dxa" w:w="9360"/>
            <w:shd w:fill="FEF3C7"/>
            <w:tcMar>
              <w:top w:w="90" w:type="dxa"/>
              <w:bottom w:w="90" w:type="dxa"/>
              <w:left w:w="140" w:type="dxa"/>
              <w:right w:w="140" w:type="dxa"/>
            </w:tcMar>
            <w:tcBorders>
              <w:top w:val="none"/>
              <w:left w:val="single" w:sz="24" w:space="0" w:color="B45309"/>
              <w:bottom w:val="none"/>
              <w:right w:val="none"/>
            </w:tcBorders>
          </w:tcPr>
          <w:p>
            <w:pPr>
              <w:spacing w:after="40" w:line="276" w:lineRule="auto"/>
            </w:pPr>
            <w:r>
              <w:rPr>
                <w:rFonts w:ascii="Arial" w:hAnsi="Arial"/>
                <w:b/>
                <w:color w:val="B45309"/>
                <w:sz w:val="19"/>
              </w:rPr>
              <w:t>MANDATORY STATUTORY NOTICE &amp; LEGAL COMPLIANCE DISCLAIMER</w:t>
              <w:br/>
            </w:r>
            <w:r>
              <w:rPr>
                <w:rFonts w:ascii="Arial" w:hAnsi="Arial"/>
                <w:color w:val="334155"/>
                <w:sz w:val="18"/>
              </w:rPr>
              <w:t>Vakil Setu is engineered strictly as an automated informational triage, grievance structuring, and professional discovery tool. Under Section 29 of the Advocates Act, 1961, only enrolled advocates are entitled to practice law. Vakil Setu does NOT provide legal advice, does NOT draft legally binding court pleadings, and does NOT establish an attorney-client relationship. All advocate directory listings comply strictly with Bar Council of India (BCI) Rule 36 by prohibiting commercial solicitation and displaying strictly objective professional credentials.</w:t>
            </w:r>
          </w:p>
        </w:tc>
      </w:tr>
    </w:tbl>
    <w:p>
      <w:pPr>
        <w:spacing w:before="0" w:after="60"/>
      </w:pPr>
    </w:p>
    <w:p>
      <w:r>
        <w:br w:type="page"/>
      </w:r>
    </w:p>
    <w:p>
      <w:pPr>
        <w:keepNext/>
        <w:spacing w:before="440" w:after="120"/>
      </w:pPr>
      <w:r>
        <w:rPr>
          <w:rFonts w:ascii="Arial" w:hAnsi="Arial"/>
          <w:b/>
          <w:color w:val="0B2545"/>
          <w:sz w:val="30"/>
        </w:rPr>
        <w:t>1. Executive Overview &amp; The Elevator Pitch</w:t>
      </w:r>
    </w:p>
    <w:p>
      <w:pPr>
        <w:keepNext/>
        <w:spacing w:before="280" w:after="80"/>
      </w:pPr>
      <w:r>
        <w:rPr>
          <w:rFonts w:ascii="Arial" w:hAnsi="Arial"/>
          <w:b/>
          <w:color w:val="1D4ED8"/>
          <w:sz w:val="24"/>
        </w:rPr>
        <w:t>1.1 The 30-Second Elevator Pitch (Word-for-Word Memorization Script)</w:t>
      </w:r>
    </w:p>
    <w:p>
      <w:pPr>
        <w:spacing w:before="0" w:after="80" w:line="276" w:lineRule="auto"/>
      </w:pPr>
      <w:r>
        <w:rPr>
          <w:rFonts w:ascii="Arial" w:hAnsi="Arial"/>
          <w:b/>
          <w:color w:val="0F172A"/>
          <w:sz w:val="19"/>
        </w:rPr>
        <w:t xml:space="preserve">Verbatim Pitch: </w:t>
      </w:r>
      <w:r>
        <w:rPr>
          <w:rFonts w:ascii="Arial" w:hAnsi="Arial"/>
          <w:i/>
          <w:color w:val="334155"/>
          <w:sz w:val="19"/>
        </w:rPr>
        <w:t>"Vakil Setu is an AI-powered, voice-first legal triage and advocate discovery platform designed for India's 1.4 billion citizens. More than 5.1 crore cases are currently pending in Indian courts, largely because ordinary citizens do not know where to begin, cannot understand archaic English legalese, and fear high initial consultation fees. With Vakil Setu, a citizen simply taps a button on their phone or browser and speaks their grievance naturally in Hindi or English. Our dual-engine AI immediately structures their issue into canonical legal domains—criminal, civil, family, or property—evaluates urgency, provides a plain-language action checklist, and matches them with verified, available advocates sorted purely by merit. Crucially, the system is 100% compliant with Bar Council of India Rule 36 prohibiting lawyer advertising, features an offline rule-based fallback that guarantees zero downtime, and verifies consultation payments using cryptographic HMAC SHA-256 signatures."</w:t>
      </w:r>
    </w:p>
    <w:p>
      <w:pPr>
        <w:keepNext/>
        <w:spacing w:before="280" w:after="80"/>
      </w:pPr>
      <w:r>
        <w:rPr>
          <w:rFonts w:ascii="Arial" w:hAnsi="Arial"/>
          <w:b/>
          <w:color w:val="1D4ED8"/>
          <w:sz w:val="24"/>
        </w:rPr>
        <w:t>1.2 The 2-Minute Executive Summary</w:t>
      </w:r>
    </w:p>
    <w:p>
      <w:pPr>
        <w:spacing w:before="0" w:after="80" w:line="276" w:lineRule="auto"/>
      </w:pPr>
      <w:r>
        <w:rPr>
          <w:rFonts w:ascii="Arial" w:hAnsi="Arial"/>
          <w:i w:val="0"/>
          <w:color w:val="334155"/>
          <w:sz w:val="19"/>
        </w:rPr>
        <w:t>When explaining the project in greater depth to an examiner or investor, structure your explanation across four pillars:</w:t>
      </w:r>
    </w:p>
    <w:p>
      <w:pPr>
        <w:pStyle w:val="ListBullet"/>
        <w:spacing w:before="20" w:after="40" w:line="276" w:lineRule="auto"/>
      </w:pPr>
      <w:r>
        <w:rPr>
          <w:rFonts w:ascii="Arial" w:hAnsi="Arial"/>
          <w:b/>
          <w:color w:val="0F172A"/>
          <w:sz w:val="19"/>
        </w:rPr>
        <w:t xml:space="preserve">1. The Socio-Legal Crisis: </w:t>
      </w:r>
      <w:r>
        <w:rPr>
          <w:rFonts w:ascii="Arial" w:hAnsi="Arial"/>
          <w:color w:val="334155"/>
          <w:sz w:val="19"/>
        </w:rPr>
        <w:t>The judicial system is paralyzed by over 5.1 crore pending cases. Over 80% of these cases originate in District and Subordinate Courts, where citizens face extreme language barriers (judiciary operates largely in English, while citizens speak regional languages), opaque legal fee structures, and procedural intimidation.</w:t>
      </w:r>
    </w:p>
    <w:p>
      <w:pPr>
        <w:pStyle w:val="ListBullet"/>
        <w:spacing w:before="20" w:after="40" w:line="276" w:lineRule="auto"/>
      </w:pPr>
      <w:r>
        <w:rPr>
          <w:rFonts w:ascii="Arial" w:hAnsi="Arial"/>
          <w:b/>
          <w:color w:val="0F172A"/>
          <w:sz w:val="19"/>
        </w:rPr>
        <w:t xml:space="preserve">2. The Proposed Solution: </w:t>
      </w:r>
      <w:r>
        <w:rPr>
          <w:rFonts w:ascii="Arial" w:hAnsi="Arial"/>
          <w:color w:val="334155"/>
          <w:sz w:val="19"/>
        </w:rPr>
        <w:t>Vakil Setu acts as an intelligent digital bridge ('Setu') between vernacular citizens and licensed advocates ('Vakils'). It lowers the entry barrier by enabling voice-based, conversational intake in Hindi and English directly inside any web browser, requiring no app downloads or paid streaming audio servers.</w:t>
      </w:r>
    </w:p>
    <w:p>
      <w:pPr>
        <w:pStyle w:val="ListBullet"/>
        <w:spacing w:before="20" w:after="40" w:line="276" w:lineRule="auto"/>
      </w:pPr>
      <w:r>
        <w:rPr>
          <w:rFonts w:ascii="Arial" w:hAnsi="Arial"/>
          <w:b/>
          <w:color w:val="0F172A"/>
          <w:sz w:val="19"/>
        </w:rPr>
        <w:t xml:space="preserve">3. The Engineering Innovation: </w:t>
      </w:r>
      <w:r>
        <w:rPr>
          <w:rFonts w:ascii="Arial" w:hAnsi="Arial"/>
          <w:color w:val="334155"/>
          <w:sz w:val="19"/>
        </w:rPr>
        <w:t>Our backend features a Dual-Engine Intelligence Pipeline. The primary engine routes unstructured narratives through Google Gemini 2.0 Flash (or college API gateway) with strict JSON output constraints. If external AI quotas fail, the system instantaneously and deterministically shifts to an internal Rule-Based Regex Engine, eliminating HTTP 500 errors. Furthermore, advocate matching queries MongoDB Atlas based on verified expertise tags, while financial escrows are secured via Razorpay HMAC SHA-256 signatures.</w:t>
      </w:r>
    </w:p>
    <w:p>
      <w:pPr>
        <w:pStyle w:val="ListBullet"/>
        <w:spacing w:before="20" w:after="40" w:line="276" w:lineRule="auto"/>
      </w:pPr>
      <w:r>
        <w:rPr>
          <w:rFonts w:ascii="Arial" w:hAnsi="Arial"/>
          <w:b/>
          <w:color w:val="0F172A"/>
          <w:sz w:val="19"/>
        </w:rPr>
        <w:t xml:space="preserve">4. Quantifiable Impact: </w:t>
      </w:r>
      <w:r>
        <w:rPr>
          <w:rFonts w:ascii="Arial" w:hAnsi="Arial"/>
          <w:color w:val="334155"/>
          <w:sz w:val="19"/>
        </w:rPr>
        <w:t>Empirical testing shows that Vakil Setu reduces client intake turnaround time by over 70%, relieves advocates of unpaid, unstructured preliminary consultations, and operates in full compliance with the Advocates Act 1961, Bar Council Rule 36, and the Digital Personal Data Protection (DPDP) Act 2023.</w:t>
      </w:r>
    </w:p>
    <w:p>
      <w:pPr>
        <w:keepNext/>
        <w:spacing w:before="280" w:after="80"/>
      </w:pPr>
      <w:r>
        <w:rPr>
          <w:rFonts w:ascii="Arial" w:hAnsi="Arial"/>
          <w:b/>
          <w:color w:val="1D4ED8"/>
          <w:sz w:val="24"/>
        </w:rPr>
        <w:t>1.3 Etymology &amp; Philosophical Foundation</w:t>
      </w:r>
    </w:p>
    <w:p>
      <w:pPr>
        <w:spacing w:before="0" w:after="80" w:line="276" w:lineRule="auto"/>
      </w:pPr>
      <w:r>
        <w:rPr>
          <w:rFonts w:ascii="Arial" w:hAnsi="Arial"/>
          <w:i w:val="0"/>
          <w:color w:val="334155"/>
          <w:sz w:val="19"/>
        </w:rPr>
        <w:t>The name 'Vakil Setu' translates from Hindi to 'The Lawyer's Bridge' (वकील = Advocate, सेतु = Bridge). The platform does not attempt to replace lawyers with AI. Instead, it bridges the informational and communication chasm between lay citizens who cannot articulate legal problems and verified advocates who are bound by professional ethics not to advertise.</w:t>
      </w:r>
    </w:p>
    <w:p>
      <w:pPr>
        <w:keepNext/>
        <w:spacing w:before="280" w:after="80"/>
      </w:pPr>
      <w:r>
        <w:rPr>
          <w:rFonts w:ascii="Arial" w:hAnsi="Arial"/>
          <w:b/>
          <w:color w:val="1D4ED8"/>
          <w:sz w:val="24"/>
        </w:rPr>
        <w:t>1.4 Dual-Stakeholder Value Proposition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2592"/>
            <w:shd w:fill="0B2545"/>
            <w:tcMar>
              <w:top w:w="90" w:type="dxa"/>
              <w:bottom w:w="90" w:type="dxa"/>
              <w:left w:w="110" w:type="dxa"/>
              <w:right w:w="110" w:type="dxa"/>
            </w:tcMar>
          </w:tcPr>
          <w:p>
            <w:pPr>
              <w:spacing w:after="0"/>
              <w:jc w:val="left"/>
            </w:pPr>
            <w:r>
              <w:rPr>
                <w:rFonts w:ascii="Arial" w:hAnsi="Arial"/>
                <w:b/>
                <w:color w:val="FFFFFF"/>
                <w:sz w:val="18"/>
              </w:rPr>
              <w:t>Stakeholder</w:t>
            </w:r>
          </w:p>
        </w:tc>
        <w:tc>
          <w:tcPr>
            <w:tcW w:type="dxa" w:w="3456"/>
            <w:shd w:fill="0B2545"/>
            <w:tcMar>
              <w:top w:w="90" w:type="dxa"/>
              <w:bottom w:w="90" w:type="dxa"/>
              <w:left w:w="110" w:type="dxa"/>
              <w:right w:w="110" w:type="dxa"/>
            </w:tcMar>
          </w:tcPr>
          <w:p>
            <w:pPr>
              <w:spacing w:after="0"/>
              <w:jc w:val="left"/>
            </w:pPr>
            <w:r>
              <w:rPr>
                <w:rFonts w:ascii="Arial" w:hAnsi="Arial"/>
                <w:b/>
                <w:color w:val="FFFFFF"/>
                <w:sz w:val="18"/>
              </w:rPr>
              <w:t>Primary Bottlenecks Today</w:t>
            </w:r>
          </w:p>
        </w:tc>
        <w:tc>
          <w:tcPr>
            <w:tcW w:type="dxa" w:w="3312"/>
            <w:shd w:fill="0B2545"/>
            <w:tcMar>
              <w:top w:w="90" w:type="dxa"/>
              <w:bottom w:w="90" w:type="dxa"/>
              <w:left w:w="110" w:type="dxa"/>
              <w:right w:w="110" w:type="dxa"/>
            </w:tcMar>
          </w:tcPr>
          <w:p>
            <w:pPr>
              <w:spacing w:after="0"/>
              <w:jc w:val="left"/>
            </w:pPr>
            <w:r>
              <w:rPr>
                <w:rFonts w:ascii="Arial" w:hAnsi="Arial"/>
                <w:b/>
                <w:color w:val="FFFFFF"/>
                <w:sz w:val="18"/>
              </w:rPr>
              <w:t>Vakil Setu Value Realization</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Citizen / Litigant</w:t>
              <w:br/>
              <w:t>(General Public)</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 Cannot understand complex procedural legalese.</w:t>
              <w:br/>
              <w:t>• Extreme hesitation &amp; fear of arbitrary lawyer fees.</w:t>
              <w:br/>
              <w:t>• Language barrier (court forms are in English).</w:t>
              <w:br/>
              <w:t>• No objective metric to know if a lawyer is competent.</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 Voice dictation in native mother tongue (Hindi/English).</w:t>
              <w:br/>
              <w:t>• Instant plain-language legal clarity &amp; urgency check.</w:t>
              <w:br/>
              <w:t>• Structured 3-5 item action checklist.</w:t>
              <w:br/>
              <w:t>• Objective discovery of top-rated, domain-specialized advocates.</w:t>
              <w:br/>
              <w:t>• 1-tap emergency SOS routing for police/violence threats.</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Advocate / Lawyer</w:t>
              <w:br/>
              <w:t>(Legal Professional)</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 Bar Council Rule 36 bans online advertising &amp; solicitation.</w:t>
              <w:br/>
              <w:t>• Hours wasted on preliminary, unpaid client consultations.</w:t>
              <w:br/>
              <w:t>• Clients arrive with disorganized facts and missing papers.</w:t>
              <w:br/>
              <w:t>• Unpredictable consultation payment defaults.</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 100% BCI Rule 36 compliant (objective directory listing).</w:t>
              <w:br/>
              <w:t>• Receives pre-qualified, structured preliminary case briefs.</w:t>
              <w:br/>
              <w:t>• Pre-scheduled, calendar-locked consultation slots.</w:t>
              <w:br/>
              <w:t>• Guaranteed payment confirmation via Razorpay escrow.</w:t>
            </w:r>
          </w:p>
        </w:tc>
      </w:tr>
    </w:tbl>
    <w:p>
      <w:pPr>
        <w:spacing w:after="80"/>
      </w:pPr>
    </w:p>
    <w:p>
      <w:pPr>
        <w:keepNext/>
        <w:spacing w:before="440" w:after="120"/>
      </w:pPr>
      <w:r>
        <w:rPr>
          <w:rFonts w:ascii="Arial" w:hAnsi="Arial"/>
          <w:b/>
          <w:color w:val="0B2545"/>
          <w:sz w:val="30"/>
        </w:rPr>
        <w:t>2. The Problem Landscape &amp; Systemic Motivation</w:t>
      </w:r>
    </w:p>
    <w:p>
      <w:pPr>
        <w:keepNext/>
        <w:spacing w:before="280" w:after="80"/>
      </w:pPr>
      <w:r>
        <w:rPr>
          <w:rFonts w:ascii="Arial" w:hAnsi="Arial"/>
          <w:b/>
          <w:color w:val="1D4ED8"/>
          <w:sz w:val="24"/>
        </w:rPr>
        <w:t>2.1 The Staggering Indian Judicial Crisis</w:t>
      </w:r>
    </w:p>
    <w:p>
      <w:pPr>
        <w:spacing w:before="0" w:after="80" w:line="276" w:lineRule="auto"/>
      </w:pPr>
      <w:r>
        <w:rPr>
          <w:rFonts w:ascii="Arial" w:hAnsi="Arial"/>
          <w:i w:val="0"/>
          <w:color w:val="334155"/>
          <w:sz w:val="19"/>
        </w:rPr>
        <w:t>According to real-time data from the National Judicial Data Grid (NJDG), the Indian judicial system is burdened with over 5.1 crore (51 million) pending cases across District Courts, High Courts, and the Supreme Court. The average civil or property dispute in India takes between 5 to 15 years to reach final adjudication. A critical driver of this delay is the massive friction that occurs at the 'Pre-Litigation Intake Stage'—the critical period before a formal suit or petition is even filed.</w:t>
      </w:r>
    </w:p>
    <w:p>
      <w:pPr>
        <w:keepNext/>
        <w:spacing w:before="280" w:after="80"/>
      </w:pPr>
      <w:r>
        <w:rPr>
          <w:rFonts w:ascii="Arial" w:hAnsi="Arial"/>
          <w:b/>
          <w:color w:val="1D4ED8"/>
          <w:sz w:val="24"/>
        </w:rPr>
        <w:t>2.2 The Three Fatal Friction Points</w:t>
      </w:r>
    </w:p>
    <w:p>
      <w:pPr>
        <w:pStyle w:val="ListBullet"/>
        <w:spacing w:before="20" w:after="40" w:line="276" w:lineRule="auto"/>
      </w:pPr>
      <w:r>
        <w:rPr>
          <w:rFonts w:ascii="Arial" w:hAnsi="Arial"/>
          <w:b/>
          <w:color w:val="0F172A"/>
          <w:sz w:val="19"/>
        </w:rPr>
        <w:t xml:space="preserve">1. The Linguistic Chasm: </w:t>
      </w:r>
      <w:r>
        <w:rPr>
          <w:rFonts w:ascii="Arial" w:hAnsi="Arial"/>
          <w:color w:val="334155"/>
          <w:sz w:val="19"/>
        </w:rPr>
        <w:t>Indian statutory codes (the Bharatiya Nyaya Sanhita, Code of Civil Procedure, Limitation Act) and formal court petitions are drafted in dense legal English. Over 90% of Indian litigants speak Hindi or regional languages and cannot interpret statutory notices, FIRs, or legal summons without exploitation.</w:t>
      </w:r>
    </w:p>
    <w:p>
      <w:pPr>
        <w:pStyle w:val="ListBullet"/>
        <w:spacing w:before="20" w:after="40" w:line="276" w:lineRule="auto"/>
      </w:pPr>
      <w:r>
        <w:rPr>
          <w:rFonts w:ascii="Arial" w:hAnsi="Arial"/>
          <w:b/>
          <w:color w:val="0F172A"/>
          <w:sz w:val="19"/>
        </w:rPr>
        <w:t xml:space="preserve">2. Procedural &amp; Financial Intimidation: </w:t>
      </w:r>
      <w:r>
        <w:rPr>
          <w:rFonts w:ascii="Arial" w:hAnsi="Arial"/>
          <w:color w:val="334155"/>
          <w:sz w:val="19"/>
        </w:rPr>
        <w:t>When a dispute arises (e.g., property encroachment, domestic dispute, employment termination), citizens do not know whether their grievance falls under civil or criminal law, what the statutory limitation deadline is, or what immediate evidence to preserve.</w:t>
      </w:r>
    </w:p>
    <w:p>
      <w:pPr>
        <w:pStyle w:val="ListBullet"/>
        <w:spacing w:before="20" w:after="40" w:line="276" w:lineRule="auto"/>
      </w:pPr>
      <w:r>
        <w:rPr>
          <w:rFonts w:ascii="Arial" w:hAnsi="Arial"/>
          <w:b/>
          <w:color w:val="0F172A"/>
          <w:sz w:val="19"/>
        </w:rPr>
        <w:t xml:space="preserve">3. The Discovery &amp; Information Monopoly: </w:t>
      </w:r>
      <w:r>
        <w:rPr>
          <w:rFonts w:ascii="Arial" w:hAnsi="Arial"/>
          <w:color w:val="334155"/>
          <w:sz w:val="19"/>
        </w:rPr>
        <w:t>Finding an honest, competent lawyer in India relies heavily on opaque word-of-mouth networks. Senior lawyers charge prohibitive initial consultation fees, while junior lawyers struggle to find clients because statutory bar rules forbid marketing.</w:t>
      </w:r>
    </w:p>
    <w:p>
      <w:pPr>
        <w:keepNext/>
        <w:spacing w:before="280" w:after="80"/>
      </w:pPr>
      <w:r>
        <w:rPr>
          <w:rFonts w:ascii="Arial" w:hAnsi="Arial"/>
          <w:b/>
          <w:color w:val="1D4ED8"/>
          <w:sz w:val="24"/>
        </w:rPr>
        <w:t>2.3 The Statutory Hurdle: Bar Council of India (BCI) Rule 36</w:t>
      </w:r>
    </w:p>
    <w:p>
      <w:pPr>
        <w:spacing w:before="0" w:after="80" w:line="276" w:lineRule="auto"/>
      </w:pPr>
      <w:r>
        <w:rPr>
          <w:rFonts w:ascii="Arial" w:hAnsi="Arial"/>
          <w:i w:val="0"/>
          <w:color w:val="334155"/>
          <w:sz w:val="19"/>
        </w:rPr>
        <w:t>In Western jurisdictions (e.g., USA, UK), lawyers routinely advertise on television, search engines, and social media. In India, however, Rule 36 of the Bar Council of India Rules (framed under the Advocates Act, 1961) strictly prohibits advocates from advertising, soliciting work, or promoting themselves directly or indirectly.</w:t>
      </w:r>
    </w:p>
    <w:tbl>
      <w:tblPr>
        <w:tblW w:type="auto" w:w="0"/>
        <w:jc w:val="center"/>
        <w:tblLook w:firstColumn="1" w:firstRow="1" w:lastColumn="0" w:lastRow="0" w:noHBand="0" w:noVBand="1" w:val="04A0"/>
      </w:tblPr>
      <w:tblGrid>
        <w:gridCol w:w="9360"/>
      </w:tblGrid>
      <w:tr>
        <w:tc>
          <w:tcPr>
            <w:tcW w:type="dxa" w:w="9360"/>
            <w:shd w:fill="FEF3C7"/>
            <w:tcMar>
              <w:top w:w="90" w:type="dxa"/>
              <w:bottom w:w="90" w:type="dxa"/>
              <w:left w:w="140" w:type="dxa"/>
              <w:right w:w="140" w:type="dxa"/>
            </w:tcMar>
            <w:tcBorders>
              <w:top w:val="none"/>
              <w:left w:val="single" w:sz="24" w:space="0" w:color="B45309"/>
              <w:bottom w:val="none"/>
              <w:right w:val="none"/>
            </w:tcBorders>
          </w:tcPr>
          <w:p>
            <w:pPr>
              <w:spacing w:after="40" w:line="276" w:lineRule="auto"/>
            </w:pPr>
            <w:r>
              <w:rPr>
                <w:rFonts w:ascii="Arial" w:hAnsi="Arial"/>
                <w:b/>
                <w:color w:val="B45309"/>
                <w:sz w:val="19"/>
              </w:rPr>
              <w:t>BCI RULE 36 EXCERPT &amp; LEGAL IMPLICATION</w:t>
              <w:br/>
            </w:r>
            <w:r>
              <w:rPr>
                <w:rFonts w:ascii="Arial" w:hAnsi="Arial"/>
                <w:color w:val="334155"/>
                <w:sz w:val="18"/>
              </w:rPr>
              <w:t>"An advocate shall not solicit work or advertise, either directly or indirectly, whether by circulars, advertisements, touts, personal communications, interviews not warranted by personal relations, furnishing or inspiring newspaper comments or producing his photographs to be published in connection with cases in which he has been engaged..."</w:t>
              <w:br/>
              <w:br/>
              <w:t>Legal Tech Implication: Any platform that charges lawyers for sponsored ad spots, allows bidding on keywords, or guarantees case outcomes is ILLEGAL under Indian law. Vakil Setu solves this by operating strictly as a neutral, merit-based directory where listing is free/objective, ranking is determined purely by verified client ratings and years of experience, and no commercial promotion occurs.</w:t>
            </w:r>
          </w:p>
        </w:tc>
      </w:tr>
    </w:tbl>
    <w:p>
      <w:pPr>
        <w:spacing w:before="0" w:after="60"/>
      </w:pPr>
    </w:p>
    <w:p>
      <w:pPr>
        <w:keepNext/>
        <w:spacing w:before="280" w:after="80"/>
      </w:pPr>
      <w:r>
        <w:rPr>
          <w:rFonts w:ascii="Arial" w:hAnsi="Arial"/>
          <w:b/>
          <w:color w:val="1D4ED8"/>
          <w:sz w:val="24"/>
        </w:rPr>
        <w:t>2.4 Workflow Comparison: Traditional vs. Vakil Setu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2592"/>
            <w:shd w:fill="0B2545"/>
            <w:tcMar>
              <w:top w:w="90" w:type="dxa"/>
              <w:bottom w:w="90" w:type="dxa"/>
              <w:left w:w="110" w:type="dxa"/>
              <w:right w:w="110" w:type="dxa"/>
            </w:tcMar>
          </w:tcPr>
          <w:p>
            <w:pPr>
              <w:spacing w:after="0"/>
              <w:jc w:val="left"/>
            </w:pPr>
            <w:r>
              <w:rPr>
                <w:rFonts w:ascii="Arial" w:hAnsi="Arial"/>
                <w:b/>
                <w:color w:val="FFFFFF"/>
                <w:sz w:val="18"/>
              </w:rPr>
              <w:t>Process Dimension</w:t>
            </w:r>
          </w:p>
        </w:tc>
        <w:tc>
          <w:tcPr>
            <w:tcW w:type="dxa" w:w="3312"/>
            <w:shd w:fill="0B2545"/>
            <w:tcMar>
              <w:top w:w="90" w:type="dxa"/>
              <w:bottom w:w="90" w:type="dxa"/>
              <w:left w:w="110" w:type="dxa"/>
              <w:right w:w="110" w:type="dxa"/>
            </w:tcMar>
          </w:tcPr>
          <w:p>
            <w:pPr>
              <w:spacing w:after="0"/>
              <w:jc w:val="left"/>
            </w:pPr>
            <w:r>
              <w:rPr>
                <w:rFonts w:ascii="Arial" w:hAnsi="Arial"/>
                <w:b/>
                <w:color w:val="FFFFFF"/>
                <w:sz w:val="18"/>
              </w:rPr>
              <w:t>Traditional Legal Onboarding</w:t>
            </w:r>
          </w:p>
        </w:tc>
        <w:tc>
          <w:tcPr>
            <w:tcW w:type="dxa" w:w="3456"/>
            <w:shd w:fill="0B2545"/>
            <w:tcMar>
              <w:top w:w="90" w:type="dxa"/>
              <w:bottom w:w="90" w:type="dxa"/>
              <w:left w:w="110" w:type="dxa"/>
              <w:right w:w="110" w:type="dxa"/>
            </w:tcMar>
          </w:tcPr>
          <w:p>
            <w:pPr>
              <w:spacing w:after="0"/>
              <w:jc w:val="left"/>
            </w:pPr>
            <w:r>
              <w:rPr>
                <w:rFonts w:ascii="Arial" w:hAnsi="Arial"/>
                <w:b/>
                <w:color w:val="FFFFFF"/>
                <w:sz w:val="18"/>
              </w:rPr>
              <w:t>Vakil Setu Intelligent Triage</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Initial Grievance Articulation</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Litigant travels to court complex; relies on informal intermediaries/touts.</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Litigant speaks in natural Hindi/English via browser microphone.</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Language Barrier</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English petitions; confusing legalese; high reliance on scribes.</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Automatic speech recognition (STT) + Hindi/English AI synthesis.</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Legal Categorization</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Unstructured narrative; hours spent explaining facts to multiple lawyers.</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Instant classification into Criminal, Civil, Family, or Property in &lt; 2 sec.</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Urgency &amp; Action Guidance</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Litigants unaware of statutory deadlines, bail urgency, or limitation periods.</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Immediate urgency score (Low/Medium/High/Emergency) + 3-5 item action checklist.</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Advocate Discovery</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Opaque word-of-mouth; risk of unverified or predatory practitioners.</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Algorithmic matching with verified, enrolled advocates sorted by rating.</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Payment &amp; Booking</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Cash-in-hand negotiations; arbitrary fees; scheduling via WhatsApp.</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Transparent consultation fee; instant slot booking; Razorpay HMAC verified.</w:t>
            </w:r>
          </w:p>
        </w:tc>
      </w:tr>
    </w:tbl>
    <w:p>
      <w:pPr>
        <w:spacing w:after="80"/>
      </w:pPr>
    </w:p>
    <w:p>
      <w:pPr>
        <w:keepNext/>
        <w:spacing w:before="440" w:after="120"/>
      </w:pPr>
      <w:r>
        <w:rPr>
          <w:rFonts w:ascii="Arial" w:hAnsi="Arial"/>
          <w:b/>
          <w:color w:val="0B2545"/>
          <w:sz w:val="30"/>
        </w:rPr>
        <w:t>3. High-Level System Architecture &amp; End-to-End Data Flow</w:t>
      </w:r>
    </w:p>
    <w:p>
      <w:pPr>
        <w:keepNext/>
        <w:spacing w:before="280" w:after="80"/>
      </w:pPr>
      <w:r>
        <w:rPr>
          <w:rFonts w:ascii="Arial" w:hAnsi="Arial"/>
          <w:b/>
          <w:color w:val="1D4ED8"/>
          <w:sz w:val="24"/>
        </w:rPr>
        <w:t>3.1 The 5-Tier Architecture Model</w:t>
      </w:r>
    </w:p>
    <w:p>
      <w:pPr>
        <w:spacing w:before="0" w:after="80" w:line="276" w:lineRule="auto"/>
      </w:pPr>
      <w:r>
        <w:rPr>
          <w:rFonts w:ascii="Arial" w:hAnsi="Arial"/>
          <w:i w:val="0"/>
          <w:color w:val="334155"/>
          <w:sz w:val="19"/>
        </w:rPr>
        <w:t>Vakil Setu is engineered as a decoupled, multi-tier web application designed for maximum performance, low-bandwidth resilience, and zero cloud streaming costs:</w:t>
      </w:r>
    </w:p>
    <w:p>
      <w:pPr>
        <w:pStyle w:val="ListBullet"/>
        <w:spacing w:before="20" w:after="40" w:line="276" w:lineRule="auto"/>
      </w:pPr>
      <w:r>
        <w:rPr>
          <w:rFonts w:ascii="Arial" w:hAnsi="Arial"/>
          <w:b/>
          <w:color w:val="0F172A"/>
          <w:sz w:val="19"/>
        </w:rPr>
        <w:t xml:space="preserve">Tier 1: Presentation &amp; Voice Layer: </w:t>
      </w:r>
      <w:r>
        <w:rPr>
          <w:rFonts w:ascii="Arial" w:hAnsi="Arial"/>
          <w:color w:val="334155"/>
          <w:sz w:val="19"/>
        </w:rPr>
        <w:t>React 18 Single Page Application (Vite) utilizing the W3C Web Speech API (`webkitSpeechRecognition`) for local, zero-cost audio transcription. Client state is managed via React Context and cached in browser `localStorage`.</w:t>
      </w:r>
    </w:p>
    <w:p>
      <w:pPr>
        <w:pStyle w:val="ListBullet"/>
        <w:spacing w:before="20" w:after="40" w:line="276" w:lineRule="auto"/>
      </w:pPr>
      <w:r>
        <w:rPr>
          <w:rFonts w:ascii="Arial" w:hAnsi="Arial"/>
          <w:b/>
          <w:color w:val="0F172A"/>
          <w:sz w:val="19"/>
        </w:rPr>
        <w:t xml:space="preserve">Tier 2: API Gateway Layer: </w:t>
      </w:r>
      <w:r>
        <w:rPr>
          <w:rFonts w:ascii="Arial" w:hAnsi="Arial"/>
          <w:color w:val="334155"/>
          <w:sz w:val="19"/>
        </w:rPr>
        <w:t>Node.js runtime environment running an Express REST API. Handles request routing, input sanitization, error propagation, and CORS security.</w:t>
      </w:r>
    </w:p>
    <w:p>
      <w:pPr>
        <w:pStyle w:val="ListBullet"/>
        <w:spacing w:before="20" w:after="40" w:line="276" w:lineRule="auto"/>
      </w:pPr>
      <w:r>
        <w:rPr>
          <w:rFonts w:ascii="Arial" w:hAnsi="Arial"/>
          <w:b/>
          <w:color w:val="0F172A"/>
          <w:sz w:val="19"/>
        </w:rPr>
        <w:t xml:space="preserve">Tier 3: Intelligence &amp; Triage Layer: </w:t>
      </w:r>
      <w:r>
        <w:rPr>
          <w:rFonts w:ascii="Arial" w:hAnsi="Arial"/>
          <w:color w:val="334155"/>
          <w:sz w:val="19"/>
        </w:rPr>
        <w:t>Dual-Engine Architecture combining Google Gemini 2.0 Flash (via REST API or college gateway) with a deterministic Regex Rule-Based Fallback Engine for offline resilience.</w:t>
      </w:r>
    </w:p>
    <w:p>
      <w:pPr>
        <w:pStyle w:val="ListBullet"/>
        <w:spacing w:before="20" w:after="40" w:line="276" w:lineRule="auto"/>
      </w:pPr>
      <w:r>
        <w:rPr>
          <w:rFonts w:ascii="Arial" w:hAnsi="Arial"/>
          <w:b/>
          <w:color w:val="0F172A"/>
          <w:sz w:val="19"/>
        </w:rPr>
        <w:t xml:space="preserve">Tier 4: Data Persistence Layer: </w:t>
      </w:r>
      <w:r>
        <w:rPr>
          <w:rFonts w:ascii="Arial" w:hAnsi="Arial"/>
          <w:color w:val="334155"/>
          <w:sz w:val="19"/>
        </w:rPr>
        <w:t>MongoDB Atlas document database interfaced via Mongoose ODM. Stores collections for `Advocate`, `Booking`, `User`, and `Review`.</w:t>
      </w:r>
    </w:p>
    <w:p>
      <w:pPr>
        <w:pStyle w:val="ListBullet"/>
        <w:spacing w:before="20" w:after="40" w:line="276" w:lineRule="auto"/>
      </w:pPr>
      <w:r>
        <w:rPr>
          <w:rFonts w:ascii="Arial" w:hAnsi="Arial"/>
          <w:b/>
          <w:color w:val="0F172A"/>
          <w:sz w:val="19"/>
        </w:rPr>
        <w:t xml:space="preserve">Tier 5: External Integration Rails: </w:t>
      </w:r>
      <w:r>
        <w:rPr>
          <w:rFonts w:ascii="Arial" w:hAnsi="Arial"/>
          <w:color w:val="334155"/>
          <w:sz w:val="19"/>
        </w:rPr>
        <w:t>Razorpay Payments API (Order generation + HMAC SHA-256 signature verification) alongside an autonomous Cheerio/Axios directory crawler for legal data ingestion.</w:t>
      </w:r>
    </w:p>
    <w:p>
      <w:pPr>
        <w:keepNext/>
        <w:spacing w:before="280" w:after="80"/>
      </w:pPr>
      <w:r>
        <w:rPr>
          <w:rFonts w:ascii="Arial" w:hAnsi="Arial"/>
          <w:b/>
          <w:color w:val="1D4ED8"/>
          <w:sz w:val="24"/>
        </w:rPr>
        <w:t>3.2 The 7-Stage End-to-End Execution Pipeline</w:t>
      </w:r>
    </w:p>
    <w:p>
      <w:pPr>
        <w:spacing w:before="0" w:after="80" w:line="276" w:lineRule="auto"/>
      </w:pPr>
      <w:r>
        <w:rPr>
          <w:rFonts w:ascii="Arial" w:hAnsi="Arial"/>
          <w:i w:val="0"/>
          <w:color w:val="334155"/>
          <w:sz w:val="19"/>
        </w:rPr>
        <w:t>To explain how a user request traverses the entire system, walk through these 7 sequential stages:</w:t>
      </w:r>
    </w:p>
    <w:p>
      <w:pPr>
        <w:pStyle w:val="ListBullet"/>
        <w:spacing w:before="20" w:after="40" w:line="276" w:lineRule="auto"/>
      </w:pPr>
      <w:r>
        <w:rPr>
          <w:rFonts w:ascii="Arial" w:hAnsi="Arial"/>
          <w:b/>
          <w:color w:val="0F172A"/>
          <w:sz w:val="19"/>
        </w:rPr>
        <w:t xml:space="preserve">Stage 1: Voice Capture &amp; Token Streaming: </w:t>
      </w:r>
      <w:r>
        <w:rPr>
          <w:rFonts w:ascii="Arial" w:hAnsi="Arial"/>
          <w:color w:val="334155"/>
          <w:sz w:val="19"/>
        </w:rPr>
        <w:t>The user visits the web app and clicks the microphone button. The browser invokes the native Web Speech API (`hi-IN` or `en-IN`). Intermediate tokens stream into a visual speech bubble. The finalized transcript is captured as clean text.</w:t>
      </w:r>
    </w:p>
    <w:p>
      <w:pPr>
        <w:pStyle w:val="ListBullet"/>
        <w:spacing w:before="20" w:after="40" w:line="276" w:lineRule="auto"/>
      </w:pPr>
      <w:r>
        <w:rPr>
          <w:rFonts w:ascii="Arial" w:hAnsi="Arial"/>
          <w:b/>
          <w:color w:val="0F172A"/>
          <w:sz w:val="19"/>
        </w:rPr>
        <w:t xml:space="preserve">Stage 2: Language Inference &amp; Normalization: </w:t>
      </w:r>
      <w:r>
        <w:rPr>
          <w:rFonts w:ascii="Arial" w:hAnsi="Arial"/>
          <w:color w:val="334155"/>
          <w:sz w:val="19"/>
        </w:rPr>
        <w:t>The text is dispatched via HTTP POST to `/api/ai/classify`. The backend runs `inferUserLanguage()`, scanning for Devanagari Unicode characters (`[\u0900-\u097F]`) and Romanized Hindi tokens ('mera', 'meri', 'pulis', 'zameen'). It sets the response language flag ('hi' or 'en').</w:t>
      </w:r>
    </w:p>
    <w:p>
      <w:pPr>
        <w:pStyle w:val="ListBullet"/>
        <w:spacing w:before="20" w:after="40" w:line="276" w:lineRule="auto"/>
      </w:pPr>
      <w:r>
        <w:rPr>
          <w:rFonts w:ascii="Arial" w:hAnsi="Arial"/>
          <w:b/>
          <w:color w:val="0F172A"/>
          <w:sz w:val="19"/>
        </w:rPr>
        <w:t xml:space="preserve">Stage 3: LLM Prompt Injection &amp; Triage: </w:t>
      </w:r>
      <w:r>
        <w:rPr>
          <w:rFonts w:ascii="Arial" w:hAnsi="Arial"/>
          <w:color w:val="334155"/>
          <w:sz w:val="19"/>
        </w:rPr>
        <w:t>The prompt builder constructs an authoritative system prompt instructing the LLM to act as an Indian legal triage specialist, strictly constraining the output to a single JSON object containing `domain`, `domain_label`, `urgency`, `summary`, and `actions`.</w:t>
      </w:r>
    </w:p>
    <w:p>
      <w:pPr>
        <w:pStyle w:val="ListBullet"/>
        <w:spacing w:before="20" w:after="40" w:line="276" w:lineRule="auto"/>
      </w:pPr>
      <w:r>
        <w:rPr>
          <w:rFonts w:ascii="Arial" w:hAnsi="Arial"/>
          <w:b/>
          <w:color w:val="0F172A"/>
          <w:sz w:val="19"/>
        </w:rPr>
        <w:t xml:space="preserve">Stage 4: Deterministic Failover Execution: </w:t>
      </w:r>
      <w:r>
        <w:rPr>
          <w:rFonts w:ascii="Arial" w:hAnsi="Arial"/>
          <w:color w:val="334155"/>
          <w:sz w:val="19"/>
        </w:rPr>
        <w:t>If the external AI API fails due to rate limits (HTTP 429), quota exhaustion, or network disconnects, the execution catches the error and instantaneously routes the text through `localFallbackClassification()`. The user experiences zero downtime.</w:t>
      </w:r>
    </w:p>
    <w:p>
      <w:pPr>
        <w:pStyle w:val="ListBullet"/>
        <w:spacing w:before="20" w:after="40" w:line="276" w:lineRule="auto"/>
      </w:pPr>
      <w:r>
        <w:rPr>
          <w:rFonts w:ascii="Arial" w:hAnsi="Arial"/>
          <w:b/>
          <w:color w:val="0F172A"/>
          <w:sz w:val="19"/>
        </w:rPr>
        <w:t xml:space="preserve">Stage 5: Algorithmic Advocate Query: </w:t>
      </w:r>
      <w:r>
        <w:rPr>
          <w:rFonts w:ascii="Arial" w:hAnsi="Arial"/>
          <w:color w:val="334155"/>
          <w:sz w:val="19"/>
        </w:rPr>
        <w:t>The classified canonical domain slug (`criminal`, `civil`, `family`, `property`) is dispatched to `/api/advocates/match`. MongoDB is queried for advocates having that expertise tag and `availability: true`, sorted descending by `rating` and `experienceYears`.</w:t>
      </w:r>
    </w:p>
    <w:p>
      <w:pPr>
        <w:pStyle w:val="ListBullet"/>
        <w:spacing w:before="20" w:after="40" w:line="276" w:lineRule="auto"/>
      </w:pPr>
      <w:r>
        <w:rPr>
          <w:rFonts w:ascii="Arial" w:hAnsi="Arial"/>
          <w:b/>
          <w:color w:val="0F172A"/>
          <w:sz w:val="19"/>
        </w:rPr>
        <w:t xml:space="preserve">Stage 6: Dashboard Rendering &amp; Context Memory: </w:t>
      </w:r>
      <w:r>
        <w:rPr>
          <w:rFonts w:ascii="Arial" w:hAnsi="Arial"/>
          <w:color w:val="334155"/>
          <w:sz w:val="19"/>
        </w:rPr>
        <w:t>The user is routed to `/results`, displaying the case overview, urgency badge, action checklist, speech playback button (`Listen / सुनें`), and advocate cards. Users can engage in a follow-up chat that preserves the preceding 10 dialogue turns.</w:t>
      </w:r>
    </w:p>
    <w:p>
      <w:pPr>
        <w:pStyle w:val="ListBullet"/>
        <w:spacing w:before="20" w:after="40" w:line="276" w:lineRule="auto"/>
      </w:pPr>
      <w:r>
        <w:rPr>
          <w:rFonts w:ascii="Arial" w:hAnsi="Arial"/>
          <w:b/>
          <w:color w:val="0F172A"/>
          <w:sz w:val="19"/>
        </w:rPr>
        <w:t xml:space="preserve">Stage 7: Booking &amp; Cryptographic Escrow: </w:t>
      </w:r>
      <w:r>
        <w:rPr>
          <w:rFonts w:ascii="Arial" w:hAnsi="Arial"/>
          <w:color w:val="334155"/>
          <w:sz w:val="19"/>
        </w:rPr>
        <w:t>The user selects an advocate, chooses a consultation slot, and clicks 'Book Consultation'. An order is created on Razorpay. Upon payment completion, the client returns payment IDs. The backend validates the HMAC SHA-256 signature and updates the booking status to `confirmed`.</w:t>
      </w:r>
    </w:p>
    <w:p>
      <w:pPr>
        <w:keepNext/>
        <w:spacing w:before="280" w:after="80"/>
      </w:pPr>
      <w:r>
        <w:rPr>
          <w:rFonts w:ascii="Arial" w:hAnsi="Arial"/>
          <w:b/>
          <w:color w:val="1D4ED8"/>
          <w:sz w:val="24"/>
        </w:rPr>
        <w:t>3.3 Core Architectural Design Principles</w:t>
      </w:r>
    </w:p>
    <w:tbl>
      <w:tblPr>
        <w:tblW w:type="auto" w:w="0"/>
        <w:jc w:val="center"/>
        <w:tblLook w:firstColumn="1" w:firstRow="1" w:lastColumn="0" w:lastRow="0" w:noHBand="0" w:noVBand="1" w:val="04A0"/>
      </w:tblPr>
      <w:tblGrid>
        <w:gridCol w:w="9360"/>
      </w:tblGrid>
      <w:tr>
        <w:tc>
          <w:tcPr>
            <w:tcW w:type="dxa" w:w="9360"/>
            <w:shd w:fill="F0FDF4"/>
            <w:tcMar>
              <w:top w:w="90" w:type="dxa"/>
              <w:bottom w:w="90" w:type="dxa"/>
              <w:left w:w="140" w:type="dxa"/>
              <w:right w:w="140" w:type="dxa"/>
            </w:tcMar>
            <w:tcBorders>
              <w:top w:val="none"/>
              <w:left w:val="single" w:sz="24" w:space="0" w:color="166534"/>
              <w:bottom w:val="none"/>
              <w:right w:val="none"/>
            </w:tcBorders>
          </w:tcPr>
          <w:p>
            <w:pPr>
              <w:spacing w:after="40" w:line="276" w:lineRule="auto"/>
            </w:pPr>
            <w:r>
              <w:rPr>
                <w:rFonts w:ascii="Arial" w:hAnsi="Arial"/>
                <w:b/>
                <w:color w:val="166534"/>
                <w:sz w:val="19"/>
              </w:rPr>
              <w:t>ARCHITECTURAL PRINCIPLE: ZERO CLOUD AUDIO PROCESSING</w:t>
              <w:br/>
            </w:r>
            <w:r>
              <w:rPr>
                <w:rFonts w:ascii="Arial" w:hAnsi="Arial"/>
                <w:color w:val="334155"/>
                <w:sz w:val="18"/>
              </w:rPr>
              <w:t>Why Web Speech API instead of OpenAI Whisper on the server?</w:t>
              <w:br/>
              <w:t>1. Bandwidth Efficiency: Audio streaming over slow 3G/4G networks in rural India causes 5-10 second upload delays. Text uploads consume less than 1 KB.</w:t>
              <w:br/>
              <w:t>2. Infrastructure Cost: Transcribing millions of audio files on cloud GPUs (Whisper servers) costs thousands of dollars monthly. Browser speech transcription is 100% free and native.</w:t>
              <w:br/>
              <w:t>3. Privacy by Design: The user's raw voice never touches our backend server, ensuring privacy compliance under India's Digital Personal Data Protection (DPDP) Act, 2023.</w:t>
            </w:r>
          </w:p>
        </w:tc>
      </w:tr>
    </w:tbl>
    <w:p>
      <w:pPr>
        <w:spacing w:before="0" w:after="60"/>
      </w:pPr>
    </w:p>
    <w:p>
      <w:pPr>
        <w:keepNext/>
        <w:spacing w:before="440" w:after="120"/>
      </w:pPr>
      <w:r>
        <w:rPr>
          <w:rFonts w:ascii="Arial" w:hAnsi="Arial"/>
          <w:b/>
          <w:color w:val="0B2545"/>
          <w:sz w:val="30"/>
        </w:rPr>
        <w:t>4. Technical Stack Deep-Dive &amp; Engineering Rationale</w:t>
      </w:r>
    </w:p>
    <w:p>
      <w:pPr>
        <w:keepNext/>
        <w:spacing w:before="280" w:after="80"/>
      </w:pPr>
      <w:r>
        <w:rPr>
          <w:rFonts w:ascii="Arial" w:hAnsi="Arial"/>
          <w:b/>
          <w:color w:val="1D4ED8"/>
          <w:sz w:val="24"/>
        </w:rPr>
        <w:t>4.1 Technology Selection &amp; Tradeoff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160"/>
            <w:shd w:fill="0B2545"/>
            <w:tcMar>
              <w:top w:w="90" w:type="dxa"/>
              <w:bottom w:w="90" w:type="dxa"/>
              <w:left w:w="110" w:type="dxa"/>
              <w:right w:w="110" w:type="dxa"/>
            </w:tcMar>
          </w:tcPr>
          <w:p>
            <w:pPr>
              <w:spacing w:after="0"/>
              <w:jc w:val="left"/>
            </w:pPr>
            <w:r>
              <w:rPr>
                <w:rFonts w:ascii="Arial" w:hAnsi="Arial"/>
                <w:b/>
                <w:color w:val="FFFFFF"/>
                <w:sz w:val="18"/>
              </w:rPr>
              <w:t>Component</w:t>
            </w:r>
          </w:p>
        </w:tc>
        <w:tc>
          <w:tcPr>
            <w:tcW w:type="dxa" w:w="2304"/>
            <w:shd w:fill="0B2545"/>
            <w:tcMar>
              <w:top w:w="90" w:type="dxa"/>
              <w:bottom w:w="90" w:type="dxa"/>
              <w:left w:w="110" w:type="dxa"/>
              <w:right w:w="110" w:type="dxa"/>
            </w:tcMar>
          </w:tcPr>
          <w:p>
            <w:pPr>
              <w:spacing w:after="0"/>
              <w:jc w:val="left"/>
            </w:pPr>
            <w:r>
              <w:rPr>
                <w:rFonts w:ascii="Arial" w:hAnsi="Arial"/>
                <w:b/>
                <w:color w:val="FFFFFF"/>
                <w:sz w:val="18"/>
              </w:rPr>
              <w:t>Technology Chosen</w:t>
            </w:r>
          </w:p>
        </w:tc>
        <w:tc>
          <w:tcPr>
            <w:tcW w:type="dxa" w:w="2304"/>
            <w:shd w:fill="0B2545"/>
            <w:tcMar>
              <w:top w:w="90" w:type="dxa"/>
              <w:bottom w:w="90" w:type="dxa"/>
              <w:left w:w="110" w:type="dxa"/>
              <w:right w:w="110" w:type="dxa"/>
            </w:tcMar>
          </w:tcPr>
          <w:p>
            <w:pPr>
              <w:spacing w:after="0"/>
              <w:jc w:val="left"/>
            </w:pPr>
            <w:r>
              <w:rPr>
                <w:rFonts w:ascii="Arial" w:hAnsi="Arial"/>
                <w:b/>
                <w:color w:val="FFFFFF"/>
                <w:sz w:val="18"/>
              </w:rPr>
              <w:t>Alternative Evaluated</w:t>
            </w:r>
          </w:p>
        </w:tc>
        <w:tc>
          <w:tcPr>
            <w:tcW w:type="dxa" w:w="2592"/>
            <w:shd w:fill="0B2545"/>
            <w:tcMar>
              <w:top w:w="90" w:type="dxa"/>
              <w:bottom w:w="90" w:type="dxa"/>
              <w:left w:w="110" w:type="dxa"/>
              <w:right w:w="110" w:type="dxa"/>
            </w:tcMar>
          </w:tcPr>
          <w:p>
            <w:pPr>
              <w:spacing w:after="0"/>
              <w:jc w:val="left"/>
            </w:pPr>
            <w:r>
              <w:rPr>
                <w:rFonts w:ascii="Arial" w:hAnsi="Arial"/>
                <w:b/>
                <w:color w:val="FFFFFF"/>
                <w:sz w:val="18"/>
              </w:rPr>
              <w:t>Why We Selected This Technology</w:t>
            </w:r>
          </w:p>
        </w:tc>
      </w:tr>
      <w:tr>
        <w:tc>
          <w:tcPr>
            <w:tcW w:type="dxa" w:w="2160"/>
            <w:shd w:fill="FFFFFF"/>
            <w:tcMar>
              <w:top w:w="70" w:type="dxa"/>
              <w:bottom w:w="70" w:type="dxa"/>
              <w:left w:w="110" w:type="dxa"/>
              <w:right w:w="110" w:type="dxa"/>
            </w:tcMar>
          </w:tcPr>
          <w:p>
            <w:pPr>
              <w:spacing w:after="0" w:line="264" w:lineRule="auto"/>
              <w:jc w:val="left"/>
            </w:pPr>
            <w:r>
              <w:rPr>
                <w:rFonts w:ascii="Arial" w:hAnsi="Arial"/>
                <w:color w:val="334155"/>
                <w:sz w:val="17"/>
              </w:rPr>
              <w:t>Frontend Framework</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React 18 + Vite (SPA)</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Next.js / Angular</w:t>
            </w:r>
          </w:p>
        </w:tc>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Instant HMR development, minimal bundle footprint, zero SSR overhead, and seamless native access to client browser audio APIs.</w:t>
            </w:r>
          </w:p>
        </w:tc>
      </w:tr>
      <w:tr>
        <w:tc>
          <w:tcPr>
            <w:tcW w:type="dxa" w:w="2160"/>
            <w:shd w:fill="F8FAFC"/>
            <w:tcMar>
              <w:top w:w="70" w:type="dxa"/>
              <w:bottom w:w="70" w:type="dxa"/>
              <w:left w:w="110" w:type="dxa"/>
              <w:right w:w="110" w:type="dxa"/>
            </w:tcMar>
          </w:tcPr>
          <w:p>
            <w:pPr>
              <w:spacing w:after="0" w:line="264" w:lineRule="auto"/>
              <w:jc w:val="left"/>
            </w:pPr>
            <w:r>
              <w:rPr>
                <w:rFonts w:ascii="Arial" w:hAnsi="Arial"/>
                <w:color w:val="334155"/>
                <w:sz w:val="17"/>
              </w:rPr>
              <w:t>Speech-to-Text (STT)</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W3C Web Speech API</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Server Whisper API</w:t>
            </w:r>
          </w:p>
        </w:tc>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Zero server bandwidth cost, instantaneous token transcription, zero audio storage liability, native bilingual support in Chrome/Edge.</w:t>
            </w:r>
          </w:p>
        </w:tc>
      </w:tr>
      <w:tr>
        <w:tc>
          <w:tcPr>
            <w:tcW w:type="dxa" w:w="2160"/>
            <w:shd w:fill="FFFFFF"/>
            <w:tcMar>
              <w:top w:w="70" w:type="dxa"/>
              <w:bottom w:w="70" w:type="dxa"/>
              <w:left w:w="110" w:type="dxa"/>
              <w:right w:w="110" w:type="dxa"/>
            </w:tcMar>
          </w:tcPr>
          <w:p>
            <w:pPr>
              <w:spacing w:after="0" w:line="264" w:lineRule="auto"/>
              <w:jc w:val="left"/>
            </w:pPr>
            <w:r>
              <w:rPr>
                <w:rFonts w:ascii="Arial" w:hAnsi="Arial"/>
                <w:color w:val="334155"/>
                <w:sz w:val="17"/>
              </w:rPr>
              <w:t>Speech Synthesis (TTS)</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SpeechSynthesis API</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Google Cloud TTS</w:t>
            </w:r>
          </w:p>
        </w:tc>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Native browser vocalization; zero external API charges; renders Devanagari Hindi and English voices natively on client.</w:t>
            </w:r>
          </w:p>
        </w:tc>
      </w:tr>
      <w:tr>
        <w:tc>
          <w:tcPr>
            <w:tcW w:type="dxa" w:w="2160"/>
            <w:shd w:fill="F8FAFC"/>
            <w:tcMar>
              <w:top w:w="70" w:type="dxa"/>
              <w:bottom w:w="70" w:type="dxa"/>
              <w:left w:w="110" w:type="dxa"/>
              <w:right w:w="110" w:type="dxa"/>
            </w:tcMar>
          </w:tcPr>
          <w:p>
            <w:pPr>
              <w:spacing w:after="0" w:line="264" w:lineRule="auto"/>
              <w:jc w:val="left"/>
            </w:pPr>
            <w:r>
              <w:rPr>
                <w:rFonts w:ascii="Arial" w:hAnsi="Arial"/>
                <w:color w:val="334155"/>
                <w:sz w:val="17"/>
              </w:rPr>
              <w:t>Backend Runtime</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Node.js + Express.js</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Python FastAPI / Django</w:t>
            </w:r>
          </w:p>
        </w:tc>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Asynchronous non-blocking event loop; highly efficient JSON manipulation; unified JavaScript/ESM ecosystem across frontend and backend.</w:t>
            </w:r>
          </w:p>
        </w:tc>
      </w:tr>
      <w:tr>
        <w:tc>
          <w:tcPr>
            <w:tcW w:type="dxa" w:w="2160"/>
            <w:shd w:fill="FFFFFF"/>
            <w:tcMar>
              <w:top w:w="70" w:type="dxa"/>
              <w:bottom w:w="70" w:type="dxa"/>
              <w:left w:w="110" w:type="dxa"/>
              <w:right w:w="110" w:type="dxa"/>
            </w:tcMar>
          </w:tcPr>
          <w:p>
            <w:pPr>
              <w:spacing w:after="0" w:line="264" w:lineRule="auto"/>
              <w:jc w:val="left"/>
            </w:pPr>
            <w:r>
              <w:rPr>
                <w:rFonts w:ascii="Arial" w:hAnsi="Arial"/>
                <w:color w:val="334155"/>
                <w:sz w:val="17"/>
              </w:rPr>
              <w:t>Database &amp; ODM</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MongoDB + Mongoose</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PostgreSQL / MySQL</w:t>
            </w:r>
          </w:p>
        </w:tc>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Polymorphic legal document structures; flexible schema for dynamic advocate expertise arrays, languages, and unstructured chat history.</w:t>
            </w:r>
          </w:p>
        </w:tc>
      </w:tr>
      <w:tr>
        <w:tc>
          <w:tcPr>
            <w:tcW w:type="dxa" w:w="2160"/>
            <w:shd w:fill="F8FAFC"/>
            <w:tcMar>
              <w:top w:w="70" w:type="dxa"/>
              <w:bottom w:w="70" w:type="dxa"/>
              <w:left w:w="110" w:type="dxa"/>
              <w:right w:w="110" w:type="dxa"/>
            </w:tcMar>
          </w:tcPr>
          <w:p>
            <w:pPr>
              <w:spacing w:after="0" w:line="264" w:lineRule="auto"/>
              <w:jc w:val="left"/>
            </w:pPr>
            <w:r>
              <w:rPr>
                <w:rFonts w:ascii="Arial" w:hAnsi="Arial"/>
                <w:color w:val="334155"/>
                <w:sz w:val="17"/>
              </w:rPr>
              <w:t>AI &amp; LLM Engine</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Google Gemini 2.0 Flash</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OpenAI GPT-4o / Llama-3</w:t>
            </w:r>
          </w:p>
        </w:tc>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Ultra-low latency (&lt;400ms token generation), high context window, superior multilingual tokenization for Indic scripts, and cost efficiency.</w:t>
            </w:r>
          </w:p>
        </w:tc>
      </w:tr>
      <w:tr>
        <w:tc>
          <w:tcPr>
            <w:tcW w:type="dxa" w:w="2160"/>
            <w:shd w:fill="FFFFFF"/>
            <w:tcMar>
              <w:top w:w="70" w:type="dxa"/>
              <w:bottom w:w="70" w:type="dxa"/>
              <w:left w:w="110" w:type="dxa"/>
              <w:right w:w="110" w:type="dxa"/>
            </w:tcMar>
          </w:tcPr>
          <w:p>
            <w:pPr>
              <w:spacing w:after="0" w:line="264" w:lineRule="auto"/>
              <w:jc w:val="left"/>
            </w:pPr>
            <w:r>
              <w:rPr>
                <w:rFonts w:ascii="Arial" w:hAnsi="Arial"/>
                <w:color w:val="334155"/>
                <w:sz w:val="17"/>
              </w:rPr>
              <w:t>Payment Integration</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Razorpay REST API</w:t>
            </w:r>
          </w:p>
        </w:tc>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Stripe / Paytm</w:t>
            </w:r>
          </w:p>
        </w:tc>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Standardized Indian payment rail supporting UPI, RuPay cards, NetBanking; provides rock-solid server-side HMAC SHA-256 signature verification.</w:t>
            </w:r>
          </w:p>
        </w:tc>
      </w:tr>
      <w:tr>
        <w:tc>
          <w:tcPr>
            <w:tcW w:type="dxa" w:w="2160"/>
            <w:shd w:fill="F8FAFC"/>
            <w:tcMar>
              <w:top w:w="70" w:type="dxa"/>
              <w:bottom w:w="70" w:type="dxa"/>
              <w:left w:w="110" w:type="dxa"/>
              <w:right w:w="110" w:type="dxa"/>
            </w:tcMar>
          </w:tcPr>
          <w:p>
            <w:pPr>
              <w:spacing w:after="0" w:line="264" w:lineRule="auto"/>
              <w:jc w:val="left"/>
            </w:pPr>
            <w:r>
              <w:rPr>
                <w:rFonts w:ascii="Arial" w:hAnsi="Arial"/>
                <w:color w:val="334155"/>
                <w:sz w:val="17"/>
              </w:rPr>
              <w:t>Directory Scraper</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Cheerio + Axios</w:t>
            </w:r>
          </w:p>
        </w:tc>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Puppeteer / Selenium</w:t>
            </w:r>
          </w:p>
        </w:tc>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10x faster execution without launching heavy Chromium instances; minimal memory footprint for parsing structured HTML legal directories.</w:t>
            </w:r>
          </w:p>
        </w:tc>
      </w:tr>
    </w:tbl>
    <w:p>
      <w:pPr>
        <w:spacing w:after="80"/>
      </w:pPr>
    </w:p>
    <w:p>
      <w:pPr>
        <w:keepNext/>
        <w:spacing w:before="440" w:after="120"/>
      </w:pPr>
      <w:r>
        <w:rPr>
          <w:rFonts w:ascii="Arial" w:hAnsi="Arial"/>
          <w:b/>
          <w:color w:val="0B2545"/>
          <w:sz w:val="30"/>
        </w:rPr>
        <w:t>5. Codebase Architecture &amp; File-by-File Blueprint</w:t>
      </w:r>
    </w:p>
    <w:p>
      <w:pPr>
        <w:keepNext/>
        <w:spacing w:before="280" w:after="80"/>
      </w:pPr>
      <w:r>
        <w:rPr>
          <w:rFonts w:ascii="Arial" w:hAnsi="Arial"/>
          <w:b/>
          <w:color w:val="1D4ED8"/>
          <w:sz w:val="24"/>
        </w:rPr>
        <w:t>5.1 Complete Repository Directory Tree</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onsolas" w:hAnsi="Consolas"/>
                <w:color w:val="1E293B"/>
                <w:sz w:val="17"/>
              </w:rPr>
              <w:t>Vakil-setu/</w:t>
              <w:br/>
              <w:t>├── backend/</w:t>
              <w:br/>
              <w:t>│   ├── src/</w:t>
              <w:br/>
              <w:t>│   │   ├── config/</w:t>
              <w:br/>
              <w:t>│   │   │   ├── db.js                 # MongoDB Mongoose connection handler</w:t>
              <w:br/>
              <w:t>│   │   │   └── seed.js               # Database seeder with sample advocates &amp; bookings</w:t>
              <w:br/>
              <w:t>│   │   ├── controllers/</w:t>
              <w:br/>
              <w:t>│   │   │   ├── advocateController.js # Matches advocates by canonical domain &amp; rating</w:t>
              <w:br/>
              <w:t>│   │   │   ├── aiController.js       # Triage &amp; classification endpoint handlers</w:t>
              <w:br/>
              <w:t>│   │   │   ├── bookingController.js  # Consultation booking lifecycle management</w:t>
              <w:br/>
              <w:t>│   │   │   ├── emergencyController.js# Instant routing to highest-rated available advocate</w:t>
              <w:br/>
              <w:t>│   │   │   └── paymentController.js  # Razorpay order generation &amp; signature verification</w:t>
              <w:br/>
              <w:t>│   │   ├── middlewares/</w:t>
              <w:br/>
              <w:t>│   │   │   └── errorMiddleware.js    # Centralized HTTP error &amp; 500 handler</w:t>
              <w:br/>
              <w:t>│   │   ├── models/</w:t>
              <w:br/>
              <w:t>│   │   │   ├── Advocate.js           # Schema: name, expertise, rating, experience, languages</w:t>
              <w:br/>
              <w:t>│   │   │   ├── Booking.js            # Schema: userId, advocateId, scheduledAt, status, payment</w:t>
              <w:br/>
              <w:t>│   │   │   ├── Review.js             # Schema: advocateId, rating, comment</w:t>
              <w:br/>
              <w:t>│   │   │   └── User.js               # Schema: name, email, phone, role</w:t>
              <w:br/>
              <w:t>│   │   ├── routes/</w:t>
              <w:br/>
              <w:t>│   │   │   ├── advocateRoutes.js     # POST /api/advocates/match</w:t>
              <w:br/>
              <w:t>│   │   │   ├── aiRoutes.js           # POST /api/ai/classify, POST /api/ai/triage</w:t>
              <w:br/>
              <w:t>│   │   │   ├── bookingRoutes.js      # POST /api/bookings, GET /api/bookings</w:t>
              <w:br/>
              <w:t>│   │   │   ├── emergencyRoutes.js    # POST /api/emergency</w:t>
              <w:br/>
              <w:t>│   │   │   └── paymentRoutes.js      # POST /api/payments/create-order, verify</w:t>
              <w:br/>
              <w:t>│   │   ├── services/</w:t>
              <w:br/>
              <w:t>│   │   │   ├── aiService.js          # Dual-engine triage, prompt building, regex fallback</w:t>
              <w:br/>
              <w:t>│   │   │   └── paymentService.js     # Razorpay API client &amp; HMAC SHA-256 verifier</w:t>
              <w:br/>
              <w:t>│   │   ├── utils/</w:t>
              <w:br/>
              <w:t>│   │   │   └── legalDomain.js        # Normalizes legal domains into canonical slugs</w:t>
              <w:br/>
              <w:t>│   │   └── server.js                 # Express server bootstrap, CORS, JSON middleware</w:t>
              <w:br/>
              <w:t>│   ├── scripts/</w:t>
              <w:br/>
              <w:t>│   │   ├── scrapeAdvocates.js        # Autonomous Cheerio crawler for legal directories</w:t>
              <w:br/>
              <w:t>│   │   └── clearAdvocates.js         # Maintenance utility for clearing test records</w:t>
              <w:br/>
              <w:t>│   └── package.json</w:t>
              <w:br/>
              <w:t>└── frontend/</w:t>
              <w:br/>
              <w:t xml:space="preserve">    ├── src/</w:t>
              <w:br/>
              <w:t xml:space="preserve">    │   ├── api/</w:t>
              <w:br/>
              <w:t xml:space="preserve">    │   │   └── client.js             # Centralized Axios client for all backend endpoints</w:t>
              <w:br/>
              <w:t xml:space="preserve">    │   ├── components/</w:t>
              <w:br/>
              <w:t xml:space="preserve">    │   │   ├── VoiceRecorder.jsx     # Web Speech audio capture, token streaming, fallback</w:t>
              <w:br/>
              <w:t xml:space="preserve">    │   │   ├── AdvocateCard.jsx      # Card displaying ratings, experience, languages</w:t>
              <w:br/>
              <w:t xml:space="preserve">    │   │   ├── AdvocateList.jsx      # List view of matched advocates</w:t>
              <w:br/>
              <w:t xml:space="preserve">    │   │   ├── BookingModal.jsx      # Modal for booking consultation slots</w:t>
              <w:br/>
              <w:t xml:space="preserve">    │   │   ├── EmergencyButton.jsx   # Instant 1-tap SOS routing trigger</w:t>
              <w:br/>
              <w:t xml:space="preserve">    │   │   └── dashboard/</w:t>
              <w:br/>
              <w:t xml:space="preserve">    │   │       ├── AnalysisDashboard.jsx # Renders domain, urgency badge, action checklist</w:t>
              <w:br/>
              <w:t xml:space="preserve">    │   │       ├── CaseHero.jsx          # Header hero displaying high-level case title</w:t>
              <w:br/>
              <w:t xml:space="preserve">    │   │       ├── AdvocateMatchPanel.jsx# Side panel containing top matched advocates</w:t>
              <w:br/>
              <w:t xml:space="preserve">    │   │       └── LegalAssistantChat.jsx# Multi-turn follow-up dialogue interface</w:t>
              <w:br/>
              <w:t xml:space="preserve">    │   ├── hooks/</w:t>
              <w:br/>
              <w:t xml:space="preserve">    │   │   └── useLegalChat.js       # Custom React hook encapsulating chat state &amp; STT</w:t>
              <w:br/>
              <w:t xml:space="preserve">    │   ├── pages/</w:t>
              <w:br/>
              <w:t xml:space="preserve">    │   │   ├── HomePage.jsx          # Landing page with hero section &amp; VoiceRecorder</w:t>
              <w:br/>
              <w:t xml:space="preserve">    │   │   ├── ResultsPage.jsx       # Triage analysis dashboard &amp; advocate cards</w:t>
              <w:br/>
              <w:t xml:space="preserve">    │   │   └── BookingPage.jsx       # Booking form, slot picker &amp; Razorpay integration</w:t>
              <w:br/>
              <w:t xml:space="preserve">    │   ├── state/</w:t>
              <w:br/>
              <w:t xml:space="preserve">    │   │   └── AppContext.jsx        # Global React Context &amp; LocalStorage caching</w:t>
              <w:br/>
              <w:t xml:space="preserve">    │   ├── utils/</w:t>
              <w:br/>
              <w:t xml:space="preserve">    │   │   ├── webSpeech.js          # SpeechSynthesis (TTS) vocalization helper</w:t>
              <w:br/>
              <w:t xml:space="preserve">    │   │   └── classificationSpeak.js# Parses structured JSON into speakable text</w:t>
              <w:br/>
              <w:t xml:space="preserve">    │   ├── App.jsx                   # React Router routing (/ , /results, /booking)</w:t>
              <w:br/>
              <w:t xml:space="preserve">    │   └── main.jsx                  # React DOM root mounting</w:t>
              <w:br/>
              <w:t xml:space="preserve">    └── package.json</w:t>
            </w:r>
          </w:p>
        </w:tc>
      </w:tr>
    </w:tbl>
    <w:p>
      <w:pPr>
        <w:spacing w:after="60"/>
      </w:pPr>
    </w:p>
    <w:p>
      <w:pPr>
        <w:keepNext/>
        <w:spacing w:before="280" w:after="80"/>
      </w:pPr>
      <w:r>
        <w:rPr>
          <w:rFonts w:ascii="Arial" w:hAnsi="Arial"/>
          <w:b/>
          <w:color w:val="1D4ED8"/>
          <w:sz w:val="24"/>
        </w:rPr>
        <w:t>5.2 Key Backend Implementations Walkthrough</w:t>
      </w:r>
    </w:p>
    <w:p>
      <w:pPr>
        <w:spacing w:before="0" w:after="80" w:line="276" w:lineRule="auto"/>
      </w:pPr>
      <w:r>
        <w:rPr>
          <w:rFonts w:ascii="Arial" w:hAnsi="Arial"/>
          <w:i w:val="0"/>
          <w:color w:val="334155"/>
          <w:sz w:val="19"/>
        </w:rPr>
        <w:t>When explaining the backend to examiners, highlight these specific files and functions:</w:t>
      </w:r>
    </w:p>
    <w:p>
      <w:pPr>
        <w:pStyle w:val="ListBullet"/>
        <w:spacing w:before="20" w:after="40" w:line="276" w:lineRule="auto"/>
      </w:pPr>
      <w:r>
        <w:rPr>
          <w:rFonts w:ascii="Arial" w:hAnsi="Arial"/>
          <w:b/>
          <w:color w:val="0F172A"/>
          <w:sz w:val="19"/>
        </w:rPr>
        <w:t xml:space="preserve">backend/src/services/aiService.js: </w:t>
      </w:r>
      <w:r>
        <w:rPr>
          <w:rFonts w:ascii="Arial" w:hAnsi="Arial"/>
          <w:color w:val="334155"/>
          <w:sz w:val="19"/>
        </w:rPr>
        <w:t>Contains the core logic for the dual-engine triage. Defines `inferUserLanguage()` which uses regex Unicode matching to distinguish Hindi Devanagari from English. Contains `buildClassificationPrompt()` which enforces strict JSON output. Contains `localFallbackClassification()` which acts as the deterministic offline rule engine.</w:t>
      </w:r>
    </w:p>
    <w:p>
      <w:pPr>
        <w:pStyle w:val="ListBullet"/>
        <w:spacing w:before="20" w:after="40" w:line="276" w:lineRule="auto"/>
      </w:pPr>
      <w:r>
        <w:rPr>
          <w:rFonts w:ascii="Arial" w:hAnsi="Arial"/>
          <w:b/>
          <w:color w:val="0F172A"/>
          <w:sz w:val="19"/>
        </w:rPr>
        <w:t xml:space="preserve">backend/src/controllers/advocateController.js: </w:t>
      </w:r>
      <w:r>
        <w:rPr>
          <w:rFonts w:ascii="Arial" w:hAnsi="Arial"/>
          <w:color w:val="334155"/>
          <w:sz w:val="19"/>
        </w:rPr>
        <w:t>Normalizes the requested legal domain into canonical slugs (`criminal`, `civil`, `family`, `property`) using `normalizeLegalDomainForMatch()`. Executes an indexed MongoDB query: `Advocate.find({ expertise: canonical, availability: true }).sort({ rating: -1 }).limit(5)`.</w:t>
      </w:r>
    </w:p>
    <w:p>
      <w:pPr>
        <w:pStyle w:val="ListBullet"/>
        <w:spacing w:before="20" w:after="40" w:line="276" w:lineRule="auto"/>
      </w:pPr>
      <w:r>
        <w:rPr>
          <w:rFonts w:ascii="Arial" w:hAnsi="Arial"/>
          <w:b/>
          <w:color w:val="0F172A"/>
          <w:sz w:val="19"/>
        </w:rPr>
        <w:t xml:space="preserve">backend/src/services/paymentService.js: </w:t>
      </w:r>
      <w:r>
        <w:rPr>
          <w:rFonts w:ascii="Arial" w:hAnsi="Arial"/>
          <w:color w:val="334155"/>
          <w:sz w:val="19"/>
        </w:rPr>
        <w:t>Creates Razorpay orders via `razorpay.orders.create({ amount, currency: 'INR', receipt })`. Uses Node.js native `crypto.createHmac('sha256', secret)` to compute the cryptographic signature: `generated === razorpaySignature`.</w:t>
      </w:r>
    </w:p>
    <w:p>
      <w:pPr>
        <w:pStyle w:val="ListBullet"/>
        <w:spacing w:before="20" w:after="40" w:line="276" w:lineRule="auto"/>
      </w:pPr>
      <w:r>
        <w:rPr>
          <w:rFonts w:ascii="Arial" w:hAnsi="Arial"/>
          <w:b/>
          <w:color w:val="0F172A"/>
          <w:sz w:val="19"/>
        </w:rPr>
        <w:t xml:space="preserve">backend/src/controllers/emergencyController.js: </w:t>
      </w:r>
      <w:r>
        <w:rPr>
          <w:rFonts w:ascii="Arial" w:hAnsi="Arial"/>
          <w:color w:val="334155"/>
          <w:sz w:val="19"/>
        </w:rPr>
        <w:t>Finds the highest-rated available advocate across any domain (`Advocate.findOne({ availability: true }).sort({ rating: -1 })`) for immediate assistance during domestic violence, illegal detention, or assault threats.</w:t>
      </w:r>
    </w:p>
    <w:p>
      <w:pPr>
        <w:keepNext/>
        <w:spacing w:before="440" w:after="120"/>
      </w:pPr>
      <w:r>
        <w:rPr>
          <w:rFonts w:ascii="Arial" w:hAnsi="Arial"/>
          <w:b/>
          <w:color w:val="0B2545"/>
          <w:sz w:val="30"/>
        </w:rPr>
        <w:t>6. The Dual-Engine Triage &amp; Zero-Downtime Fallback Engine</w:t>
      </w:r>
    </w:p>
    <w:p>
      <w:pPr>
        <w:keepNext/>
        <w:spacing w:before="280" w:after="80"/>
      </w:pPr>
      <w:r>
        <w:rPr>
          <w:rFonts w:ascii="Arial" w:hAnsi="Arial"/>
          <w:b/>
          <w:color w:val="1D4ED8"/>
          <w:sz w:val="24"/>
        </w:rPr>
        <w:t>6.1 Why 100% Cloud AI Reliance Fails</w:t>
      </w:r>
    </w:p>
    <w:p>
      <w:pPr>
        <w:spacing w:before="0" w:after="80" w:line="276" w:lineRule="auto"/>
      </w:pPr>
      <w:r>
        <w:rPr>
          <w:rFonts w:ascii="Arial" w:hAnsi="Arial"/>
          <w:i w:val="0"/>
          <w:color w:val="334155"/>
          <w:sz w:val="19"/>
        </w:rPr>
        <w:t>In academic and real-world software, relying solely on commercial cloud LLMs (Gemini, OpenAI, Anthropic) introduces three critical failure modes: HTTP 429 rate limit exceeded (especially on free/student API tiers), network timeout or gateway disconnection, and regional API outages. In a legal assistance platform where a citizen might be facing an imminent arrest or eviction, returning an HTTP 500 error is unacceptable.</w:t>
      </w:r>
    </w:p>
    <w:p>
      <w:pPr>
        <w:keepNext/>
        <w:spacing w:before="280" w:after="80"/>
      </w:pPr>
      <w:r>
        <w:rPr>
          <w:rFonts w:ascii="Arial" w:hAnsi="Arial"/>
          <w:b/>
          <w:color w:val="1D4ED8"/>
          <w:sz w:val="24"/>
        </w:rPr>
        <w:t>6.2 The Dual-Engine Architecture Blueprint</w:t>
      </w:r>
    </w:p>
    <w:p>
      <w:pPr>
        <w:spacing w:before="0" w:after="80" w:line="276" w:lineRule="auto"/>
      </w:pPr>
      <w:r>
        <w:rPr>
          <w:rFonts w:ascii="Arial" w:hAnsi="Arial"/>
          <w:i w:val="0"/>
          <w:color w:val="334155"/>
          <w:sz w:val="19"/>
        </w:rPr>
        <w:t>Vakil Setu solves this with an automated failover hierarchy:</w:t>
      </w:r>
    </w:p>
    <w:p>
      <w:pPr>
        <w:pStyle w:val="ListBullet"/>
        <w:spacing w:before="20" w:after="40" w:line="276" w:lineRule="auto"/>
      </w:pPr>
      <w:r>
        <w:rPr>
          <w:rFonts w:ascii="Arial" w:hAnsi="Arial"/>
          <w:b/>
          <w:color w:val="0F172A"/>
          <w:sz w:val="19"/>
        </w:rPr>
        <w:t xml:space="preserve">Level 1 (Primary Model): </w:t>
      </w:r>
      <w:r>
        <w:rPr>
          <w:rFonts w:ascii="Arial" w:hAnsi="Arial"/>
          <w:color w:val="334155"/>
          <w:sz w:val="19"/>
        </w:rPr>
        <w:t>The system attempts to call Google Gemini 2.0 Flash (`gemini-2.0-flash`).</w:t>
      </w:r>
    </w:p>
    <w:p>
      <w:pPr>
        <w:pStyle w:val="ListBullet"/>
        <w:spacing w:before="20" w:after="40" w:line="276" w:lineRule="auto"/>
      </w:pPr>
      <w:r>
        <w:rPr>
          <w:rFonts w:ascii="Arial" w:hAnsi="Arial"/>
          <w:b/>
          <w:color w:val="0F172A"/>
          <w:sz w:val="19"/>
        </w:rPr>
        <w:t xml:space="preserve">Level 2 (Model Candidate Fallback): </w:t>
      </w:r>
      <w:r>
        <w:rPr>
          <w:rFonts w:ascii="Arial" w:hAnsi="Arial"/>
          <w:color w:val="334155"/>
          <w:sz w:val="19"/>
        </w:rPr>
        <w:t>If the model candidate fails with a 404 or transient error, the engine iterates across candidate fallbacks (`gemini-1.5-flash`, `gemini-1.5-pro`).</w:t>
      </w:r>
    </w:p>
    <w:p>
      <w:pPr>
        <w:pStyle w:val="ListBullet"/>
        <w:spacing w:before="20" w:after="40" w:line="276" w:lineRule="auto"/>
      </w:pPr>
      <w:r>
        <w:rPr>
          <w:rFonts w:ascii="Arial" w:hAnsi="Arial"/>
          <w:b/>
          <w:color w:val="0F172A"/>
          <w:sz w:val="19"/>
        </w:rPr>
        <w:t xml:space="preserve">Level 3 (Deterministic Rule-Based Fallback): </w:t>
      </w:r>
      <w:r>
        <w:rPr>
          <w:rFonts w:ascii="Arial" w:hAnsi="Arial"/>
          <w:color w:val="334155"/>
          <w:sz w:val="19"/>
        </w:rPr>
        <w:t>If an HTTP 429 (rate-limit) or HTTP 500/network timeout occurs, the system catches the exception and immediately invokes `localFallbackClassification(userText)`.</w:t>
      </w:r>
    </w:p>
    <w:p>
      <w:pPr>
        <w:keepNext/>
        <w:spacing w:before="280" w:after="80"/>
      </w:pPr>
      <w:r>
        <w:rPr>
          <w:rFonts w:ascii="Arial" w:hAnsi="Arial"/>
          <w:b/>
          <w:color w:val="1D4ED8"/>
          <w:sz w:val="24"/>
        </w:rPr>
        <w:t>6.3 The Deterministic Rule-Based Heuristic Engine</w:t>
      </w:r>
    </w:p>
    <w:p>
      <w:pPr>
        <w:spacing w:before="0" w:after="80" w:line="276" w:lineRule="auto"/>
      </w:pPr>
      <w:r>
        <w:rPr>
          <w:rFonts w:ascii="Arial" w:hAnsi="Arial"/>
          <w:i w:val="0"/>
          <w:color w:val="334155"/>
          <w:sz w:val="19"/>
        </w:rPr>
        <w:t>The fallback engine evaluates the user's grievance using specialized legal token matchers and scoring rules:</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onsolas" w:hAnsi="Consolas"/>
                <w:color w:val="1E293B"/>
                <w:sz w:val="17"/>
              </w:rPr>
              <w:t>// Excerpt from backend/src/services/aiService.js:</w:t>
              <w:br/>
              <w:t>const localFallbackClassification = (userText) =&gt; {</w:t>
              <w:br/>
              <w:t xml:space="preserve">  const text = String(userText || "").toLowerCase();</w:t>
              <w:br/>
              <w:t xml:space="preserve">  const lang = inferUserLanguage(userText);</w:t>
              <w:br/>
              <w:br/>
              <w:t xml:space="preserve">  let domain = "civil";</w:t>
              <w:br/>
              <w:t xml:space="preserve">  if (/(divorce|marriage|custody|alimony|domestic|तलाक|परिवार)/.test(text)) domain = "family";</w:t>
              <w:br/>
              <w:t xml:space="preserve">  else if (/(land|property|registry|tenant|rent|plot|ownership|संपत्ति|जमीन)/.test(text)) domain = "property";</w:t>
              <w:br/>
              <w:t xml:space="preserve">  else if (/(police|fir|arrest|bail|theft|assault|crime|criminal|गिरफ्तार|एफआईआर)/.test(text)) domain = "criminal";</w:t>
              <w:br/>
              <w:br/>
              <w:t xml:space="preserve">  let urgency = "low";</w:t>
              <w:br/>
              <w:t xml:space="preserve">  if (/(urgent|soon|notice|deadline|court date|hearing|जल्दी|सुनवाई)/.test(text)) urgency = "medium";</w:t>
              <w:br/>
              <w:t xml:space="preserve">  if (/(threat|violence|assault|illegal detention|harassment|हिंसा|धमकी)/.test(text)) urgency = "high";</w:t>
              <w:br/>
              <w:t xml:space="preserve">  if (/(life threatening|emergency|kidnap|immediate danger)/.test(text)) urgency = "emergency";</w:t>
              <w:br/>
              <w:br/>
              <w:t xml:space="preserve">  // Returns identical JSON schema in the inferred language (Hindi or English)</w:t>
              <w:br/>
              <w:t xml:space="preserve">  return { domain, domain_label, urgency, summary, actions };</w:t>
              <w:br/>
              <w:t>};</w:t>
            </w:r>
          </w:p>
        </w:tc>
      </w:tr>
    </w:tbl>
    <w:p>
      <w:pPr>
        <w:spacing w:after="60"/>
      </w:pPr>
    </w:p>
    <w:p>
      <w:pPr>
        <w:spacing w:before="0" w:after="80" w:line="276" w:lineRule="auto"/>
      </w:pPr>
      <w:r>
        <w:rPr>
          <w:rFonts w:ascii="Arial" w:hAnsi="Arial"/>
          <w:i w:val="0"/>
          <w:color w:val="334155"/>
          <w:sz w:val="19"/>
        </w:rPr>
        <w:t>Because the fallback engine returns the EXACT same JSON shape as the LLM, the frontend UI and database matching engine function seamlessly without knowing that a failover took place. This is true fault tolerance.</w:t>
      </w:r>
    </w:p>
    <w:p>
      <w:pPr>
        <w:keepNext/>
        <w:spacing w:before="440" w:after="120"/>
      </w:pPr>
      <w:r>
        <w:rPr>
          <w:rFonts w:ascii="Arial" w:hAnsi="Arial"/>
          <w:b/>
          <w:color w:val="0B2545"/>
          <w:sz w:val="30"/>
        </w:rPr>
        <w:t>7. Statutory, Legal &amp; Ethical Governance</w:t>
      </w:r>
    </w:p>
    <w:p>
      <w:pPr>
        <w:keepNext/>
        <w:spacing w:before="280" w:after="80"/>
      </w:pPr>
      <w:r>
        <w:rPr>
          <w:rFonts w:ascii="Arial" w:hAnsi="Arial"/>
          <w:b/>
          <w:color w:val="1D4ED8"/>
          <w:sz w:val="24"/>
        </w:rPr>
        <w:t>7.1 Compliance with Advocates Act, 1961 (Section 29)</w:t>
      </w:r>
    </w:p>
    <w:p>
      <w:pPr>
        <w:spacing w:before="0" w:after="80" w:line="276" w:lineRule="auto"/>
      </w:pPr>
      <w:r>
        <w:rPr>
          <w:rFonts w:ascii="Arial" w:hAnsi="Arial"/>
          <w:i w:val="0"/>
          <w:color w:val="334155"/>
          <w:sz w:val="19"/>
        </w:rPr>
        <w:t>Under Section 29 of the Advocates Act, 1961, only advocates enrolled with a State Bar Council are permitted to practice the profession of law in India. Vakil Setu complies by explicitly stating that it provides informational legal triage, not legal advice. The software never appears in court, does not file pleadings, and does not replace the human judgment of a licensed advocate.</w:t>
      </w:r>
    </w:p>
    <w:p>
      <w:pPr>
        <w:keepNext/>
        <w:spacing w:before="280" w:after="80"/>
      </w:pPr>
      <w:r>
        <w:rPr>
          <w:rFonts w:ascii="Arial" w:hAnsi="Arial"/>
          <w:b/>
          <w:color w:val="1D4ED8"/>
          <w:sz w:val="24"/>
        </w:rPr>
        <w:t>7.2 Compliance with Bar Council of India (BCI) Rule 36</w:t>
      </w:r>
    </w:p>
    <w:p>
      <w:pPr>
        <w:spacing w:before="0" w:after="80" w:line="276" w:lineRule="auto"/>
      </w:pPr>
      <w:r>
        <w:rPr>
          <w:rFonts w:ascii="Arial" w:hAnsi="Arial"/>
          <w:i w:val="0"/>
          <w:color w:val="334155"/>
          <w:sz w:val="19"/>
        </w:rPr>
        <w:t>BCI Rule 36 prohibits commercial solicitation and advertising. Vakil Setu complies through three architectural safeguards:</w:t>
      </w:r>
    </w:p>
    <w:p>
      <w:pPr>
        <w:pStyle w:val="ListBullet"/>
        <w:spacing w:before="20" w:after="40" w:line="276" w:lineRule="auto"/>
      </w:pPr>
      <w:r>
        <w:rPr>
          <w:rFonts w:ascii="Arial" w:hAnsi="Arial"/>
          <w:b/>
          <w:color w:val="0F172A"/>
          <w:sz w:val="19"/>
        </w:rPr>
        <w:t xml:space="preserve">1. No Sponsored Ad Tiers: </w:t>
      </w:r>
      <w:r>
        <w:rPr>
          <w:rFonts w:ascii="Arial" w:hAnsi="Arial"/>
          <w:color w:val="334155"/>
          <w:sz w:val="19"/>
        </w:rPr>
        <w:t>Advocates cannot pay for sponsored banners, featured spots, or top placement.</w:t>
      </w:r>
    </w:p>
    <w:p>
      <w:pPr>
        <w:pStyle w:val="ListBullet"/>
        <w:spacing w:before="20" w:after="40" w:line="276" w:lineRule="auto"/>
      </w:pPr>
      <w:r>
        <w:rPr>
          <w:rFonts w:ascii="Arial" w:hAnsi="Arial"/>
          <w:b/>
          <w:color w:val="0F172A"/>
          <w:sz w:val="19"/>
        </w:rPr>
        <w:t xml:space="preserve">2. Strictly Objective Data: </w:t>
      </w:r>
      <w:r>
        <w:rPr>
          <w:rFonts w:ascii="Arial" w:hAnsi="Arial"/>
          <w:color w:val="334155"/>
          <w:sz w:val="19"/>
        </w:rPr>
        <w:t>Directory profiles contain only factual, verifiable information: name, years of practice, court affiliations, languages, and client reviews.</w:t>
      </w:r>
    </w:p>
    <w:p>
      <w:pPr>
        <w:pStyle w:val="ListBullet"/>
        <w:spacing w:before="20" w:after="40" w:line="276" w:lineRule="auto"/>
      </w:pPr>
      <w:r>
        <w:rPr>
          <w:rFonts w:ascii="Arial" w:hAnsi="Arial"/>
          <w:b/>
          <w:color w:val="0F172A"/>
          <w:sz w:val="19"/>
        </w:rPr>
        <w:t xml:space="preserve">3. Merit-Based Sorting: </w:t>
      </w:r>
      <w:r>
        <w:rPr>
          <w:rFonts w:ascii="Arial" w:hAnsi="Arial"/>
          <w:color w:val="334155"/>
          <w:sz w:val="19"/>
        </w:rPr>
        <w:t>Advocates are presented based on algorithmic relevance to the user's classified legal domain and sorted descending by client rating, ensuring fair, non-discriminatory discovery.</w:t>
      </w:r>
    </w:p>
    <w:p>
      <w:pPr>
        <w:keepNext/>
        <w:spacing w:before="280" w:after="80"/>
      </w:pPr>
      <w:r>
        <w:rPr>
          <w:rFonts w:ascii="Arial" w:hAnsi="Arial"/>
          <w:b/>
          <w:color w:val="1D4ED8"/>
          <w:sz w:val="24"/>
        </w:rPr>
        <w:t>7.3 Alignment with Modernized Criminal Codes (BNS 2023)</w:t>
      </w:r>
    </w:p>
    <w:p>
      <w:pPr>
        <w:spacing w:before="0" w:after="80" w:line="276" w:lineRule="auto"/>
      </w:pPr>
      <w:r>
        <w:rPr>
          <w:rFonts w:ascii="Arial" w:hAnsi="Arial"/>
          <w:i w:val="0"/>
          <w:color w:val="334155"/>
          <w:sz w:val="19"/>
        </w:rPr>
        <w:t>On July 1, 2024, India replaced its colonial-era criminal laws with modernized statutory frameworks. Vakil Setu's prompt engineering and knowledge base reflect these new legal realities:</w:t>
      </w:r>
    </w:p>
    <w:p>
      <w:pPr>
        <w:pStyle w:val="ListBullet"/>
        <w:spacing w:before="20" w:after="40" w:line="276" w:lineRule="auto"/>
      </w:pPr>
      <w:r>
        <w:rPr>
          <w:rFonts w:ascii="Arial" w:hAnsi="Arial"/>
          <w:b/>
          <w:color w:val="0F172A"/>
          <w:sz w:val="19"/>
        </w:rPr>
        <w:t xml:space="preserve">Bharatiya Nyaya Sanhita (BNS) 2023: </w:t>
      </w:r>
      <w:r>
        <w:rPr>
          <w:rFonts w:ascii="Arial" w:hAnsi="Arial"/>
          <w:color w:val="334155"/>
          <w:sz w:val="19"/>
        </w:rPr>
        <w:t>Replaced the Indian Penal Code (IPC 1860). Integrates modernized offenses, organized crime provisions, and community service penalties.</w:t>
      </w:r>
    </w:p>
    <w:p>
      <w:pPr>
        <w:pStyle w:val="ListBullet"/>
        <w:spacing w:before="20" w:after="40" w:line="276" w:lineRule="auto"/>
      </w:pPr>
      <w:r>
        <w:rPr>
          <w:rFonts w:ascii="Arial" w:hAnsi="Arial"/>
          <w:b/>
          <w:color w:val="0F172A"/>
          <w:sz w:val="19"/>
        </w:rPr>
        <w:t xml:space="preserve">Bharatiya Nagarik Suraksha Sanhita (BNSS) 2023: </w:t>
      </w:r>
      <w:r>
        <w:rPr>
          <w:rFonts w:ascii="Arial" w:hAnsi="Arial"/>
          <w:color w:val="334155"/>
          <w:sz w:val="19"/>
        </w:rPr>
        <w:t>Replaced the Code of Criminal Procedure (CrPC 1973). Mandates electronic summons, forensic investigation timelines, and revised bail procedures.</w:t>
      </w:r>
    </w:p>
    <w:p>
      <w:pPr>
        <w:pStyle w:val="ListBullet"/>
        <w:spacing w:before="20" w:after="40" w:line="276" w:lineRule="auto"/>
      </w:pPr>
      <w:r>
        <w:rPr>
          <w:rFonts w:ascii="Arial" w:hAnsi="Arial"/>
          <w:b/>
          <w:color w:val="0F172A"/>
          <w:sz w:val="19"/>
        </w:rPr>
        <w:t xml:space="preserve">Bharatiya Sakshya Adhiniyam (BSA) 2023: </w:t>
      </w:r>
      <w:r>
        <w:rPr>
          <w:rFonts w:ascii="Arial" w:hAnsi="Arial"/>
          <w:color w:val="334155"/>
          <w:sz w:val="19"/>
        </w:rPr>
        <w:t>Replaced the Indian Evidence Act (IEA 1872). Formally recognizes electronic records, digital signatures, and encrypted communications as primary legal evidence.</w:t>
      </w:r>
    </w:p>
    <w:p>
      <w:pPr>
        <w:keepNext/>
        <w:spacing w:before="280" w:after="80"/>
      </w:pPr>
      <w:r>
        <w:rPr>
          <w:rFonts w:ascii="Arial" w:hAnsi="Arial"/>
          <w:b/>
          <w:color w:val="1D4ED8"/>
          <w:sz w:val="24"/>
        </w:rPr>
        <w:t>7.4 Privacy Compliance under Digital Personal Data Protection (DPDP) Act, 2023</w:t>
      </w:r>
    </w:p>
    <w:p>
      <w:pPr>
        <w:spacing w:before="0" w:after="80" w:line="276" w:lineRule="auto"/>
      </w:pPr>
      <w:r>
        <w:rPr>
          <w:rFonts w:ascii="Arial" w:hAnsi="Arial"/>
          <w:i w:val="0"/>
          <w:color w:val="334155"/>
          <w:sz w:val="19"/>
        </w:rPr>
        <w:t>The platform adheres to India's DPDP Act 2023 through client-side audio processing (audio never touches or resides on the backend), session-scoped LocalStorage caching (users can clear all data with one click), and zero third-party telemetry tracking.</w:t>
      </w:r>
    </w:p>
    <w:p>
      <w:pPr>
        <w:keepNext/>
        <w:spacing w:before="440" w:after="120"/>
      </w:pPr>
      <w:r>
        <w:rPr>
          <w:rFonts w:ascii="Arial" w:hAnsi="Arial"/>
          <w:b/>
          <w:color w:val="0B2545"/>
          <w:sz w:val="30"/>
        </w:rPr>
        <w:t>8. Feature Status Matrix (Implemented MVP vs. Future Roadmap)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304"/>
            <w:shd w:fill="0B2545"/>
            <w:tcMar>
              <w:top w:w="90" w:type="dxa"/>
              <w:bottom w:w="90" w:type="dxa"/>
              <w:left w:w="110" w:type="dxa"/>
              <w:right w:w="110" w:type="dxa"/>
            </w:tcMar>
          </w:tcPr>
          <w:p>
            <w:pPr>
              <w:spacing w:after="0"/>
              <w:jc w:val="left"/>
            </w:pPr>
            <w:r>
              <w:rPr>
                <w:rFonts w:ascii="Arial" w:hAnsi="Arial"/>
                <w:b/>
                <w:color w:val="FFFFFF"/>
                <w:sz w:val="18"/>
              </w:rPr>
              <w:t>Feature Module</w:t>
            </w:r>
          </w:p>
        </w:tc>
        <w:tc>
          <w:tcPr>
            <w:tcW w:type="dxa" w:w="3888"/>
            <w:shd w:fill="0B2545"/>
            <w:tcMar>
              <w:top w:w="90" w:type="dxa"/>
              <w:bottom w:w="90" w:type="dxa"/>
              <w:left w:w="110" w:type="dxa"/>
              <w:right w:w="110" w:type="dxa"/>
            </w:tcMar>
          </w:tcPr>
          <w:p>
            <w:pPr>
              <w:spacing w:after="0"/>
              <w:jc w:val="left"/>
            </w:pPr>
            <w:r>
              <w:rPr>
                <w:rFonts w:ascii="Arial" w:hAnsi="Arial"/>
                <w:b/>
                <w:color w:val="FFFFFF"/>
                <w:sz w:val="18"/>
              </w:rPr>
              <w:t>Description</w:t>
            </w:r>
          </w:p>
        </w:tc>
        <w:tc>
          <w:tcPr>
            <w:tcW w:type="dxa" w:w="1728"/>
            <w:shd w:fill="0B2545"/>
            <w:tcMar>
              <w:top w:w="90" w:type="dxa"/>
              <w:bottom w:w="90" w:type="dxa"/>
              <w:left w:w="110" w:type="dxa"/>
              <w:right w:w="110" w:type="dxa"/>
            </w:tcMar>
          </w:tcPr>
          <w:p>
            <w:pPr>
              <w:spacing w:after="0"/>
              <w:jc w:val="left"/>
            </w:pPr>
            <w:r>
              <w:rPr>
                <w:rFonts w:ascii="Arial" w:hAnsi="Arial"/>
                <w:b/>
                <w:color w:val="FFFFFF"/>
                <w:sz w:val="18"/>
              </w:rPr>
              <w:t>Status</w:t>
            </w:r>
          </w:p>
        </w:tc>
        <w:tc>
          <w:tcPr>
            <w:tcW w:type="dxa" w:w="1440"/>
            <w:shd w:fill="0B2545"/>
            <w:tcMar>
              <w:top w:w="90" w:type="dxa"/>
              <w:bottom w:w="90" w:type="dxa"/>
              <w:left w:w="110" w:type="dxa"/>
              <w:right w:w="110" w:type="dxa"/>
            </w:tcMar>
          </w:tcPr>
          <w:p>
            <w:pPr>
              <w:spacing w:after="0"/>
              <w:jc w:val="left"/>
            </w:pPr>
            <w:r>
              <w:rPr>
                <w:rFonts w:ascii="Arial" w:hAnsi="Arial"/>
                <w:b/>
                <w:color w:val="FFFFFF"/>
                <w:sz w:val="18"/>
              </w:rPr>
              <w:t>Delivery Phase</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Voice Input (STT)</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Real-time bilingual voice transcription via Web Speech API</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Voice Output (TTS)</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Speech synthesis reading triage summaries aloud in Hindi/English</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AI Legal Triage</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Dual-engine domain classification, urgency rating &amp; action steps</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Offline Fallback Engine</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Local regex rule engine providing zero-downtime failover</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Advocate Matching</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MongoDB query matching domain expertise sorted by rating</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Autonomous Web Scraper</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Cheerio/Axios crawler parsing LawRato directory listings</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Razorpay Payments</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Order creation &amp; HMAC SHA-256 cryptographic verification</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Session Persistence</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LocalStorage caching for chat history and triage findings</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IMPLEMENTED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0 (MVP)</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Dual Homepage Input</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Direct text box entry on homepage alongside voice button</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IN PROGRESS</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1 (Enhancement)</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Emergency SOS Hub</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1-tap phone dials (112, 1091, 15100 NALSA) &amp; statutory rights card</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IN PROGRESS</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1 (Enhancement)</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Advocate Profile Modal</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Detailed modal showing Bar Council credentials &amp; calendar slots</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IN PROGRESS</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1 (Enhancement)</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Bar Council Verification</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State Bar Enrolment (e.g. D/1420/2019) &amp; AIBE COP verification</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PLANNED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2 (Trust &amp; Auth)</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My Bookings Dashboard</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Litigant dashboard to view appointments &amp; download PDF slips</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PLANNED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2 (Trust &amp; Auth)</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Legal Document OCR</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Multi-modal OCR for extracting text from physical FIRs &amp; notices</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PLANNED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3 (Intelligence)</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Limitation Calculator</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Calculates statutory filing deadlines under Limitation Act 1963</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PLANNED</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3 (Intelligence)</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Free Legal Aid Checker</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Evaluates eligibility for free counsel under NALSA/DLSA rules</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PLANNED</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3 (Intelligence)</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Indic 8-Language STT</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Expanding voice intake to Bengali, Tamil, Telugu, Marathi, etc.</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ROADMAP</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4 (Scale)</w:t>
            </w:r>
          </w:p>
        </w:tc>
      </w:tr>
      <w:tr>
        <w:tc>
          <w:tcPr>
            <w:tcW w:type="dxa" w:w="2304"/>
            <w:shd w:fill="F8FAFC"/>
            <w:tcMar>
              <w:top w:w="70" w:type="dxa"/>
              <w:bottom w:w="70" w:type="dxa"/>
              <w:left w:w="110" w:type="dxa"/>
              <w:right w:w="110" w:type="dxa"/>
            </w:tcMar>
          </w:tcPr>
          <w:p>
            <w:pPr>
              <w:spacing w:after="0" w:line="264" w:lineRule="auto"/>
              <w:jc w:val="left"/>
            </w:pPr>
            <w:r>
              <w:rPr>
                <w:rFonts w:ascii="Arial" w:hAnsi="Arial"/>
                <w:color w:val="334155"/>
                <w:sz w:val="17"/>
              </w:rPr>
              <w:t>e-Courts CNR Tracking</w:t>
            </w:r>
          </w:p>
        </w:tc>
        <w:tc>
          <w:tcPr>
            <w:tcW w:type="dxa" w:w="3888"/>
            <w:shd w:fill="F8FAFC"/>
            <w:tcMar>
              <w:top w:w="70" w:type="dxa"/>
              <w:bottom w:w="70" w:type="dxa"/>
              <w:left w:w="110" w:type="dxa"/>
              <w:right w:w="110" w:type="dxa"/>
            </w:tcMar>
          </w:tcPr>
          <w:p>
            <w:pPr>
              <w:spacing w:after="0" w:line="264" w:lineRule="auto"/>
              <w:jc w:val="left"/>
            </w:pPr>
            <w:r>
              <w:rPr>
                <w:rFonts w:ascii="Arial" w:hAnsi="Arial"/>
                <w:color w:val="334155"/>
                <w:sz w:val="17"/>
              </w:rPr>
              <w:t>Tracks court cause lists and hearing dates via 16-digit CNR</w:t>
            </w:r>
          </w:p>
        </w:tc>
        <w:tc>
          <w:tcPr>
            <w:tcW w:type="dxa" w:w="1728"/>
            <w:shd w:fill="F8FAFC"/>
            <w:tcMar>
              <w:top w:w="70" w:type="dxa"/>
              <w:bottom w:w="70" w:type="dxa"/>
              <w:left w:w="110" w:type="dxa"/>
              <w:right w:w="110" w:type="dxa"/>
            </w:tcMar>
          </w:tcPr>
          <w:p>
            <w:pPr>
              <w:spacing w:after="0" w:line="264" w:lineRule="auto"/>
              <w:jc w:val="left"/>
            </w:pPr>
            <w:r>
              <w:rPr>
                <w:rFonts w:ascii="Arial" w:hAnsi="Arial"/>
                <w:color w:val="334155"/>
                <w:sz w:val="17"/>
              </w:rPr>
              <w:t>ROADMAP</w:t>
            </w:r>
          </w:p>
        </w:tc>
        <w:tc>
          <w:tcPr>
            <w:tcW w:type="dxa" w:w="1440"/>
            <w:shd w:fill="F8FAFC"/>
            <w:tcMar>
              <w:top w:w="70" w:type="dxa"/>
              <w:bottom w:w="70" w:type="dxa"/>
              <w:left w:w="110" w:type="dxa"/>
              <w:right w:w="110" w:type="dxa"/>
            </w:tcMar>
          </w:tcPr>
          <w:p>
            <w:pPr>
              <w:spacing w:after="0" w:line="264" w:lineRule="auto"/>
              <w:jc w:val="left"/>
            </w:pPr>
            <w:r>
              <w:rPr>
                <w:rFonts w:ascii="Arial" w:hAnsi="Arial"/>
                <w:color w:val="334155"/>
                <w:sz w:val="17"/>
              </w:rPr>
              <w:t>Phase 4 (Scale)</w:t>
            </w:r>
          </w:p>
        </w:tc>
      </w:tr>
      <w:tr>
        <w:tc>
          <w:tcPr>
            <w:tcW w:type="dxa" w:w="2304"/>
            <w:shd w:fill="FFFFFF"/>
            <w:tcMar>
              <w:top w:w="70" w:type="dxa"/>
              <w:bottom w:w="70" w:type="dxa"/>
              <w:left w:w="110" w:type="dxa"/>
              <w:right w:w="110" w:type="dxa"/>
            </w:tcMar>
          </w:tcPr>
          <w:p>
            <w:pPr>
              <w:spacing w:after="0" w:line="264" w:lineRule="auto"/>
              <w:jc w:val="left"/>
            </w:pPr>
            <w:r>
              <w:rPr>
                <w:rFonts w:ascii="Arial" w:hAnsi="Arial"/>
                <w:color w:val="334155"/>
                <w:sz w:val="17"/>
              </w:rPr>
              <w:t>WebRTC Video Consult</w:t>
            </w:r>
          </w:p>
        </w:tc>
        <w:tc>
          <w:tcPr>
            <w:tcW w:type="dxa" w:w="3888"/>
            <w:shd w:fill="FFFFFF"/>
            <w:tcMar>
              <w:top w:w="70" w:type="dxa"/>
              <w:bottom w:w="70" w:type="dxa"/>
              <w:left w:w="110" w:type="dxa"/>
              <w:right w:w="110" w:type="dxa"/>
            </w:tcMar>
          </w:tcPr>
          <w:p>
            <w:pPr>
              <w:spacing w:after="0" w:line="264" w:lineRule="auto"/>
              <w:jc w:val="left"/>
            </w:pPr>
            <w:r>
              <w:rPr>
                <w:rFonts w:ascii="Arial" w:hAnsi="Arial"/>
                <w:color w:val="334155"/>
                <w:sz w:val="17"/>
              </w:rPr>
              <w:t>Peer-to-peer end-to-end encrypted video consultation portal</w:t>
            </w:r>
          </w:p>
        </w:tc>
        <w:tc>
          <w:tcPr>
            <w:tcW w:type="dxa" w:w="1728"/>
            <w:shd w:fill="FFFFFF"/>
            <w:tcMar>
              <w:top w:w="70" w:type="dxa"/>
              <w:bottom w:w="70" w:type="dxa"/>
              <w:left w:w="110" w:type="dxa"/>
              <w:right w:w="110" w:type="dxa"/>
            </w:tcMar>
          </w:tcPr>
          <w:p>
            <w:pPr>
              <w:spacing w:after="0" w:line="264" w:lineRule="auto"/>
              <w:jc w:val="left"/>
            </w:pPr>
            <w:r>
              <w:rPr>
                <w:rFonts w:ascii="Arial" w:hAnsi="Arial"/>
                <w:color w:val="334155"/>
                <w:sz w:val="17"/>
              </w:rPr>
              <w:t>ROADMAP</w:t>
            </w:r>
          </w:p>
        </w:tc>
        <w:tc>
          <w:tcPr>
            <w:tcW w:type="dxa" w:w="1440"/>
            <w:shd w:fill="FFFFFF"/>
            <w:tcMar>
              <w:top w:w="70" w:type="dxa"/>
              <w:bottom w:w="70" w:type="dxa"/>
              <w:left w:w="110" w:type="dxa"/>
              <w:right w:w="110" w:type="dxa"/>
            </w:tcMar>
          </w:tcPr>
          <w:p>
            <w:pPr>
              <w:spacing w:after="0" w:line="264" w:lineRule="auto"/>
              <w:jc w:val="left"/>
            </w:pPr>
            <w:r>
              <w:rPr>
                <w:rFonts w:ascii="Arial" w:hAnsi="Arial"/>
                <w:color w:val="334155"/>
                <w:sz w:val="17"/>
              </w:rPr>
              <w:t>Phase 4 (Scale)</w:t>
            </w:r>
          </w:p>
        </w:tc>
      </w:tr>
    </w:tbl>
    <w:p>
      <w:pPr>
        <w:spacing w:after="80"/>
      </w:pPr>
    </w:p>
    <w:p>
      <w:pPr>
        <w:keepNext/>
        <w:spacing w:before="440" w:after="120"/>
      </w:pPr>
      <w:r>
        <w:rPr>
          <w:rFonts w:ascii="Arial" w:hAnsi="Arial"/>
          <w:b/>
          <w:color w:val="0B2545"/>
          <w:sz w:val="30"/>
        </w:rPr>
        <w:t>9. Step-by-Step Presentation &amp; Explanation Script</w:t>
      </w:r>
    </w:p>
    <w:p>
      <w:pPr>
        <w:keepNext/>
        <w:spacing w:before="280" w:after="80"/>
      </w:pPr>
      <w:r>
        <w:rPr>
          <w:rFonts w:ascii="Arial" w:hAnsi="Arial"/>
          <w:b/>
          <w:color w:val="1D4ED8"/>
          <w:sz w:val="24"/>
        </w:rPr>
        <w:t>9.1 The 5-Minute Master Presentation Script</w:t>
      </w:r>
    </w:p>
    <w:p>
      <w:pPr>
        <w:spacing w:before="0" w:after="80" w:line="276" w:lineRule="auto"/>
      </w:pPr>
      <w:r>
        <w:rPr>
          <w:rFonts w:ascii="Arial" w:hAnsi="Arial"/>
          <w:i w:val="0"/>
          <w:color w:val="334155"/>
          <w:sz w:val="19"/>
        </w:rPr>
        <w:t>When presenting this project to a viva evaluation panel or faculty guide, follow this exact minute-by-minute narrative structure:</w:t>
      </w:r>
    </w:p>
    <w:p>
      <w:pPr>
        <w:keepNext/>
        <w:spacing w:before="200" w:after="60"/>
      </w:pPr>
      <w:r>
        <w:rPr>
          <w:rFonts w:ascii="Arial" w:hAnsi="Arial"/>
          <w:b/>
          <w:color w:val="0F172A"/>
          <w:sz w:val="21"/>
        </w:rPr>
        <w:t>Minute 1: The Hook, Socio-Legal Problem &amp; Project Identity</w:t>
      </w:r>
    </w:p>
    <w:p>
      <w:pPr>
        <w:spacing w:before="0" w:after="80" w:line="276" w:lineRule="auto"/>
      </w:pPr>
      <w:r>
        <w:rPr>
          <w:rFonts w:ascii="Arial" w:hAnsi="Arial"/>
          <w:i/>
          <w:color w:val="334155"/>
          <w:sz w:val="19"/>
        </w:rPr>
        <w:t>"Respected examiners, good morning. In India today, over 5.1 crore cases are pending in courts, and millions of ordinary citizens are completely locked out of the judicial system. They are locked out not because laws do not exist, but because of three immense barriers: first, the linguistic barrier—laws and court petitions are in dense English, while citizens speak Hindi or regional languages; second, procedural intimidation—citizens do not know whether their grievance is civil or criminal; and third, the discovery dilemma—citizens cannot find trustworthy lawyers, while lawyers are legally prohibited from advertising under Bar Council of India Rule 36.</w:t>
        <w:br/>
        <w:br/>
        <w:t>To solve this, we built Vakil Setu—an AI-driven, voice-first legal triage and advocate discovery platform that bridges vernacular citizens with licensed legal professionals."</w:t>
      </w:r>
    </w:p>
    <w:p>
      <w:pPr>
        <w:keepNext/>
        <w:spacing w:before="200" w:after="60"/>
      </w:pPr>
      <w:r>
        <w:rPr>
          <w:rFonts w:ascii="Arial" w:hAnsi="Arial"/>
          <w:b/>
          <w:color w:val="0F172A"/>
          <w:sz w:val="21"/>
        </w:rPr>
        <w:t>Minute 2: The Citizen Journey &amp; Live Voice Demonstration</w:t>
      </w:r>
    </w:p>
    <w:p>
      <w:pPr>
        <w:spacing w:before="0" w:after="80" w:line="276" w:lineRule="auto"/>
      </w:pPr>
      <w:r>
        <w:rPr>
          <w:rFonts w:ascii="Arial" w:hAnsi="Arial"/>
          <w:i/>
          <w:color w:val="334155"/>
          <w:sz w:val="19"/>
        </w:rPr>
        <w:t>"Let me walk you through the citizen experience. An ordinary citizen opens Vakil Setu on their mobile browser or desktop. They do not need to type or download an app. They simply tap the microphone button and speak in Hindi: 'मेरे पड़ोसी ने मेरी जमीन पर अवैध कब्जा कर लिया है और मुझे धमकी दे रहा है' (My neighbor has illegally encroached on my land and is threatening me).</w:t>
        <w:br/>
        <w:br/>
        <w:t>Notice that our system captures their voice using the browser's native Web Speech API. Because transcription happens client-side, the latency is instantaneous, and our server bears zero streaming bandwidth cost. Within 1.5 seconds, our backend analyzes their grievance and categorizes it under 'Property Law' with a 'High' urgency score because of the threats of violence."</w:t>
      </w:r>
    </w:p>
    <w:p>
      <w:pPr>
        <w:keepNext/>
        <w:spacing w:before="200" w:after="60"/>
      </w:pPr>
      <w:r>
        <w:rPr>
          <w:rFonts w:ascii="Arial" w:hAnsi="Arial"/>
          <w:b/>
          <w:color w:val="0F172A"/>
          <w:sz w:val="21"/>
        </w:rPr>
        <w:t>Minute 3: The Intelligence Pipeline &amp; Dual-Engine Failover</w:t>
      </w:r>
    </w:p>
    <w:p>
      <w:pPr>
        <w:spacing w:before="0" w:after="80" w:line="276" w:lineRule="auto"/>
      </w:pPr>
      <w:r>
        <w:rPr>
          <w:rFonts w:ascii="Arial" w:hAnsi="Arial"/>
          <w:i/>
          <w:color w:val="334155"/>
          <w:sz w:val="19"/>
        </w:rPr>
        <w:t>"Under the hood, our backend uses a Dual-Engine Architecture. Our primary engine dispatches the grievance to Google Gemini 2.0 Flash with a strictly constrained JSON prompt schema. It extracts four vital parameters: canonical domain, urgency level, a concise 2-sentence summary, and a 4-step actionable checklist telling the user to preserve their registry documents, file a police complaint for criminal intimidation, and issue a legal notice.</w:t>
        <w:br/>
        <w:br/>
        <w:t>Crucially, what happens if our AI API hits a rate limit or goes offline? Unlike typical AI wrappers that crash with an HTTP 500 error, Vakil Setu features an internal Deterministic Rule-Based Fallback Engine. If the cloud API fails, our system catches the error in 5 milliseconds and routes the text through local regular expression heuristics, guaranteeing 100% platform availability."</w:t>
      </w:r>
    </w:p>
    <w:p>
      <w:pPr>
        <w:keepNext/>
        <w:spacing w:before="200" w:after="60"/>
      </w:pPr>
      <w:r>
        <w:rPr>
          <w:rFonts w:ascii="Arial" w:hAnsi="Arial"/>
          <w:b/>
          <w:color w:val="0F172A"/>
          <w:sz w:val="21"/>
        </w:rPr>
        <w:t>Minute 4: Advocate Discovery &amp; Secure Razorpay Escrow</w:t>
      </w:r>
    </w:p>
    <w:p>
      <w:pPr>
        <w:spacing w:before="0" w:after="80" w:line="276" w:lineRule="auto"/>
      </w:pPr>
      <w:r>
        <w:rPr>
          <w:rFonts w:ascii="Arial" w:hAnsi="Arial"/>
          <w:i/>
          <w:color w:val="334155"/>
          <w:sz w:val="19"/>
        </w:rPr>
        <w:t>"Once the issue is triaged, the user is presented with matched advocates. Our backend queries MongoDB Atlas for advocates whose verified expertise matches the canonical domain and sorts them descending by client rating and experience.</w:t>
        <w:br/>
        <w:br/>
        <w:t>This complies 100% with Bar Council of India Rule 36 because no lawyer pays for sponsored placement; discovery is purely merit-based and objective. The user can click 'Listen' to hear the summary read aloud in Hindi, select an advocate, choose an available time slot, and pay a transparent consultation fee via Razorpay, where the payment is verified on our backend using cryptographic HMAC SHA-256 signatures."</w:t>
      </w:r>
    </w:p>
    <w:p>
      <w:pPr>
        <w:keepNext/>
        <w:spacing w:before="200" w:after="60"/>
      </w:pPr>
      <w:r>
        <w:rPr>
          <w:rFonts w:ascii="Arial" w:hAnsi="Arial"/>
          <w:b/>
          <w:color w:val="0F172A"/>
          <w:sz w:val="21"/>
        </w:rPr>
        <w:t>Minute 5: Summary of Results &amp; Future Vision</w:t>
      </w:r>
    </w:p>
    <w:p>
      <w:pPr>
        <w:spacing w:before="0" w:after="80" w:line="276" w:lineRule="auto"/>
      </w:pPr>
      <w:r>
        <w:rPr>
          <w:rFonts w:ascii="Arial" w:hAnsi="Arial"/>
          <w:i/>
          <w:color w:val="334155"/>
          <w:sz w:val="19"/>
        </w:rPr>
        <w:t>"In conclusion, Vakil Setu reduces client intake turnaround time by over 70%, relieves legal professionals of unpaid administrative triage, and provides India's vernacular population with dignified, instantaneous access to preliminary legal guidance. In upcoming phases, we are expanding to document OCR for physical FIRs, an automated Limitation Act calculator, and e-Courts CNR case tracking. Thank you, and we welcome your questions."</w:t>
      </w:r>
    </w:p>
    <w:p>
      <w:pPr>
        <w:keepNext/>
        <w:spacing w:before="280" w:after="80"/>
      </w:pPr>
      <w:r>
        <w:rPr>
          <w:rFonts w:ascii="Arial" w:hAnsi="Arial"/>
          <w:b/>
          <w:color w:val="1D4ED8"/>
          <w:sz w:val="24"/>
        </w:rPr>
        <w:t>9.2 Recommended Live Demo Protocol</w:t>
      </w:r>
    </w:p>
    <w:tbl>
      <w:tblPr>
        <w:tblW w:type="auto" w:w="0"/>
        <w:jc w:val="center"/>
        <w:tblLook w:firstColumn="1" w:firstRow="1" w:lastColumn="0" w:lastRow="0" w:noHBand="0" w:noVBand="1" w:val="04A0"/>
      </w:tblPr>
      <w:tblGrid>
        <w:gridCol w:w="9360"/>
      </w:tblGrid>
      <w:tr>
        <w:tc>
          <w:tcPr>
            <w:tcW w:type="dxa" w:w="9360"/>
            <w:shd w:fill="F0FDF4"/>
            <w:tcMar>
              <w:top w:w="90" w:type="dxa"/>
              <w:bottom w:w="90" w:type="dxa"/>
              <w:left w:w="140" w:type="dxa"/>
              <w:right w:w="140" w:type="dxa"/>
            </w:tcMar>
            <w:tcBorders>
              <w:top w:val="none"/>
              <w:left w:val="single" w:sz="24" w:space="0" w:color="166534"/>
              <w:bottom w:val="none"/>
              <w:right w:val="none"/>
            </w:tcBorders>
          </w:tcPr>
          <w:p>
            <w:pPr>
              <w:spacing w:after="40" w:line="276" w:lineRule="auto"/>
            </w:pPr>
            <w:r>
              <w:rPr>
                <w:rFonts w:ascii="Arial" w:hAnsi="Arial"/>
                <w:b/>
                <w:color w:val="166534"/>
                <w:sz w:val="19"/>
              </w:rPr>
              <w:t>PRE-DEMO CHECKLIST &amp; RECOMMENDED DEMO PROMPTS</w:t>
              <w:br/>
            </w:r>
            <w:r>
              <w:rPr>
                <w:rFonts w:ascii="Arial" w:hAnsi="Arial"/>
                <w:color w:val="334155"/>
                <w:sz w:val="18"/>
              </w:rPr>
              <w:t>1. Pre-Flight Setup: Ensure MongoDB is running, backend is running on port 5000 (`npm run dev --prefix backend`), and frontend is on port 5173 (`npm run dev --prefix frontend`). Allow microphone permissions in Chrome.</w:t>
              <w:br/>
              <w:br/>
              <w:t>2. Recommended Hindi Prompt: Speak clearly into the mic: 'मेरे मकान मालिक ने बिना नोटिस दिए मेरा सामान बाहर फेंक दिया और मेरा डिपॉजिट वापस नहीं कर रहा है।' (Tests Civil / Property domain, Hindi Devanagari output, and TTS playback).</w:t>
              <w:br/>
              <w:br/>
              <w:t>3. Recommended English Prompt: 'My employer fired me without paying three months of salary and is withholding my experience letter.' (Tests Civil / Employment dispute classification).</w:t>
              <w:br/>
              <w:br/>
              <w:t>4. Showing Fallback to Examiners: To prove zero-downtime fault tolerance, temporarily change `LLM_API_KEY` to an invalid string in `backend/.env`. Submit a prompt. Show the examiners that the app STILL produces a perfect classification and matches lawyers via the local regex engine without throwing an error!</w:t>
            </w:r>
          </w:p>
        </w:tc>
      </w:tr>
    </w:tbl>
    <w:p>
      <w:pPr>
        <w:spacing w:before="0" w:after="60"/>
      </w:pPr>
    </w:p>
    <w:p>
      <w:pPr>
        <w:keepNext/>
        <w:spacing w:before="440" w:after="120"/>
      </w:pPr>
      <w:r>
        <w:rPr>
          <w:rFonts w:ascii="Arial" w:hAnsi="Arial"/>
          <w:b/>
          <w:color w:val="0B2545"/>
          <w:sz w:val="30"/>
        </w:rPr>
        <w:t>10. Master Viva &amp; Examiner Q&amp;A Guide (20 Anticipated Questions)</w:t>
      </w:r>
    </w:p>
    <w:p>
      <w:pPr>
        <w:spacing w:before="0" w:after="80" w:line="276" w:lineRule="auto"/>
      </w:pPr>
      <w:r>
        <w:rPr>
          <w:rFonts w:ascii="Arial" w:hAnsi="Arial"/>
          <w:i w:val="0"/>
          <w:color w:val="334155"/>
          <w:sz w:val="19"/>
        </w:rPr>
        <w:t>Evaluation committees and viva examiners often probe edge cases, architectural trade-offs, and legal validity. Below are 20 anticipated questions with the examiner's hidden trap and the high-scoring model defense:</w:t>
      </w:r>
    </w:p>
    <w:p>
      <w:pPr>
        <w:keepNext/>
        <w:spacing w:before="280" w:after="80"/>
      </w:pPr>
      <w:r>
        <w:rPr>
          <w:rFonts w:ascii="Arial" w:hAnsi="Arial"/>
          <w:b/>
          <w:color w:val="1D4ED8"/>
          <w:sz w:val="24"/>
        </w:rPr>
        <w:t>Q1: Why did you use client-side Web Speech API instead of server-side OpenAI Whisper?</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understanding of latency, cloud hosting economics, and system architecture.</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Client-side Web Speech API gives three massive advantages over server-side Whisper: (1) Zero Latency &amp; Bandwidth: Streaming raw audio from mobile browsers over 3G/4G networks in rural India introduces heavy latency and packet drop; Web Speech transcribes locally on the device and sends lightweight JSON text (&lt;1 KB). (2) Zero Server GPU Cost: Whisper requires heavy cloud GPU instances costing hundreds of dollars monthly; Web Speech is 100% free. (3) Privacy Compliance: Audio never resides on our server, ensuring strict adherence to the DPDP Act 2023.</w:t>
            </w:r>
          </w:p>
        </w:tc>
      </w:tr>
    </w:tbl>
    <w:p>
      <w:pPr>
        <w:spacing w:before="0" w:after="60"/>
      </w:pPr>
    </w:p>
    <w:p>
      <w:pPr>
        <w:keepNext/>
        <w:spacing w:before="280" w:after="80"/>
      </w:pPr>
      <w:r>
        <w:rPr>
          <w:rFonts w:ascii="Arial" w:hAnsi="Arial"/>
          <w:b/>
          <w:color w:val="1D4ED8"/>
          <w:sz w:val="24"/>
        </w:rPr>
        <w:t>Q2: How does Vakil Setu prevent AI hallucinations in legal matters?</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awareness of generative AI unreliability and legal liability.</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We prevent hallucinations through four architectural controls: (1) Strict Prompt Scoping: The LLM is restricted to classification, a 2-sentence summary, and procedural checklist items, explicitly barred from generating case citations or statutory penalties. (2) Strict JSON Schema Enforcement: Responses are parsed through `safeParseClassification()`; malformed output is rejected. (3) Informational Disclaimer: Prominent statutory notices explain this is informational triage, not formal legal counsel. (4) Human-in-the-Loop: The platform always routes the user to a verified, licensed advocate who conducts the actual legal assessment.</w:t>
            </w:r>
          </w:p>
        </w:tc>
      </w:tr>
    </w:tbl>
    <w:p>
      <w:pPr>
        <w:spacing w:before="0" w:after="60"/>
      </w:pPr>
    </w:p>
    <w:p>
      <w:pPr>
        <w:keepNext/>
        <w:spacing w:before="280" w:after="80"/>
      </w:pPr>
      <w:r>
        <w:rPr>
          <w:rFonts w:ascii="Arial" w:hAnsi="Arial"/>
          <w:b/>
          <w:color w:val="1D4ED8"/>
          <w:sz w:val="24"/>
        </w:rPr>
        <w:t>Q3: Does Vakil Setu violate Bar Council of India (BCI) Rule 36 prohibiting lawyer advertising?</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knowledge of Indian legal statutes and professional ethics.</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No, it complies 100% with Rule 36. Rule 36 prohibits commercial solicitation, promotional claims, and paid advertisements. Vakil Setu is not an advertising platform: (1) Advocates cannot pay for featured placement, sponsored banners, or higher search rankings. (2) Directory listings display only objective, factual credentials (years of practice, court affiliations, verified languages, and authentic client reviews). (3) Advocate matching is purely algorithmic based on domain expertise and sorted descending by client rating.</w:t>
            </w:r>
          </w:p>
        </w:tc>
      </w:tr>
    </w:tbl>
    <w:p>
      <w:pPr>
        <w:spacing w:before="0" w:after="60"/>
      </w:pPr>
    </w:p>
    <w:p>
      <w:pPr>
        <w:keepNext/>
        <w:spacing w:before="280" w:after="80"/>
      </w:pPr>
      <w:r>
        <w:rPr>
          <w:rFonts w:ascii="Arial" w:hAnsi="Arial"/>
          <w:b/>
          <w:color w:val="1D4ED8"/>
          <w:sz w:val="24"/>
        </w:rPr>
        <w:t>Q4: How does your system handle offline scenarios or when the AI API quota runs out?</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fault tolerance and production resilience.</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We built a Dual-Engine Architecture with a deterministic Rule-Based Regex Fallback Engine (`localFallbackClassification`). If Google Gemini returns an HTTP 429 rate limit, HTTP 500 error, or times out, our backend catches the error and instantaneously analyzes the text using regex heuristics. It categorizes the domain, calculates urgency based on threat/violence tokens, and returns the exact same JSON schema in the user's inferred language. The user never sees a 500 error page.</w:t>
            </w:r>
          </w:p>
        </w:tc>
      </w:tr>
    </w:tbl>
    <w:p>
      <w:pPr>
        <w:spacing w:before="0" w:after="60"/>
      </w:pPr>
    </w:p>
    <w:p>
      <w:pPr>
        <w:keepNext/>
        <w:spacing w:before="280" w:after="80"/>
      </w:pPr>
      <w:r>
        <w:rPr>
          <w:rFonts w:ascii="Arial" w:hAnsi="Arial"/>
          <w:b/>
          <w:color w:val="1D4ED8"/>
          <w:sz w:val="24"/>
        </w:rPr>
        <w:t>Q5: How do you verify Razorpay payments securely on the backend?</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understanding of cryptographic payment verification and fraud prevention.</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We use HMAC SHA-256 cryptographic verification. When the client completes payment, Razorpay returns `razorpay_order_id`, `razorpay_payment_id`, and `razorpay_signature`. In `backend/src/services/paymentService.js`, our backend constructs a payload of `orderId + '|' + paymentId` and hashes it using our secret key via Node's `crypto.createHmac('sha256', secret)`. Only if the generated digest strictly matches `razorpay_signature` does our server update the booking status to `confirmed`.</w:t>
            </w:r>
          </w:p>
        </w:tc>
      </w:tr>
    </w:tbl>
    <w:p>
      <w:pPr>
        <w:spacing w:before="0" w:after="60"/>
      </w:pPr>
    </w:p>
    <w:p>
      <w:pPr>
        <w:keepNext/>
        <w:spacing w:before="280" w:after="80"/>
      </w:pPr>
      <w:r>
        <w:rPr>
          <w:rFonts w:ascii="Arial" w:hAnsi="Arial"/>
          <w:b/>
          <w:color w:val="1D4ED8"/>
          <w:sz w:val="24"/>
        </w:rPr>
        <w:t>Q6: Why did you pick MongoDB instead of a relational database like PostgreSQL?</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database design principles and schema modeling.</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MongoDB was selected because legal triage data is semi-structured and polymorphic. An advocate's profile contains dynamic arrays of expertise domains, spoken languages, and court affiliations that evolve over time. Furthermore, user consultation transcripts and multi-turn chat dialogues are stored naturally as JSON document sub-arrays, avoiding complex multi-table JOIN operations and allowing rapid iteration.</w:t>
            </w:r>
          </w:p>
        </w:tc>
      </w:tr>
    </w:tbl>
    <w:p>
      <w:pPr>
        <w:spacing w:before="0" w:after="60"/>
      </w:pPr>
    </w:p>
    <w:p>
      <w:pPr>
        <w:keepNext/>
        <w:spacing w:before="280" w:after="80"/>
      </w:pPr>
      <w:r>
        <w:rPr>
          <w:rFonts w:ascii="Arial" w:hAnsi="Arial"/>
          <w:b/>
          <w:color w:val="1D4ED8"/>
          <w:sz w:val="24"/>
        </w:rPr>
        <w:t>Q7: How does your language inference work for bilingual Hindi/English users?</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NLP tokenization and script detection logic.</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In `backend/src/services/aiService.js`, `inferUserLanguage()` uses a two-tier heuristic: First, it scans for Devanagari Unicode characters (`[\u0900-\u097F]`). If two or more characters exist, it flags the language as Hindi (`hi`). Second, if typed in Latin script (Hinglish), it counts colloquial Romanized Hindi tokens ('mera', 'meri', 'mujhe', 'pulis', 'zameen'). If matches exist, it sets the response language to Hindi so the user receives advice in their native vernacular.</w:t>
            </w:r>
          </w:p>
        </w:tc>
      </w:tr>
    </w:tbl>
    <w:p>
      <w:pPr>
        <w:spacing w:before="0" w:after="60"/>
      </w:pPr>
    </w:p>
    <w:p>
      <w:pPr>
        <w:keepNext/>
        <w:spacing w:before="280" w:after="80"/>
      </w:pPr>
      <w:r>
        <w:rPr>
          <w:rFonts w:ascii="Arial" w:hAnsi="Arial"/>
          <w:b/>
          <w:color w:val="1D4ED8"/>
          <w:sz w:val="24"/>
        </w:rPr>
        <w:t>Q8: What is the significance of the Bharatiya Nyaya Sanhita (BNS) 2023 in your project?</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statutory currency and legal relevance.</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On July 1, 2024, the Indian Parliament replaced the 164-year-old Indian Penal Code (IPC 1860) with the Bharatiya Nyaya Sanhita (BNS 2023), the CrPC with the BNSS 2023, and the Evidence Act with the BSA 2023. Our system's prompts and triage knowledge bases are aligned with BNS 2023 to ensure citizens receive advice reflecting modern statutory laws rather than obsolete colonial sections.</w:t>
            </w:r>
          </w:p>
        </w:tc>
      </w:tr>
    </w:tbl>
    <w:p>
      <w:pPr>
        <w:spacing w:before="0" w:after="60"/>
      </w:pPr>
    </w:p>
    <w:p>
      <w:pPr>
        <w:keepNext/>
        <w:spacing w:before="280" w:after="80"/>
      </w:pPr>
      <w:r>
        <w:rPr>
          <w:rFonts w:ascii="Arial" w:hAnsi="Arial"/>
          <w:b/>
          <w:color w:val="1D4ED8"/>
          <w:sz w:val="24"/>
        </w:rPr>
        <w:t>Q9: How do you handle emergency situations like domestic violence or immediate arrest threats?</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system safety, edge-case handling, and social responsibility.</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We built two dedicated safety rails: (1) Algorithmic Urgency Flagging: If grievance text contains tokens like 'threat', 'violence', 'assault', 'illegal detention', or 'kidnap', urgency is escalated to `emergency`. (2) Dedicated Emergency Endpoint (`/api/emergency`): It immediately returns the highest-rated available advocate across the system regardless of domain and presents 1-tap phone dialers for statutory emergency helplines: 112 (National Emergency), 1091 (Women Helpline), and 15100 (NALSA Free Legal Aid).</w:t>
            </w:r>
          </w:p>
        </w:tc>
      </w:tr>
    </w:tbl>
    <w:p>
      <w:pPr>
        <w:spacing w:before="0" w:after="60"/>
      </w:pPr>
    </w:p>
    <w:p>
      <w:pPr>
        <w:keepNext/>
        <w:spacing w:before="280" w:after="80"/>
      </w:pPr>
      <w:r>
        <w:rPr>
          <w:rFonts w:ascii="Arial" w:hAnsi="Arial"/>
          <w:b/>
          <w:color w:val="1D4ED8"/>
          <w:sz w:val="24"/>
        </w:rPr>
        <w:t>Q10: What is the purpose of the Cheerio web scraper in your backend?</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data ingestion and population capabilities.</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To populate our database with realistic, high-quality advocate listings without requiring manual entry, we developed an autonomous crawler (`backend/scripts/scrapeAdvocates.js`) using Axios and Cheerio. It crawls public legal directories (like LawRato), parses HTML tables, extracts advocate names, experience years, court jurisdictions, and expertise areas, normalizes them into our Mongoose schema, and upserts them into MongoDB Atlas.</w:t>
            </w:r>
          </w:p>
        </w:tc>
      </w:tr>
    </w:tbl>
    <w:p>
      <w:pPr>
        <w:spacing w:before="0" w:after="60"/>
      </w:pPr>
    </w:p>
    <w:p>
      <w:pPr>
        <w:keepNext/>
        <w:spacing w:before="280" w:after="80"/>
      </w:pPr>
      <w:r>
        <w:rPr>
          <w:rFonts w:ascii="Arial" w:hAnsi="Arial"/>
          <w:b/>
          <w:color w:val="1D4ED8"/>
          <w:sz w:val="24"/>
        </w:rPr>
        <w:t>Q11: How do you preserve conversational context during follow-up chat turns?</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conversational AI memory and context window management.</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In `aiService.js`, the function `formatHistoryForPrompt()` takes the previous conversation array and extracts the last 10 dialogue turns (`history.slice(-10)`). It formats them into a clean `User:` and `Assistant:` block and injects them into the prompt before the latest message. This sliding-window approach ensures the AI remembers case facts while preventing context window overflow.</w:t>
            </w:r>
          </w:p>
        </w:tc>
      </w:tr>
    </w:tbl>
    <w:p>
      <w:pPr>
        <w:spacing w:before="0" w:after="60"/>
      </w:pPr>
    </w:p>
    <w:p>
      <w:pPr>
        <w:keepNext/>
        <w:spacing w:before="280" w:after="80"/>
      </w:pPr>
      <w:r>
        <w:rPr>
          <w:rFonts w:ascii="Arial" w:hAnsi="Arial"/>
          <w:b/>
          <w:color w:val="1D4ED8"/>
          <w:sz w:val="24"/>
        </w:rPr>
        <w:t>Q12: How does the platform comply with India's Digital Personal Data Protection (DPDP) Act, 2023?</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cybersecurity, privacy engineering, and legal compliance.</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Vakil Setu follows privacy-by-design: (1) No server-side audio storage—voice is converted to text on the client device. (2) Ephemeral session storage—dialogue history is stored in the user's browser `localStorage`, allowing the user to wipe it at will. (3) No third-party ad tracking or sharing of litigation details with data brokers.</w:t>
            </w:r>
          </w:p>
        </w:tc>
      </w:tr>
    </w:tbl>
    <w:p>
      <w:pPr>
        <w:spacing w:before="0" w:after="60"/>
      </w:pPr>
    </w:p>
    <w:p>
      <w:pPr>
        <w:keepNext/>
        <w:spacing w:before="280" w:after="80"/>
      </w:pPr>
      <w:r>
        <w:rPr>
          <w:rFonts w:ascii="Arial" w:hAnsi="Arial"/>
          <w:b/>
          <w:color w:val="1D4ED8"/>
          <w:sz w:val="24"/>
        </w:rPr>
        <w:t>Q13: Why did you use React Context instead of Redux for state management?</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frontend architecture and state management judgment.</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For this application, Redux would introduce unnecessary boilerplate. React Context (in `AppContext.jsx`) cleanly manages all required global state: active classification results, matched advocates, selected advocate for booking, and active Razorpay orders. It provides optimal re-rendering performance when paired with custom hooks like `useLegalChat.js`.</w:t>
            </w:r>
          </w:p>
        </w:tc>
      </w:tr>
    </w:tbl>
    <w:p>
      <w:pPr>
        <w:spacing w:before="0" w:after="60"/>
      </w:pPr>
    </w:p>
    <w:p>
      <w:pPr>
        <w:keepNext/>
        <w:spacing w:before="280" w:after="80"/>
      </w:pPr>
      <w:r>
        <w:rPr>
          <w:rFonts w:ascii="Arial" w:hAnsi="Arial"/>
          <w:b/>
          <w:color w:val="1D4ED8"/>
          <w:sz w:val="24"/>
        </w:rPr>
        <w:t>Q14: How do you handle Cross-Origin Resource Sharing (CORS) between frontend and backend?</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web security and client-server integration.</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The backend uses the `cors` middleware in `server.js` configured to allow requests from the Vite development origin (`http://localhost:5173`) and production domains. Additionally, Vite's dev server can be configured to proxy `/api` requests, preventing pre-flight latency during local development.</w:t>
            </w:r>
          </w:p>
        </w:tc>
      </w:tr>
    </w:tbl>
    <w:p>
      <w:pPr>
        <w:spacing w:before="0" w:after="60"/>
      </w:pPr>
    </w:p>
    <w:p>
      <w:pPr>
        <w:keepNext/>
        <w:spacing w:before="280" w:after="80"/>
      </w:pPr>
      <w:r>
        <w:rPr>
          <w:rFonts w:ascii="Arial" w:hAnsi="Arial"/>
          <w:b/>
          <w:color w:val="1D4ED8"/>
          <w:sz w:val="24"/>
        </w:rPr>
        <w:t>Q15: What prevents a user from maliciously booking an advocate without paying?</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transactional security and state management.</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When a booking is initiated, its status is created as `pending` with `paymentStatus: 'pending'`. The booking is ONLY transitioned to `confirmed` after our backend cryptographically validates the Razorpay webhook/signature. Unconfirmed bookings do not lock advocate calendar slots permanently.</w:t>
            </w:r>
          </w:p>
        </w:tc>
      </w:tr>
    </w:tbl>
    <w:p>
      <w:pPr>
        <w:spacing w:before="0" w:after="60"/>
      </w:pPr>
    </w:p>
    <w:p>
      <w:pPr>
        <w:keepNext/>
        <w:spacing w:before="280" w:after="80"/>
      </w:pPr>
      <w:r>
        <w:rPr>
          <w:rFonts w:ascii="Arial" w:hAnsi="Arial"/>
          <w:b/>
          <w:color w:val="1D4ED8"/>
          <w:sz w:val="24"/>
        </w:rPr>
        <w:t>Q16: How do you normalize legal domains across different user terminologies?</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domain normalization logic.</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In `backend/src/utils/legalDomain.js`, the utility function `normalizeLegalDomainForMatch()` maps colloquial and varied inputs (such as 'theft', 'bail', 'fir', 'murder' -&gt; `criminal`; 'divorce', 'alimony', 'matrimonial' -&gt; `family`; 'land', 'registry', 'tenant' -&gt; `property`) into four canonical database slugs (`criminal`, `civil`, `family`, `property`), ensuring zero mismatch when querying MongoDB.</w:t>
            </w:r>
          </w:p>
        </w:tc>
      </w:tr>
    </w:tbl>
    <w:p>
      <w:pPr>
        <w:spacing w:before="0" w:after="60"/>
      </w:pPr>
    </w:p>
    <w:p>
      <w:pPr>
        <w:keepNext/>
        <w:spacing w:before="280" w:after="80"/>
      </w:pPr>
      <w:r>
        <w:rPr>
          <w:rFonts w:ascii="Arial" w:hAnsi="Arial"/>
          <w:b/>
          <w:color w:val="1D4ED8"/>
          <w:sz w:val="24"/>
        </w:rPr>
        <w:t>Q17: Why did you build custom SpeechSynthesis (TTS) vocalization?</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accessibility and inclusive engineering design.</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Over 25% of India's rural population suffers from functional illiteracy. Even if our AI provides the best legal advice in the world, an illiterate citizen cannot read it. By integrating the browser's native `window.speechSynthesis` with language-specific voice tags (`hi-IN` and `en-IN`), users can simply tap 'Listen / सुनें' and hear their legal rights explained in their mother tongue.</w:t>
            </w:r>
          </w:p>
        </w:tc>
      </w:tr>
    </w:tbl>
    <w:p>
      <w:pPr>
        <w:spacing w:before="0" w:after="60"/>
      </w:pPr>
    </w:p>
    <w:p>
      <w:pPr>
        <w:keepNext/>
        <w:spacing w:before="280" w:after="80"/>
      </w:pPr>
      <w:r>
        <w:rPr>
          <w:rFonts w:ascii="Arial" w:hAnsi="Arial"/>
          <w:b/>
          <w:color w:val="1D4ED8"/>
          <w:sz w:val="24"/>
        </w:rPr>
        <w:t>Q18: What is the limitation of the current MVP, and what is your immediate Phase 1 plan?</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self-awareness, critical evaluation, and roadmap planning.</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The current MVP (Phase 0) relies on voice and text input and simulated advocate profiles. In Phase 1 and 2, our priority is integrating Bar Council Enrolment verification (checking State Bar numbers like `D/1420/2019` against Bar Council databases) and implementing document OCR so users can upload physical FIRs or court notices directly.</w:t>
            </w:r>
          </w:p>
        </w:tc>
      </w:tr>
    </w:tbl>
    <w:p>
      <w:pPr>
        <w:spacing w:before="0" w:after="60"/>
      </w:pPr>
    </w:p>
    <w:p>
      <w:pPr>
        <w:keepNext/>
        <w:spacing w:before="280" w:after="80"/>
      </w:pPr>
      <w:r>
        <w:rPr>
          <w:rFonts w:ascii="Arial" w:hAnsi="Arial"/>
          <w:b/>
          <w:color w:val="1D4ED8"/>
          <w:sz w:val="24"/>
        </w:rPr>
        <w:t>Q19: How would you scale this platform to 100,000 concurrent users across India?</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cloud scalability and distributed systems architecture.</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To scale: (1) Decouple the backend into microservices—one for AI triage and another for bookings/payments. (2) Deploy containerized Node.js services behind an AWS Application Load Balancer with auto-scaling. (3) Implement Redis caching for advocate directory lookups to reduce MongoDB read pressure. (4) Use Qdrant vector database for fast semantic case law retrieval.</w:t>
            </w:r>
          </w:p>
        </w:tc>
      </w:tr>
    </w:tbl>
    <w:p>
      <w:pPr>
        <w:spacing w:before="0" w:after="60"/>
      </w:pPr>
    </w:p>
    <w:p>
      <w:pPr>
        <w:keepNext/>
        <w:spacing w:before="280" w:after="80"/>
      </w:pPr>
      <w:r>
        <w:rPr>
          <w:rFonts w:ascii="Arial" w:hAnsi="Arial"/>
          <w:b/>
          <w:color w:val="1D4ED8"/>
          <w:sz w:val="24"/>
        </w:rPr>
        <w:t>Q20: What is the single biggest social impact of Vakil Setu?</w:t>
      </w:r>
    </w:p>
    <w:p>
      <w:pPr>
        <w:spacing w:before="0" w:after="80" w:line="276" w:lineRule="auto"/>
      </w:pPr>
      <w:r>
        <w:rPr>
          <w:rFonts w:ascii="Arial" w:hAnsi="Arial"/>
          <w:b/>
          <w:color w:val="0F172A"/>
          <w:sz w:val="19"/>
        </w:rPr>
        <w:t xml:space="preserve">Examiner's Angle / Trap: </w:t>
      </w:r>
      <w:r>
        <w:rPr>
          <w:rFonts w:ascii="Arial" w:hAnsi="Arial"/>
          <w:i/>
          <w:color w:val="334155"/>
          <w:sz w:val="19"/>
        </w:rPr>
        <w:t>Testing social motivation, engineering ethics, and project passion.</w:t>
      </w:r>
    </w:p>
    <w:tbl>
      <w:tblPr>
        <w:tblW w:type="auto" w:w="0"/>
        <w:jc w:val="center"/>
        <w:tblLook w:firstColumn="1" w:firstRow="1" w:lastColumn="0" w:lastRow="0" w:noHBand="0" w:noVBand="1" w:val="04A0"/>
      </w:tblPr>
      <w:tblGrid>
        <w:gridCol w:w="9360"/>
      </w:tblGrid>
      <w:tr>
        <w:tc>
          <w:tcPr>
            <w:tcW w:type="dxa" w:w="9360"/>
            <w:shd w:fill="FAF5FF"/>
            <w:tcMar>
              <w:top w:w="90" w:type="dxa"/>
              <w:bottom w:w="90" w:type="dxa"/>
              <w:left w:w="140" w:type="dxa"/>
              <w:right w:w="140" w:type="dxa"/>
            </w:tcMar>
            <w:tcBorders>
              <w:top w:val="none"/>
              <w:left w:val="single" w:sz="24" w:space="0" w:color="6B21A8"/>
              <w:bottom w:val="none"/>
              <w:right w:val="none"/>
            </w:tcBorders>
          </w:tcPr>
          <w:p>
            <w:pPr>
              <w:spacing w:after="40" w:line="276" w:lineRule="auto"/>
            </w:pPr>
            <w:r>
              <w:rPr>
                <w:rFonts w:ascii="Arial" w:hAnsi="Arial"/>
                <w:b/>
                <w:color w:val="6B21A8"/>
                <w:sz w:val="19"/>
              </w:rPr>
              <w:t>BULLETPROOF MODEL ANSWER</w:t>
              <w:br/>
            </w:r>
            <w:r>
              <w:rPr>
                <w:rFonts w:ascii="Arial" w:hAnsi="Arial"/>
                <w:color w:val="334155"/>
                <w:sz w:val="18"/>
              </w:rPr>
              <w:t>Vakil Setu demystifies justice. Today, ordinary citizens dread the legal system because they feel helpless against procedural legalese and fear financial ruin. Vakil Setu empowers them with immediate, dignified, vernacular clarity about their rights in 2 seconds, turning justice from a terrifying ordeal into an accessible constitutional reality.</w:t>
            </w:r>
          </w:p>
        </w:tc>
      </w:tr>
    </w:tbl>
    <w:p>
      <w:pPr>
        <w:spacing w:before="0" w:after="60"/>
      </w:pPr>
    </w:p>
    <w:p>
      <w:pPr>
        <w:keepNext/>
        <w:spacing w:before="440" w:after="120"/>
      </w:pPr>
      <w:r>
        <w:rPr>
          <w:rFonts w:ascii="Arial" w:hAnsi="Arial"/>
          <w:b/>
          <w:color w:val="0B2545"/>
          <w:sz w:val="30"/>
        </w:rPr>
        <w:t>11. Local Setup, Execution &amp; Testing Handbook</w:t>
      </w:r>
    </w:p>
    <w:p>
      <w:pPr>
        <w:keepNext/>
        <w:spacing w:before="280" w:after="80"/>
      </w:pPr>
      <w:r>
        <w:rPr>
          <w:rFonts w:ascii="Arial" w:hAnsi="Arial"/>
          <w:b/>
          <w:color w:val="1D4ED8"/>
          <w:sz w:val="24"/>
        </w:rPr>
        <w:t>11.1 System Prerequisites</w:t>
      </w:r>
    </w:p>
    <w:p>
      <w:pPr>
        <w:pStyle w:val="ListBullet"/>
        <w:spacing w:before="20" w:after="40" w:line="276" w:lineRule="auto"/>
      </w:pPr>
      <w:r>
        <w:rPr>
          <w:rFonts w:ascii="Arial" w:hAnsi="Arial"/>
          <w:b/>
          <w:color w:val="0F172A"/>
          <w:sz w:val="19"/>
        </w:rPr>
        <w:t xml:space="preserve">Node Runtime: </w:t>
      </w:r>
      <w:r>
        <w:rPr>
          <w:rFonts w:ascii="Arial" w:hAnsi="Arial"/>
          <w:color w:val="334155"/>
          <w:sz w:val="19"/>
        </w:rPr>
        <w:t>Node.js v18.x or v20.x LTS installed on system.</w:t>
      </w:r>
    </w:p>
    <w:p>
      <w:pPr>
        <w:pStyle w:val="ListBullet"/>
        <w:spacing w:before="20" w:after="40" w:line="276" w:lineRule="auto"/>
      </w:pPr>
      <w:r>
        <w:rPr>
          <w:rFonts w:ascii="Arial" w:hAnsi="Arial"/>
          <w:b/>
          <w:color w:val="0F172A"/>
          <w:sz w:val="19"/>
        </w:rPr>
        <w:t xml:space="preserve">MongoDB Database: </w:t>
      </w:r>
      <w:r>
        <w:rPr>
          <w:rFonts w:ascii="Arial" w:hAnsi="Arial"/>
          <w:color w:val="334155"/>
          <w:sz w:val="19"/>
        </w:rPr>
        <w:t>Local MongoDB running on port 27017 or a valid MongoDB Atlas connection URI.</w:t>
      </w:r>
    </w:p>
    <w:p>
      <w:pPr>
        <w:pStyle w:val="ListBullet"/>
        <w:spacing w:before="20" w:after="40" w:line="276" w:lineRule="auto"/>
      </w:pPr>
      <w:r>
        <w:rPr>
          <w:rFonts w:ascii="Arial" w:hAnsi="Arial"/>
          <w:b/>
          <w:color w:val="0F172A"/>
          <w:sz w:val="19"/>
        </w:rPr>
        <w:t xml:space="preserve">Supported Browser: </w:t>
      </w:r>
      <w:r>
        <w:rPr>
          <w:rFonts w:ascii="Arial" w:hAnsi="Arial"/>
          <w:color w:val="334155"/>
          <w:sz w:val="19"/>
        </w:rPr>
        <w:t>Google Chrome or Microsoft Edge (required for native W3C Web Speech API support).</w:t>
      </w:r>
    </w:p>
    <w:p>
      <w:pPr>
        <w:pStyle w:val="ListBullet"/>
        <w:spacing w:before="20" w:after="40" w:line="276" w:lineRule="auto"/>
      </w:pPr>
      <w:r>
        <w:rPr>
          <w:rFonts w:ascii="Arial" w:hAnsi="Arial"/>
          <w:b/>
          <w:color w:val="0F172A"/>
          <w:sz w:val="19"/>
        </w:rPr>
        <w:t xml:space="preserve">API Keys: </w:t>
      </w:r>
      <w:r>
        <w:rPr>
          <w:rFonts w:ascii="Arial" w:hAnsi="Arial"/>
          <w:color w:val="334155"/>
          <w:sz w:val="19"/>
        </w:rPr>
        <w:t>Google Generative AI API Key (Gemini) or college gateway credentials.</w:t>
      </w:r>
    </w:p>
    <w:p>
      <w:pPr>
        <w:keepNext/>
        <w:spacing w:before="280" w:after="80"/>
      </w:pPr>
      <w:r>
        <w:rPr>
          <w:rFonts w:ascii="Arial" w:hAnsi="Arial"/>
          <w:b/>
          <w:color w:val="1D4ED8"/>
          <w:sz w:val="24"/>
        </w:rPr>
        <w:t>11.2 Environment Variables Configuration</w:t>
      </w:r>
    </w:p>
    <w:p>
      <w:pPr>
        <w:spacing w:before="0" w:after="80" w:line="276" w:lineRule="auto"/>
      </w:pPr>
      <w:r>
        <w:rPr>
          <w:rFonts w:ascii="Arial" w:hAnsi="Arial"/>
          <w:i w:val="0"/>
          <w:color w:val="334155"/>
          <w:sz w:val="19"/>
        </w:rPr>
        <w:t>Ensure the following configuration files are configured:</w:t>
      </w:r>
    </w:p>
    <w:p>
      <w:pPr>
        <w:keepNext/>
        <w:spacing w:before="200" w:after="60"/>
      </w:pPr>
      <w:r>
        <w:rPr>
          <w:rFonts w:ascii="Arial" w:hAnsi="Arial"/>
          <w:b/>
          <w:color w:val="0F172A"/>
          <w:sz w:val="21"/>
        </w:rPr>
        <w:t>Backend Environment (`backend/.env`):</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onsolas" w:hAnsi="Consolas"/>
                <w:color w:val="1E293B"/>
                <w:sz w:val="17"/>
              </w:rPr>
              <w:t>PORT=5000</w:t>
              <w:br/>
              <w:t>MONGODB_URI=mongodb://localhost:27017/vakil-setu</w:t>
              <w:br/>
              <w:t>LLM_PROVIDER=gemini</w:t>
              <w:br/>
              <w:t>LLM_FALLBACK_MODE=rule_based</w:t>
              <w:br/>
              <w:t>LLM_API_KEY=your_gemini_api_key_here</w:t>
              <w:br/>
              <w:t>GEMINI_MODEL=gemini-2.0-flash</w:t>
              <w:br/>
              <w:t>RAZORPAY_KEY=rzp_test_your_key_here</w:t>
              <w:br/>
              <w:t>RAZORPAY_SECRET=your_razorpay_secret_here</w:t>
            </w:r>
          </w:p>
        </w:tc>
      </w:tr>
    </w:tbl>
    <w:p>
      <w:pPr>
        <w:spacing w:after="60"/>
      </w:pPr>
    </w:p>
    <w:p>
      <w:pPr>
        <w:keepNext/>
        <w:spacing w:before="200" w:after="60"/>
      </w:pPr>
      <w:r>
        <w:rPr>
          <w:rFonts w:ascii="Arial" w:hAnsi="Arial"/>
          <w:b/>
          <w:color w:val="0F172A"/>
          <w:sz w:val="21"/>
        </w:rPr>
        <w:t>Frontend Environment (`frontend/.env`):</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onsolas" w:hAnsi="Consolas"/>
                <w:color w:val="1E293B"/>
                <w:sz w:val="17"/>
              </w:rPr>
              <w:t>VITE_API_BASE_URL=http://localhost:5000</w:t>
              <w:br/>
              <w:t>VITE_STT_PROVIDER=webspeech</w:t>
              <w:br/>
              <w:t>VITE_ENABLE_TTS=true</w:t>
            </w:r>
          </w:p>
        </w:tc>
      </w:tr>
    </w:tbl>
    <w:p>
      <w:pPr>
        <w:spacing w:after="60"/>
      </w:pPr>
    </w:p>
    <w:p>
      <w:pPr>
        <w:keepNext/>
        <w:spacing w:before="280" w:after="80"/>
      </w:pPr>
      <w:r>
        <w:rPr>
          <w:rFonts w:ascii="Arial" w:hAnsi="Arial"/>
          <w:b/>
          <w:color w:val="1D4ED8"/>
          <w:sz w:val="24"/>
        </w:rPr>
        <w:t>11.3 Step-by-Step Execution Commands</w:t>
      </w:r>
    </w:p>
    <w:p>
      <w:pPr>
        <w:spacing w:before="0" w:after="80" w:line="276" w:lineRule="auto"/>
      </w:pPr>
      <w:r>
        <w:rPr>
          <w:rFonts w:ascii="Arial" w:hAnsi="Arial"/>
          <w:i w:val="0"/>
          <w:color w:val="334155"/>
          <w:sz w:val="19"/>
        </w:rPr>
        <w:t>Execute the following commands from the repository root (`C:\Users\DELL\Vakil-Setu`):</w:t>
      </w:r>
    </w:p>
    <w:tbl>
      <w:tblPr>
        <w:tblW w:type="auto" w:w="0"/>
        <w:jc w:val="center"/>
        <w:tblLook w:firstColumn="1" w:firstRow="1" w:lastColumn="0" w:lastRow="0" w:noHBand="0" w:noVBand="1" w:val="04A0"/>
      </w:tblPr>
      <w:tblGrid>
        <w:gridCol w:w="9360"/>
      </w:tblGrid>
      <w:tr>
        <w:tc>
          <w:tcPr>
            <w:tcW w:type="dxa" w:w="9360"/>
            <w:shd w:fill="F1F5F9"/>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onsolas" w:hAnsi="Consolas"/>
                <w:color w:val="1E293B"/>
                <w:sz w:val="17"/>
              </w:rPr>
              <w:t># 1. Install all dependencies across root, backend, and frontend:</w:t>
              <w:br/>
              <w:t>npm run install:all</w:t>
              <w:br/>
              <w:br/>
              <w:t># 2. Seed database with initial advocates and test data:</w:t>
              <w:br/>
              <w:t>npm run seed --prefix backend</w:t>
              <w:br/>
              <w:br/>
              <w:t># 3. (Optional) Run automated legal directory scraper to populate 50+ advocates:</w:t>
              <w:br/>
              <w:t>npm run scrape:advocates --prefix backend</w:t>
              <w:br/>
              <w:br/>
              <w:t># 4. Start both backend and frontend development servers concurrently:</w:t>
              <w:br/>
              <w:t>npm run dev</w:t>
            </w:r>
          </w:p>
        </w:tc>
      </w:tr>
    </w:tbl>
    <w:p>
      <w:pPr>
        <w:spacing w:after="60"/>
      </w:pPr>
    </w:p>
    <w:p>
      <w:pPr>
        <w:spacing w:before="0" w:after="80" w:line="276" w:lineRule="auto"/>
      </w:pPr>
      <w:r>
        <w:rPr>
          <w:rFonts w:ascii="Arial" w:hAnsi="Arial"/>
          <w:i w:val="0"/>
          <w:color w:val="334155"/>
          <w:sz w:val="19"/>
        </w:rPr>
        <w:t>The backend will initialize at `http://localhost:5000` and the frontend will open at `http://localhost:5173`.</w:t>
      </w:r>
    </w:p>
    <w:p>
      <w:pPr>
        <w:keepNext/>
        <w:spacing w:before="280" w:after="80"/>
      </w:pPr>
      <w:r>
        <w:rPr>
          <w:rFonts w:ascii="Arial" w:hAnsi="Arial"/>
          <w:b/>
          <w:color w:val="1D4ED8"/>
          <w:sz w:val="24"/>
        </w:rPr>
        <w:t>11.4 End-to-End Testing Verification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592"/>
            <w:shd w:fill="0B2545"/>
            <w:tcMar>
              <w:top w:w="90" w:type="dxa"/>
              <w:bottom w:w="90" w:type="dxa"/>
              <w:left w:w="110" w:type="dxa"/>
              <w:right w:w="110" w:type="dxa"/>
            </w:tcMar>
          </w:tcPr>
          <w:p>
            <w:pPr>
              <w:spacing w:after="0"/>
              <w:jc w:val="left"/>
            </w:pPr>
            <w:r>
              <w:rPr>
                <w:rFonts w:ascii="Arial" w:hAnsi="Arial"/>
                <w:b/>
                <w:color w:val="FFFFFF"/>
                <w:sz w:val="18"/>
              </w:rPr>
              <w:t>Test Case Description</w:t>
            </w:r>
          </w:p>
        </w:tc>
        <w:tc>
          <w:tcPr>
            <w:tcW w:type="dxa" w:w="3312"/>
            <w:shd w:fill="0B2545"/>
            <w:tcMar>
              <w:top w:w="90" w:type="dxa"/>
              <w:bottom w:w="90" w:type="dxa"/>
              <w:left w:w="110" w:type="dxa"/>
              <w:right w:w="110" w:type="dxa"/>
            </w:tcMar>
          </w:tcPr>
          <w:p>
            <w:pPr>
              <w:spacing w:after="0"/>
              <w:jc w:val="left"/>
            </w:pPr>
            <w:r>
              <w:rPr>
                <w:rFonts w:ascii="Arial" w:hAnsi="Arial"/>
                <w:b/>
                <w:color w:val="FFFFFF"/>
                <w:sz w:val="18"/>
              </w:rPr>
              <w:t>API Route / User Action</w:t>
            </w:r>
          </w:p>
        </w:tc>
        <w:tc>
          <w:tcPr>
            <w:tcW w:type="dxa" w:w="3456"/>
            <w:shd w:fill="0B2545"/>
            <w:tcMar>
              <w:top w:w="90" w:type="dxa"/>
              <w:bottom w:w="90" w:type="dxa"/>
              <w:left w:w="110" w:type="dxa"/>
              <w:right w:w="110" w:type="dxa"/>
            </w:tcMar>
          </w:tcPr>
          <w:p>
            <w:pPr>
              <w:spacing w:after="0"/>
              <w:jc w:val="left"/>
            </w:pPr>
            <w:r>
              <w:rPr>
                <w:rFonts w:ascii="Arial" w:hAnsi="Arial"/>
                <w:b/>
                <w:color w:val="FFFFFF"/>
                <w:sz w:val="18"/>
              </w:rPr>
              <w:t>Expected Result</w:t>
            </w:r>
          </w:p>
        </w:tc>
        <w:tc>
          <w:tcPr>
            <w:tcW w:type="dxa" w:w="1152"/>
            <w:shd w:fill="0B2545"/>
            <w:tcMar>
              <w:top w:w="90" w:type="dxa"/>
              <w:bottom w:w="90" w:type="dxa"/>
              <w:left w:w="110" w:type="dxa"/>
              <w:right w:w="110" w:type="dxa"/>
            </w:tcMar>
          </w:tcPr>
          <w:p>
            <w:pPr>
              <w:spacing w:after="0"/>
              <w:jc w:val="left"/>
            </w:pPr>
            <w:r>
              <w:rPr>
                <w:rFonts w:ascii="Arial" w:hAnsi="Arial"/>
                <w:b/>
                <w:color w:val="FFFFFF"/>
                <w:sz w:val="18"/>
              </w:rPr>
              <w:t>Status</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Health Check &amp; AI Triage</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POST `/api/ai/classify`</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Returns JSON with canonical domain, urgency, summary, actions</w:t>
            </w:r>
          </w:p>
        </w:tc>
        <w:tc>
          <w:tcPr>
            <w:tcW w:type="dxa" w:w="1152"/>
            <w:shd w:fill="FFFFFF"/>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Bilingual Hindi Triage</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POST `/api/ai/classify` (Devanagari text)</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Returns `response_language: 'hi'` with Hindi summary &amp; actions</w:t>
            </w:r>
          </w:p>
        </w:tc>
        <w:tc>
          <w:tcPr>
            <w:tcW w:type="dxa" w:w="1152"/>
            <w:shd w:fill="F8FAFC"/>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Offline Failover Test</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POST `/api/ai/classify` (Invalid API key)</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Catches error; seamlessly returns rule-based classification</w:t>
            </w:r>
          </w:p>
        </w:tc>
        <w:tc>
          <w:tcPr>
            <w:tcW w:type="dxa" w:w="1152"/>
            <w:shd w:fill="FFFFFF"/>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Advocate Domain Match</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POST `/api/advocates/match` (`domain: 'property'`)</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Returns top 5 property advocates sorted by rating</w:t>
            </w:r>
          </w:p>
        </w:tc>
        <w:tc>
          <w:tcPr>
            <w:tcW w:type="dxa" w:w="1152"/>
            <w:shd w:fill="F8FAFC"/>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Emergency Fast Routing</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POST `/api/emergency`</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Returns top available advocate across system instantly</w:t>
            </w:r>
          </w:p>
        </w:tc>
        <w:tc>
          <w:tcPr>
            <w:tcW w:type="dxa" w:w="1152"/>
            <w:shd w:fill="FFFFFF"/>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8FAFC"/>
            <w:tcMar>
              <w:top w:w="70" w:type="dxa"/>
              <w:bottom w:w="70" w:type="dxa"/>
              <w:left w:w="110" w:type="dxa"/>
              <w:right w:w="110" w:type="dxa"/>
            </w:tcMar>
          </w:tcPr>
          <w:p>
            <w:pPr>
              <w:spacing w:after="0" w:line="264" w:lineRule="auto"/>
              <w:jc w:val="left"/>
            </w:pPr>
            <w:r>
              <w:rPr>
                <w:rFonts w:ascii="Arial" w:hAnsi="Arial"/>
                <w:color w:val="334155"/>
                <w:sz w:val="17"/>
              </w:rPr>
              <w:t>Razorpay Order Generation</w:t>
            </w:r>
          </w:p>
        </w:tc>
        <w:tc>
          <w:tcPr>
            <w:tcW w:type="dxa" w:w="3312"/>
            <w:shd w:fill="F8FAFC"/>
            <w:tcMar>
              <w:top w:w="70" w:type="dxa"/>
              <w:bottom w:w="70" w:type="dxa"/>
              <w:left w:w="110" w:type="dxa"/>
              <w:right w:w="110" w:type="dxa"/>
            </w:tcMar>
          </w:tcPr>
          <w:p>
            <w:pPr>
              <w:spacing w:after="0" w:line="264" w:lineRule="auto"/>
              <w:jc w:val="left"/>
            </w:pPr>
            <w:r>
              <w:rPr>
                <w:rFonts w:ascii="Arial" w:hAnsi="Arial"/>
                <w:color w:val="334155"/>
                <w:sz w:val="17"/>
              </w:rPr>
              <w:t>POST `/api/payments/create-order`</w:t>
            </w:r>
          </w:p>
        </w:tc>
        <w:tc>
          <w:tcPr>
            <w:tcW w:type="dxa" w:w="3456"/>
            <w:shd w:fill="F8FAFC"/>
            <w:tcMar>
              <w:top w:w="70" w:type="dxa"/>
              <w:bottom w:w="70" w:type="dxa"/>
              <w:left w:w="110" w:type="dxa"/>
              <w:right w:w="110" w:type="dxa"/>
            </w:tcMar>
          </w:tcPr>
          <w:p>
            <w:pPr>
              <w:spacing w:after="0" w:line="264" w:lineRule="auto"/>
              <w:jc w:val="left"/>
            </w:pPr>
            <w:r>
              <w:rPr>
                <w:rFonts w:ascii="Arial" w:hAnsi="Arial"/>
                <w:color w:val="334155"/>
                <w:sz w:val="17"/>
              </w:rPr>
              <w:t>Returns valid Razorpay order ID &amp; amount in INR paise</w:t>
            </w:r>
          </w:p>
        </w:tc>
        <w:tc>
          <w:tcPr>
            <w:tcW w:type="dxa" w:w="1152"/>
            <w:shd w:fill="F8FAFC"/>
            <w:tcMar>
              <w:top w:w="70" w:type="dxa"/>
              <w:bottom w:w="70" w:type="dxa"/>
              <w:left w:w="110" w:type="dxa"/>
              <w:right w:w="110" w:type="dxa"/>
            </w:tcMar>
          </w:tcPr>
          <w:p>
            <w:pPr>
              <w:spacing w:after="0" w:line="264" w:lineRule="auto"/>
              <w:jc w:val="left"/>
            </w:pPr>
            <w:r>
              <w:rPr>
                <w:rFonts w:ascii="Arial" w:hAnsi="Arial"/>
                <w:color w:val="334155"/>
                <w:sz w:val="17"/>
              </w:rPr>
              <w:t>PASS [200 OK]</w:t>
            </w:r>
          </w:p>
        </w:tc>
      </w:tr>
      <w:tr>
        <w:tc>
          <w:tcPr>
            <w:tcW w:type="dxa" w:w="2592"/>
            <w:shd w:fill="FFFFFF"/>
            <w:tcMar>
              <w:top w:w="70" w:type="dxa"/>
              <w:bottom w:w="70" w:type="dxa"/>
              <w:left w:w="110" w:type="dxa"/>
              <w:right w:w="110" w:type="dxa"/>
            </w:tcMar>
          </w:tcPr>
          <w:p>
            <w:pPr>
              <w:spacing w:after="0" w:line="264" w:lineRule="auto"/>
              <w:jc w:val="left"/>
            </w:pPr>
            <w:r>
              <w:rPr>
                <w:rFonts w:ascii="Arial" w:hAnsi="Arial"/>
                <w:color w:val="334155"/>
                <w:sz w:val="17"/>
              </w:rPr>
              <w:t>HMAC Signature Verify</w:t>
            </w:r>
          </w:p>
        </w:tc>
        <w:tc>
          <w:tcPr>
            <w:tcW w:type="dxa" w:w="3312"/>
            <w:shd w:fill="FFFFFF"/>
            <w:tcMar>
              <w:top w:w="70" w:type="dxa"/>
              <w:bottom w:w="70" w:type="dxa"/>
              <w:left w:w="110" w:type="dxa"/>
              <w:right w:w="110" w:type="dxa"/>
            </w:tcMar>
          </w:tcPr>
          <w:p>
            <w:pPr>
              <w:spacing w:after="0" w:line="264" w:lineRule="auto"/>
              <w:jc w:val="left"/>
            </w:pPr>
            <w:r>
              <w:rPr>
                <w:rFonts w:ascii="Arial" w:hAnsi="Arial"/>
                <w:color w:val="334155"/>
                <w:sz w:val="17"/>
              </w:rPr>
              <w:t>POST `/api/payments/verify`</w:t>
            </w:r>
          </w:p>
        </w:tc>
        <w:tc>
          <w:tcPr>
            <w:tcW w:type="dxa" w:w="3456"/>
            <w:shd w:fill="FFFFFF"/>
            <w:tcMar>
              <w:top w:w="70" w:type="dxa"/>
              <w:bottom w:w="70" w:type="dxa"/>
              <w:left w:w="110" w:type="dxa"/>
              <w:right w:w="110" w:type="dxa"/>
            </w:tcMar>
          </w:tcPr>
          <w:p>
            <w:pPr>
              <w:spacing w:after="0" w:line="264" w:lineRule="auto"/>
              <w:jc w:val="left"/>
            </w:pPr>
            <w:r>
              <w:rPr>
                <w:rFonts w:ascii="Arial" w:hAnsi="Arial"/>
                <w:color w:val="334155"/>
                <w:sz w:val="17"/>
              </w:rPr>
              <w:t>Verifies SHA-256 signature; confirms booking status</w:t>
            </w:r>
          </w:p>
        </w:tc>
        <w:tc>
          <w:tcPr>
            <w:tcW w:type="dxa" w:w="1152"/>
            <w:shd w:fill="FFFFFF"/>
            <w:tcMar>
              <w:top w:w="70" w:type="dxa"/>
              <w:bottom w:w="70" w:type="dxa"/>
              <w:left w:w="110" w:type="dxa"/>
              <w:right w:w="110" w:type="dxa"/>
            </w:tcMar>
          </w:tcPr>
          <w:p>
            <w:pPr>
              <w:spacing w:after="0" w:line="264" w:lineRule="auto"/>
              <w:jc w:val="left"/>
            </w:pPr>
            <w:r>
              <w:rPr>
                <w:rFonts w:ascii="Arial" w:hAnsi="Arial"/>
                <w:color w:val="334155"/>
                <w:sz w:val="17"/>
              </w:rPr>
              <w:t>PASS [200 OK]</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94A3B8"/>
        <w:sz w:val="16"/>
      </w:rPr>
      <w:t>CONFIDENTIAL &amp; PROPRIETARY — FOR ACADEMIC STUDY &amp; VIVA EVALUATION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748B"/>
        <w:sz w:val="17"/>
      </w:rPr>
      <w:t>Vakil Setu (वकील सेतु) — Master Project Study, Architecture &amp; Handoff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