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B45309"/>
          <w:sz w:val="18"/>
        </w:rPr>
        <w:t>IEEE Std 830-1998 / ISO/IEC/IEEE 29148:2018 COMPLIANT SPECIFICATION</w:t>
      </w:r>
    </w:p>
    <w:p>
      <w:r>
        <w:rPr>
          <w:b/>
          <w:color w:val="0C447C"/>
          <w:sz w:val="48"/>
        </w:rPr>
        <w:t>Software Requirements Specification (SRS)</w:t>
        <w:br/>
        <w:t>for Vakil Setu (वकील सेतु)</w:t>
      </w:r>
    </w:p>
    <w:p>
      <w:r>
        <w:rPr>
          <w:color w:val="64748B"/>
          <w:sz w:val="26"/>
        </w:rPr>
        <w:t>Voice-First Bilingual Legal Triage &amp; Advocate Discovery Platform under Indian Jurisprudence</w:t>
      </w:r>
    </w:p>
    <w:tbl>
      <w:tblPr>
        <w:tblW w:type="auto" w:w="0"/>
        <w:jc w:val="center"/>
        <w:tblLook w:firstColumn="1" w:firstRow="1" w:lastColumn="0" w:lastRow="0" w:noHBand="0" w:noVBand="1" w:val="04A0"/>
      </w:tblPr>
      <w:tblGrid>
        <w:gridCol w:w="4680"/>
        <w:gridCol w:w="4680"/>
      </w:tblGrid>
      <w:tr>
        <w:tc>
          <w:tcPr>
            <w:tcW w:type="dxa" w:w="4680"/>
            <w:shd w:fill="F1F5F9"/>
            <w:tcMar>
              <w:top w:w="60" w:type="dxa"/>
              <w:bottom w:w="60" w:type="dxa"/>
              <w:left w:w="100" w:type="dxa"/>
              <w:right w:w="100" w:type="dxa"/>
            </w:tcMar>
          </w:tcPr>
          <w:p>
            <w:r>
              <w:rPr>
                <w:b/>
                <w:color w:val="0C447C"/>
                <w:sz w:val="19"/>
              </w:rPr>
              <w:t>Document Identifier</w:t>
            </w:r>
          </w:p>
        </w:tc>
        <w:tc>
          <w:tcPr>
            <w:tcW w:type="dxa" w:w="4680"/>
            <w:shd w:fill="F8FAFC"/>
            <w:tcMar>
              <w:top w:w="60" w:type="dxa"/>
              <w:bottom w:w="60" w:type="dxa"/>
              <w:left w:w="100" w:type="dxa"/>
              <w:right w:w="100" w:type="dxa"/>
            </w:tcMar>
          </w:tcPr>
          <w:p>
            <w:r>
              <w:rPr>
                <w:sz w:val="19"/>
              </w:rPr>
              <w:t>SRS-VAKIL-SETU-2026-V1.0</w:t>
            </w:r>
          </w:p>
        </w:tc>
      </w:tr>
      <w:tr>
        <w:tc>
          <w:tcPr>
            <w:tcW w:type="dxa" w:w="4680"/>
            <w:shd w:fill="F1F5F9"/>
            <w:tcMar>
              <w:top w:w="60" w:type="dxa"/>
              <w:bottom w:w="60" w:type="dxa"/>
              <w:left w:w="100" w:type="dxa"/>
              <w:right w:w="100" w:type="dxa"/>
            </w:tcMar>
          </w:tcPr>
          <w:p>
            <w:r>
              <w:rPr>
                <w:b/>
                <w:color w:val="0C447C"/>
                <w:sz w:val="19"/>
              </w:rPr>
              <w:t>Project Phase / Scope</w:t>
            </w:r>
          </w:p>
        </w:tc>
        <w:tc>
          <w:tcPr>
            <w:tcW w:type="dxa" w:w="4680"/>
            <w:shd w:fill="F8FAFC"/>
            <w:tcMar>
              <w:top w:w="60" w:type="dxa"/>
              <w:bottom w:w="60" w:type="dxa"/>
              <w:left w:w="100" w:type="dxa"/>
              <w:right w:w="100" w:type="dxa"/>
            </w:tcMar>
          </w:tcPr>
          <w:p>
            <w:r>
              <w:rPr>
                <w:sz w:val="19"/>
              </w:rPr>
              <w:t>MVP Phase 0 (Baseline) &amp; Target Architecture (Phases 1–4)</w:t>
            </w:r>
          </w:p>
        </w:tc>
      </w:tr>
      <w:tr>
        <w:tc>
          <w:tcPr>
            <w:tcW w:type="dxa" w:w="4680"/>
            <w:shd w:fill="F1F5F9"/>
            <w:tcMar>
              <w:top w:w="60" w:type="dxa"/>
              <w:bottom w:w="60" w:type="dxa"/>
              <w:left w:w="100" w:type="dxa"/>
              <w:right w:w="100" w:type="dxa"/>
            </w:tcMar>
          </w:tcPr>
          <w:p>
            <w:r>
              <w:rPr>
                <w:b/>
                <w:color w:val="0C447C"/>
                <w:sz w:val="19"/>
              </w:rPr>
              <w:t>Author / Student Lead</w:t>
            </w:r>
          </w:p>
        </w:tc>
        <w:tc>
          <w:tcPr>
            <w:tcW w:type="dxa" w:w="4680"/>
            <w:shd w:fill="F8FAFC"/>
            <w:tcMar>
              <w:top w:w="60" w:type="dxa"/>
              <w:bottom w:w="60" w:type="dxa"/>
              <w:left w:w="100" w:type="dxa"/>
              <w:right w:w="100" w:type="dxa"/>
            </w:tcMar>
          </w:tcPr>
          <w:p>
            <w:r>
              <w:rPr>
                <w:sz w:val="19"/>
              </w:rPr>
              <w:t>[Your Full Name] | Roll No: [Your Roll Number]</w:t>
            </w:r>
          </w:p>
        </w:tc>
      </w:tr>
      <w:tr>
        <w:tc>
          <w:tcPr>
            <w:tcW w:type="dxa" w:w="4680"/>
            <w:shd w:fill="F1F5F9"/>
            <w:tcMar>
              <w:top w:w="60" w:type="dxa"/>
              <w:bottom w:w="60" w:type="dxa"/>
              <w:left w:w="100" w:type="dxa"/>
              <w:right w:w="100" w:type="dxa"/>
            </w:tcMar>
          </w:tcPr>
          <w:p>
            <w:r>
              <w:rPr>
                <w:b/>
                <w:color w:val="0C447C"/>
                <w:sz w:val="19"/>
              </w:rPr>
              <w:t>Project Supervisor</w:t>
            </w:r>
          </w:p>
        </w:tc>
        <w:tc>
          <w:tcPr>
            <w:tcW w:type="dxa" w:w="4680"/>
            <w:shd w:fill="F8FAFC"/>
            <w:tcMar>
              <w:top w:w="60" w:type="dxa"/>
              <w:bottom w:w="60" w:type="dxa"/>
              <w:left w:w="100" w:type="dxa"/>
              <w:right w:w="100" w:type="dxa"/>
            </w:tcMar>
          </w:tcPr>
          <w:p>
            <w:r>
              <w:rPr>
                <w:sz w:val="19"/>
              </w:rPr>
              <w:t>[Faculty Guide / Professor Name]</w:t>
            </w:r>
          </w:p>
        </w:tc>
      </w:tr>
      <w:tr>
        <w:tc>
          <w:tcPr>
            <w:tcW w:type="dxa" w:w="4680"/>
            <w:shd w:fill="F1F5F9"/>
            <w:tcMar>
              <w:top w:w="60" w:type="dxa"/>
              <w:bottom w:w="60" w:type="dxa"/>
              <w:left w:w="100" w:type="dxa"/>
              <w:right w:w="100" w:type="dxa"/>
            </w:tcMar>
          </w:tcPr>
          <w:p>
            <w:r>
              <w:rPr>
                <w:b/>
                <w:color w:val="0C447C"/>
                <w:sz w:val="19"/>
              </w:rPr>
              <w:t>Department &amp; College</w:t>
            </w:r>
          </w:p>
        </w:tc>
        <w:tc>
          <w:tcPr>
            <w:tcW w:type="dxa" w:w="4680"/>
            <w:shd w:fill="F8FAFC"/>
            <w:tcMar>
              <w:top w:w="60" w:type="dxa"/>
              <w:bottom w:w="60" w:type="dxa"/>
              <w:left w:w="100" w:type="dxa"/>
              <w:right w:w="100" w:type="dxa"/>
            </w:tcMar>
          </w:tcPr>
          <w:p>
            <w:r>
              <w:rPr>
                <w:sz w:val="19"/>
              </w:rPr>
              <w:t>Department of Computer Science &amp; Engineering, [College Name]</w:t>
            </w:r>
          </w:p>
        </w:tc>
      </w:tr>
    </w:tbl>
    <w:p/>
    <w:p>
      <w:pPr>
        <w:pStyle w:val="Heading1"/>
      </w:pPr>
      <w:r>
        <w:rPr>
          <w:color w:val="0C447C"/>
        </w:rPr>
        <w:t>1. Introduction</w:t>
      </w:r>
    </w:p>
    <w:p>
      <w:pPr>
        <w:pStyle w:val="Heading2"/>
      </w:pPr>
      <w:r>
        <w:t>1.1 Purpose</w:t>
      </w:r>
    </w:p>
    <w:p>
      <w:r>
        <w:rPr>
          <w:sz w:val="21"/>
        </w:rPr>
        <w:t>This document provides the formal software requirements specification for Vakil Setu, an AI-powered, voice-first legal triage and advocate consultation booking platform. It defines both the currently implemented functionality in the working prototype (Phase 0) and the engineering requirements for planned future milestones (Phases 1 through 4).</w:t>
      </w:r>
    </w:p>
    <w:p>
      <w:pPr>
        <w:pStyle w:val="Heading2"/>
      </w:pPr>
      <w:r>
        <w:t>1.2 Project Scope &amp; Regulatory Disclaimer</w:t>
      </w:r>
    </w:p>
    <w:p>
      <w:r>
        <w:rPr>
          <w:sz w:val="21"/>
        </w:rPr>
        <w:t>Vakil Setu is an informational triage bridge and digital directory service operating under Indian legal frameworks. The software accepts spoken Hindi or English descriptions of disputes, classifies the grievance into canonical legal domains (Criminal, Civil, Family, Property), assesses statutory urgency, vocalizes plain-language procedural advice, matches users with verified enrolled advocates, and coordinates appointment scheduling with cryptographic payment verification.</w:t>
      </w:r>
    </w:p>
    <w:tbl>
      <w:tblPr>
        <w:tblW w:type="auto" w:w="0"/>
        <w:jc w:val="center"/>
        <w:tblLook w:firstColumn="1" w:firstRow="1" w:lastColumn="0" w:lastRow="0" w:noHBand="0" w:noVBand="1" w:val="04A0"/>
      </w:tblPr>
      <w:tblGrid>
        <w:gridCol w:w="9360"/>
      </w:tblGrid>
      <w:tr>
        <w:tc>
          <w:tcPr>
            <w:tcW w:type="dxa" w:w="9360"/>
            <w:shd w:fill="FEF3C7"/>
            <w:tcMar>
              <w:top w:w="80" w:type="dxa"/>
              <w:bottom w:w="80" w:type="dxa"/>
              <w:left w:w="150" w:type="dxa"/>
              <w:right w:w="150" w:type="dxa"/>
            </w:tcMar>
          </w:tcPr>
          <w:p>
            <w:r>
              <w:rPr>
                <w:b/>
                <w:color w:val="B45309"/>
                <w:sz w:val="19"/>
              </w:rPr>
              <w:t>STATUTORY COMPLIANCE DISCLAIMER: Vakil Setu is explicitly an informational triage tool and not an authorized legal practitioner under Section 29 of the Advocates Act, 1961. The platform does not dispense legal representation or draft court pleadings. All lawyer directory listings are strictly factual and non-promotional, adhering to Rule 36 of the Bar Council of India (BCI) rules.</w:t>
            </w:r>
          </w:p>
        </w:tc>
      </w:tr>
    </w:tbl>
    <w:p/>
    <w:p>
      <w:pPr>
        <w:pStyle w:val="Heading1"/>
      </w:pPr>
      <w:r>
        <w:rPr>
          <w:color w:val="0C447C"/>
        </w:rPr>
        <w:t>2. Feature Status Matrix (Implemented vs. Planned)</w:t>
      </w:r>
    </w:p>
    <w:p>
      <w:r>
        <w:rPr>
          <w:sz w:val="21"/>
        </w:rPr>
        <w:t>The following matrix outlines the functional status of each system component across the current MVP and future engineering phases:</w:t>
      </w:r>
    </w:p>
    <w:tbl>
      <w:tblPr>
        <w:tblW w:type="auto" w:w="0"/>
        <w:jc w:val="center"/>
        <w:tblLook w:firstColumn="1" w:firstRow="1" w:lastColumn="0" w:lastRow="0" w:noHBand="0" w:noVBand="1" w:val="04A0"/>
      </w:tblPr>
      <w:tblGrid>
        <w:gridCol w:w="2340"/>
        <w:gridCol w:w="2340"/>
        <w:gridCol w:w="2340"/>
        <w:gridCol w:w="2340"/>
      </w:tblGrid>
      <w:tr>
        <w:tc>
          <w:tcPr>
            <w:tcW w:type="dxa" w:w="2340"/>
            <w:shd w:fill="0C447C"/>
            <w:tcMar>
              <w:top w:w="80" w:type="dxa"/>
              <w:bottom w:w="80" w:type="dxa"/>
              <w:left w:w="100" w:type="dxa"/>
              <w:right w:w="100" w:type="dxa"/>
            </w:tcMar>
          </w:tcPr>
          <w:p>
            <w:r>
              <w:rPr>
                <w:b/>
                <w:color w:val="FFFFFF"/>
                <w:sz w:val="19"/>
              </w:rPr>
              <w:t>Feature Module</w:t>
            </w:r>
          </w:p>
        </w:tc>
        <w:tc>
          <w:tcPr>
            <w:tcW w:type="dxa" w:w="2340"/>
            <w:shd w:fill="0C447C"/>
            <w:tcMar>
              <w:top w:w="80" w:type="dxa"/>
              <w:bottom w:w="80" w:type="dxa"/>
              <w:left w:w="100" w:type="dxa"/>
              <w:right w:w="100" w:type="dxa"/>
            </w:tcMar>
          </w:tcPr>
          <w:p>
            <w:r>
              <w:rPr>
                <w:b/>
                <w:color w:val="FFFFFF"/>
                <w:sz w:val="19"/>
              </w:rPr>
              <w:t>Description</w:t>
            </w:r>
          </w:p>
        </w:tc>
        <w:tc>
          <w:tcPr>
            <w:tcW w:type="dxa" w:w="2340"/>
            <w:shd w:fill="0C447C"/>
            <w:tcMar>
              <w:top w:w="80" w:type="dxa"/>
              <w:bottom w:w="80" w:type="dxa"/>
              <w:left w:w="100" w:type="dxa"/>
              <w:right w:w="100" w:type="dxa"/>
            </w:tcMar>
          </w:tcPr>
          <w:p>
            <w:r>
              <w:rPr>
                <w:b/>
                <w:color w:val="FFFFFF"/>
                <w:sz w:val="19"/>
              </w:rPr>
              <w:t>Status</w:t>
            </w:r>
          </w:p>
        </w:tc>
        <w:tc>
          <w:tcPr>
            <w:tcW w:type="dxa" w:w="2340"/>
            <w:shd w:fill="0C447C"/>
            <w:tcMar>
              <w:top w:w="80" w:type="dxa"/>
              <w:bottom w:w="80" w:type="dxa"/>
              <w:left w:w="100" w:type="dxa"/>
              <w:right w:w="100" w:type="dxa"/>
            </w:tcMar>
          </w:tcPr>
          <w:p>
            <w:r>
              <w:rPr>
                <w:b/>
                <w:color w:val="FFFFFF"/>
                <w:sz w:val="19"/>
              </w:rPr>
              <w:t>Phase</w:t>
            </w:r>
          </w:p>
        </w:tc>
      </w:tr>
      <w:tr>
        <w:tc>
          <w:tcPr>
            <w:tcW w:type="dxa" w:w="2340"/>
            <w:shd w:fill="FFFFFF"/>
            <w:tcMar>
              <w:top w:w="60" w:type="dxa"/>
              <w:bottom w:w="60" w:type="dxa"/>
              <w:left w:w="80" w:type="dxa"/>
              <w:right w:w="80" w:type="dxa"/>
            </w:tcMar>
          </w:tcPr>
          <w:p>
            <w:r>
              <w:rPr>
                <w:sz w:val="17"/>
              </w:rPr>
              <w:t>Voice Input (STT)</w:t>
            </w:r>
          </w:p>
        </w:tc>
        <w:tc>
          <w:tcPr>
            <w:tcW w:type="dxa" w:w="2340"/>
            <w:shd w:fill="FFFFFF"/>
            <w:tcMar>
              <w:top w:w="60" w:type="dxa"/>
              <w:bottom w:w="60" w:type="dxa"/>
              <w:left w:w="80" w:type="dxa"/>
              <w:right w:w="80" w:type="dxa"/>
            </w:tcMar>
          </w:tcPr>
          <w:p>
            <w:r>
              <w:rPr>
                <w:sz w:val="17"/>
              </w:rPr>
              <w:t>In-browser speech recognition in Hindi &amp; English (Web Speech API)</w:t>
            </w:r>
          </w:p>
        </w:tc>
        <w:tc>
          <w:tcPr>
            <w:tcW w:type="dxa" w:w="2340"/>
            <w:shd w:fill="FFFFFF"/>
            <w:tcMar>
              <w:top w:w="60" w:type="dxa"/>
              <w:bottom w:w="60" w:type="dxa"/>
              <w:left w:w="80" w:type="dxa"/>
              <w:right w:w="80" w:type="dxa"/>
            </w:tcMar>
          </w:tcPr>
          <w:p>
            <w:r>
              <w:rPr>
                <w:b/>
                <w:color w:val="166534"/>
                <w:sz w:val="17"/>
              </w:rPr>
              <w:t>IMPLEMENTED</w:t>
            </w:r>
          </w:p>
        </w:tc>
        <w:tc>
          <w:tcPr>
            <w:tcW w:type="dxa" w:w="2340"/>
            <w:shd w:fill="FFFFFF"/>
            <w:tcMar>
              <w:top w:w="60" w:type="dxa"/>
              <w:bottom w:w="60" w:type="dxa"/>
              <w:left w:w="80" w:type="dxa"/>
              <w:right w:w="80" w:type="dxa"/>
            </w:tcMar>
          </w:tcPr>
          <w:p>
            <w:r>
              <w:rPr>
                <w:sz w:val="17"/>
              </w:rPr>
              <w:t>Phase 0</w:t>
            </w:r>
          </w:p>
        </w:tc>
      </w:tr>
      <w:tr>
        <w:tc>
          <w:tcPr>
            <w:tcW w:type="dxa" w:w="2340"/>
            <w:shd w:fill="F8FAFC"/>
            <w:tcMar>
              <w:top w:w="60" w:type="dxa"/>
              <w:bottom w:w="60" w:type="dxa"/>
              <w:left w:w="80" w:type="dxa"/>
              <w:right w:w="80" w:type="dxa"/>
            </w:tcMar>
          </w:tcPr>
          <w:p>
            <w:r>
              <w:rPr>
                <w:sz w:val="17"/>
              </w:rPr>
              <w:t>Voice Output (TTS)</w:t>
            </w:r>
          </w:p>
        </w:tc>
        <w:tc>
          <w:tcPr>
            <w:tcW w:type="dxa" w:w="2340"/>
            <w:shd w:fill="F8FAFC"/>
            <w:tcMar>
              <w:top w:w="60" w:type="dxa"/>
              <w:bottom w:w="60" w:type="dxa"/>
              <w:left w:w="80" w:type="dxa"/>
              <w:right w:w="80" w:type="dxa"/>
            </w:tcMar>
          </w:tcPr>
          <w:p>
            <w:r>
              <w:rPr>
                <w:sz w:val="17"/>
              </w:rPr>
              <w:t>Speech synthesis reading triage summaries aloud (window.speechSynthesis)</w:t>
            </w:r>
          </w:p>
        </w:tc>
        <w:tc>
          <w:tcPr>
            <w:tcW w:type="dxa" w:w="2340"/>
            <w:shd w:fill="F8FAFC"/>
            <w:tcMar>
              <w:top w:w="60" w:type="dxa"/>
              <w:bottom w:w="60" w:type="dxa"/>
              <w:left w:w="80" w:type="dxa"/>
              <w:right w:w="80" w:type="dxa"/>
            </w:tcMar>
          </w:tcPr>
          <w:p>
            <w:r>
              <w:rPr>
                <w:b/>
                <w:color w:val="166534"/>
                <w:sz w:val="17"/>
              </w:rPr>
              <w:t>IMPLEMENTED</w:t>
            </w:r>
          </w:p>
        </w:tc>
        <w:tc>
          <w:tcPr>
            <w:tcW w:type="dxa" w:w="2340"/>
            <w:shd w:fill="F8FAFC"/>
            <w:tcMar>
              <w:top w:w="60" w:type="dxa"/>
              <w:bottom w:w="60" w:type="dxa"/>
              <w:left w:w="80" w:type="dxa"/>
              <w:right w:w="80" w:type="dxa"/>
            </w:tcMar>
          </w:tcPr>
          <w:p>
            <w:r>
              <w:rPr>
                <w:sz w:val="17"/>
              </w:rPr>
              <w:t>Phase 0</w:t>
            </w:r>
          </w:p>
        </w:tc>
      </w:tr>
      <w:tr>
        <w:tc>
          <w:tcPr>
            <w:tcW w:type="dxa" w:w="2340"/>
            <w:shd w:fill="FFFFFF"/>
            <w:tcMar>
              <w:top w:w="60" w:type="dxa"/>
              <w:bottom w:w="60" w:type="dxa"/>
              <w:left w:w="80" w:type="dxa"/>
              <w:right w:w="80" w:type="dxa"/>
            </w:tcMar>
          </w:tcPr>
          <w:p>
            <w:r>
              <w:rPr>
                <w:sz w:val="17"/>
              </w:rPr>
              <w:t>AI Legal Triage</w:t>
            </w:r>
          </w:p>
        </w:tc>
        <w:tc>
          <w:tcPr>
            <w:tcW w:type="dxa" w:w="2340"/>
            <w:shd w:fill="FFFFFF"/>
            <w:tcMar>
              <w:top w:w="60" w:type="dxa"/>
              <w:bottom w:w="60" w:type="dxa"/>
              <w:left w:w="80" w:type="dxa"/>
              <w:right w:w="80" w:type="dxa"/>
            </w:tcMar>
          </w:tcPr>
          <w:p>
            <w:r>
              <w:rPr>
                <w:sz w:val="17"/>
              </w:rPr>
              <w:t>Dual-engine issue classification under Indian law (Domain, Urgency, Actions)</w:t>
            </w:r>
          </w:p>
        </w:tc>
        <w:tc>
          <w:tcPr>
            <w:tcW w:type="dxa" w:w="2340"/>
            <w:shd w:fill="FFFFFF"/>
            <w:tcMar>
              <w:top w:w="60" w:type="dxa"/>
              <w:bottom w:w="60" w:type="dxa"/>
              <w:left w:w="80" w:type="dxa"/>
              <w:right w:w="80" w:type="dxa"/>
            </w:tcMar>
          </w:tcPr>
          <w:p>
            <w:r>
              <w:rPr>
                <w:b/>
                <w:color w:val="166534"/>
                <w:sz w:val="17"/>
              </w:rPr>
              <w:t>IMPLEMENTED</w:t>
            </w:r>
          </w:p>
        </w:tc>
        <w:tc>
          <w:tcPr>
            <w:tcW w:type="dxa" w:w="2340"/>
            <w:shd w:fill="FFFFFF"/>
            <w:tcMar>
              <w:top w:w="60" w:type="dxa"/>
              <w:bottom w:w="60" w:type="dxa"/>
              <w:left w:w="80" w:type="dxa"/>
              <w:right w:w="80" w:type="dxa"/>
            </w:tcMar>
          </w:tcPr>
          <w:p>
            <w:r>
              <w:rPr>
                <w:sz w:val="17"/>
              </w:rPr>
              <w:t>Phase 0</w:t>
            </w:r>
          </w:p>
        </w:tc>
      </w:tr>
      <w:tr>
        <w:tc>
          <w:tcPr>
            <w:tcW w:type="dxa" w:w="2340"/>
            <w:shd w:fill="F8FAFC"/>
            <w:tcMar>
              <w:top w:w="60" w:type="dxa"/>
              <w:bottom w:w="60" w:type="dxa"/>
              <w:left w:w="80" w:type="dxa"/>
              <w:right w:w="80" w:type="dxa"/>
            </w:tcMar>
          </w:tcPr>
          <w:p>
            <w:r>
              <w:rPr>
                <w:sz w:val="17"/>
              </w:rPr>
              <w:t>Offline Failover</w:t>
            </w:r>
          </w:p>
        </w:tc>
        <w:tc>
          <w:tcPr>
            <w:tcW w:type="dxa" w:w="2340"/>
            <w:shd w:fill="F8FAFC"/>
            <w:tcMar>
              <w:top w:w="60" w:type="dxa"/>
              <w:bottom w:w="60" w:type="dxa"/>
              <w:left w:w="80" w:type="dxa"/>
              <w:right w:w="80" w:type="dxa"/>
            </w:tcMar>
          </w:tcPr>
          <w:p>
            <w:r>
              <w:rPr>
                <w:sz w:val="17"/>
              </w:rPr>
              <w:t>Local rule-based regex engine for zero-downtime offline classification</w:t>
            </w:r>
          </w:p>
        </w:tc>
        <w:tc>
          <w:tcPr>
            <w:tcW w:type="dxa" w:w="2340"/>
            <w:shd w:fill="F8FAFC"/>
            <w:tcMar>
              <w:top w:w="60" w:type="dxa"/>
              <w:bottom w:w="60" w:type="dxa"/>
              <w:left w:w="80" w:type="dxa"/>
              <w:right w:w="80" w:type="dxa"/>
            </w:tcMar>
          </w:tcPr>
          <w:p>
            <w:r>
              <w:rPr>
                <w:b/>
                <w:color w:val="166534"/>
                <w:sz w:val="17"/>
              </w:rPr>
              <w:t>IMPLEMENTED</w:t>
            </w:r>
          </w:p>
        </w:tc>
        <w:tc>
          <w:tcPr>
            <w:tcW w:type="dxa" w:w="2340"/>
            <w:shd w:fill="F8FAFC"/>
            <w:tcMar>
              <w:top w:w="60" w:type="dxa"/>
              <w:bottom w:w="60" w:type="dxa"/>
              <w:left w:w="80" w:type="dxa"/>
              <w:right w:w="80" w:type="dxa"/>
            </w:tcMar>
          </w:tcPr>
          <w:p>
            <w:r>
              <w:rPr>
                <w:sz w:val="17"/>
              </w:rPr>
              <w:t>Phase 0</w:t>
            </w:r>
          </w:p>
        </w:tc>
      </w:tr>
      <w:tr>
        <w:tc>
          <w:tcPr>
            <w:tcW w:type="dxa" w:w="2340"/>
            <w:shd w:fill="FFFFFF"/>
            <w:tcMar>
              <w:top w:w="60" w:type="dxa"/>
              <w:bottom w:w="60" w:type="dxa"/>
              <w:left w:w="80" w:type="dxa"/>
              <w:right w:w="80" w:type="dxa"/>
            </w:tcMar>
          </w:tcPr>
          <w:p>
            <w:r>
              <w:rPr>
                <w:sz w:val="17"/>
              </w:rPr>
              <w:t>Advocate Matching</w:t>
            </w:r>
          </w:p>
        </w:tc>
        <w:tc>
          <w:tcPr>
            <w:tcW w:type="dxa" w:w="2340"/>
            <w:shd w:fill="FFFFFF"/>
            <w:tcMar>
              <w:top w:w="60" w:type="dxa"/>
              <w:bottom w:w="60" w:type="dxa"/>
              <w:left w:w="80" w:type="dxa"/>
              <w:right w:w="80" w:type="dxa"/>
            </w:tcMar>
          </w:tcPr>
          <w:p>
            <w:r>
              <w:rPr>
                <w:sz w:val="17"/>
              </w:rPr>
              <w:t>Querying MongoDB for domain-matched available advocates sorted by rating</w:t>
            </w:r>
          </w:p>
        </w:tc>
        <w:tc>
          <w:tcPr>
            <w:tcW w:type="dxa" w:w="2340"/>
            <w:shd w:fill="FFFFFF"/>
            <w:tcMar>
              <w:top w:w="60" w:type="dxa"/>
              <w:bottom w:w="60" w:type="dxa"/>
              <w:left w:w="80" w:type="dxa"/>
              <w:right w:w="80" w:type="dxa"/>
            </w:tcMar>
          </w:tcPr>
          <w:p>
            <w:r>
              <w:rPr>
                <w:b/>
                <w:color w:val="166534"/>
                <w:sz w:val="17"/>
              </w:rPr>
              <w:t>IMPLEMENTED</w:t>
            </w:r>
          </w:p>
        </w:tc>
        <w:tc>
          <w:tcPr>
            <w:tcW w:type="dxa" w:w="2340"/>
            <w:shd w:fill="FFFFFF"/>
            <w:tcMar>
              <w:top w:w="60" w:type="dxa"/>
              <w:bottom w:w="60" w:type="dxa"/>
              <w:left w:w="80" w:type="dxa"/>
              <w:right w:w="80" w:type="dxa"/>
            </w:tcMar>
          </w:tcPr>
          <w:p>
            <w:r>
              <w:rPr>
                <w:sz w:val="17"/>
              </w:rPr>
              <w:t>Phase 0</w:t>
            </w:r>
          </w:p>
        </w:tc>
      </w:tr>
      <w:tr>
        <w:tc>
          <w:tcPr>
            <w:tcW w:type="dxa" w:w="2340"/>
            <w:shd w:fill="F8FAFC"/>
            <w:tcMar>
              <w:top w:w="60" w:type="dxa"/>
              <w:bottom w:w="60" w:type="dxa"/>
              <w:left w:w="80" w:type="dxa"/>
              <w:right w:w="80" w:type="dxa"/>
            </w:tcMar>
          </w:tcPr>
          <w:p>
            <w:r>
              <w:rPr>
                <w:sz w:val="17"/>
              </w:rPr>
              <w:t>Directory Web Scraper</w:t>
            </w:r>
          </w:p>
        </w:tc>
        <w:tc>
          <w:tcPr>
            <w:tcW w:type="dxa" w:w="2340"/>
            <w:shd w:fill="F8FAFC"/>
            <w:tcMar>
              <w:top w:w="60" w:type="dxa"/>
              <w:bottom w:w="60" w:type="dxa"/>
              <w:left w:w="80" w:type="dxa"/>
              <w:right w:w="80" w:type="dxa"/>
            </w:tcMar>
          </w:tcPr>
          <w:p>
            <w:r>
              <w:rPr>
                <w:sz w:val="17"/>
              </w:rPr>
              <w:t>Autonomous Cheerio crawler parsing LawRato directory listings into MongoDB</w:t>
            </w:r>
          </w:p>
        </w:tc>
        <w:tc>
          <w:tcPr>
            <w:tcW w:type="dxa" w:w="2340"/>
            <w:shd w:fill="F8FAFC"/>
            <w:tcMar>
              <w:top w:w="60" w:type="dxa"/>
              <w:bottom w:w="60" w:type="dxa"/>
              <w:left w:w="80" w:type="dxa"/>
              <w:right w:w="80" w:type="dxa"/>
            </w:tcMar>
          </w:tcPr>
          <w:p>
            <w:r>
              <w:rPr>
                <w:b/>
                <w:color w:val="166534"/>
                <w:sz w:val="17"/>
              </w:rPr>
              <w:t>IMPLEMENTED</w:t>
            </w:r>
          </w:p>
        </w:tc>
        <w:tc>
          <w:tcPr>
            <w:tcW w:type="dxa" w:w="2340"/>
            <w:shd w:fill="F8FAFC"/>
            <w:tcMar>
              <w:top w:w="60" w:type="dxa"/>
              <w:bottom w:w="60" w:type="dxa"/>
              <w:left w:w="80" w:type="dxa"/>
              <w:right w:w="80" w:type="dxa"/>
            </w:tcMar>
          </w:tcPr>
          <w:p>
            <w:r>
              <w:rPr>
                <w:sz w:val="17"/>
              </w:rPr>
              <w:t>Phase 0</w:t>
            </w:r>
          </w:p>
        </w:tc>
      </w:tr>
      <w:tr>
        <w:tc>
          <w:tcPr>
            <w:tcW w:type="dxa" w:w="2340"/>
            <w:shd w:fill="FFFFFF"/>
            <w:tcMar>
              <w:top w:w="60" w:type="dxa"/>
              <w:bottom w:w="60" w:type="dxa"/>
              <w:left w:w="80" w:type="dxa"/>
              <w:right w:w="80" w:type="dxa"/>
            </w:tcMar>
          </w:tcPr>
          <w:p>
            <w:r>
              <w:rPr>
                <w:sz w:val="17"/>
              </w:rPr>
              <w:t>Razorpay Escrow</w:t>
            </w:r>
          </w:p>
        </w:tc>
        <w:tc>
          <w:tcPr>
            <w:tcW w:type="dxa" w:w="2340"/>
            <w:shd w:fill="FFFFFF"/>
            <w:tcMar>
              <w:top w:w="60" w:type="dxa"/>
              <w:bottom w:w="60" w:type="dxa"/>
              <w:left w:w="80" w:type="dxa"/>
              <w:right w:w="80" w:type="dxa"/>
            </w:tcMar>
          </w:tcPr>
          <w:p>
            <w:r>
              <w:rPr>
                <w:sz w:val="17"/>
              </w:rPr>
              <w:t>Order creation and cryptographic HMAC SHA-256 signature verification</w:t>
            </w:r>
          </w:p>
        </w:tc>
        <w:tc>
          <w:tcPr>
            <w:tcW w:type="dxa" w:w="2340"/>
            <w:shd w:fill="FFFFFF"/>
            <w:tcMar>
              <w:top w:w="60" w:type="dxa"/>
              <w:bottom w:w="60" w:type="dxa"/>
              <w:left w:w="80" w:type="dxa"/>
              <w:right w:w="80" w:type="dxa"/>
            </w:tcMar>
          </w:tcPr>
          <w:p>
            <w:r>
              <w:rPr>
                <w:b/>
                <w:color w:val="166534"/>
                <w:sz w:val="17"/>
              </w:rPr>
              <w:t>IMPLEMENTED</w:t>
            </w:r>
          </w:p>
        </w:tc>
        <w:tc>
          <w:tcPr>
            <w:tcW w:type="dxa" w:w="2340"/>
            <w:shd w:fill="FFFFFF"/>
            <w:tcMar>
              <w:top w:w="60" w:type="dxa"/>
              <w:bottom w:w="60" w:type="dxa"/>
              <w:left w:w="80" w:type="dxa"/>
              <w:right w:w="80" w:type="dxa"/>
            </w:tcMar>
          </w:tcPr>
          <w:p>
            <w:r>
              <w:rPr>
                <w:sz w:val="17"/>
              </w:rPr>
              <w:t>Phase 0</w:t>
            </w:r>
          </w:p>
        </w:tc>
      </w:tr>
      <w:tr>
        <w:tc>
          <w:tcPr>
            <w:tcW w:type="dxa" w:w="2340"/>
            <w:shd w:fill="F8FAFC"/>
            <w:tcMar>
              <w:top w:w="60" w:type="dxa"/>
              <w:bottom w:w="60" w:type="dxa"/>
              <w:left w:w="80" w:type="dxa"/>
              <w:right w:w="80" w:type="dxa"/>
            </w:tcMar>
          </w:tcPr>
          <w:p>
            <w:r>
              <w:rPr>
                <w:sz w:val="17"/>
              </w:rPr>
              <w:t>Client Session Cache</w:t>
            </w:r>
          </w:p>
        </w:tc>
        <w:tc>
          <w:tcPr>
            <w:tcW w:type="dxa" w:w="2340"/>
            <w:shd w:fill="F8FAFC"/>
            <w:tcMar>
              <w:top w:w="60" w:type="dxa"/>
              <w:bottom w:w="60" w:type="dxa"/>
              <w:left w:w="80" w:type="dxa"/>
              <w:right w:w="80" w:type="dxa"/>
            </w:tcMar>
          </w:tcPr>
          <w:p>
            <w:r>
              <w:rPr>
                <w:sz w:val="17"/>
              </w:rPr>
              <w:t>LocalStorage persistence for multi-turn history &amp; triage results</w:t>
            </w:r>
          </w:p>
        </w:tc>
        <w:tc>
          <w:tcPr>
            <w:tcW w:type="dxa" w:w="2340"/>
            <w:shd w:fill="F8FAFC"/>
            <w:tcMar>
              <w:top w:w="60" w:type="dxa"/>
              <w:bottom w:w="60" w:type="dxa"/>
              <w:left w:w="80" w:type="dxa"/>
              <w:right w:w="80" w:type="dxa"/>
            </w:tcMar>
          </w:tcPr>
          <w:p>
            <w:r>
              <w:rPr>
                <w:b/>
                <w:color w:val="166534"/>
                <w:sz w:val="17"/>
              </w:rPr>
              <w:t>IMPLEMENTED</w:t>
            </w:r>
          </w:p>
        </w:tc>
        <w:tc>
          <w:tcPr>
            <w:tcW w:type="dxa" w:w="2340"/>
            <w:shd w:fill="F8FAFC"/>
            <w:tcMar>
              <w:top w:w="60" w:type="dxa"/>
              <w:bottom w:w="60" w:type="dxa"/>
              <w:left w:w="80" w:type="dxa"/>
              <w:right w:w="80" w:type="dxa"/>
            </w:tcMar>
          </w:tcPr>
          <w:p>
            <w:r>
              <w:rPr>
                <w:sz w:val="17"/>
              </w:rPr>
              <w:t>Phase 0</w:t>
            </w:r>
          </w:p>
        </w:tc>
      </w:tr>
      <w:tr>
        <w:tc>
          <w:tcPr>
            <w:tcW w:type="dxa" w:w="2340"/>
            <w:shd w:fill="FFFFFF"/>
            <w:tcMar>
              <w:top w:w="60" w:type="dxa"/>
              <w:bottom w:w="60" w:type="dxa"/>
              <w:left w:w="80" w:type="dxa"/>
              <w:right w:w="80" w:type="dxa"/>
            </w:tcMar>
          </w:tcPr>
          <w:p>
            <w:r>
              <w:rPr>
                <w:sz w:val="17"/>
              </w:rPr>
              <w:t>Dual Homepage Input</w:t>
            </w:r>
          </w:p>
        </w:tc>
        <w:tc>
          <w:tcPr>
            <w:tcW w:type="dxa" w:w="2340"/>
            <w:shd w:fill="FFFFFF"/>
            <w:tcMar>
              <w:top w:w="60" w:type="dxa"/>
              <w:bottom w:w="60" w:type="dxa"/>
              <w:left w:w="80" w:type="dxa"/>
              <w:right w:w="80" w:type="dxa"/>
            </w:tcMar>
          </w:tcPr>
          <w:p>
            <w:r>
              <w:rPr>
                <w:sz w:val="17"/>
              </w:rPr>
              <w:t>Direct text box input on homepage alongside microphone for desktop fallback</w:t>
            </w:r>
          </w:p>
        </w:tc>
        <w:tc>
          <w:tcPr>
            <w:tcW w:type="dxa" w:w="2340"/>
            <w:shd w:fill="FFFFFF"/>
            <w:tcMar>
              <w:top w:w="60" w:type="dxa"/>
              <w:bottom w:w="60" w:type="dxa"/>
              <w:left w:w="80" w:type="dxa"/>
              <w:right w:w="80" w:type="dxa"/>
            </w:tcMar>
          </w:tcPr>
          <w:p>
            <w:r>
              <w:rPr>
                <w:b/>
                <w:color w:val="B45309"/>
                <w:sz w:val="17"/>
              </w:rPr>
              <w:t>IN PROGRESS</w:t>
            </w:r>
          </w:p>
        </w:tc>
        <w:tc>
          <w:tcPr>
            <w:tcW w:type="dxa" w:w="2340"/>
            <w:shd w:fill="FFFFFF"/>
            <w:tcMar>
              <w:top w:w="60" w:type="dxa"/>
              <w:bottom w:w="60" w:type="dxa"/>
              <w:left w:w="80" w:type="dxa"/>
              <w:right w:w="80" w:type="dxa"/>
            </w:tcMar>
          </w:tcPr>
          <w:p>
            <w:r>
              <w:rPr>
                <w:sz w:val="17"/>
              </w:rPr>
              <w:t>Phase 1</w:t>
            </w:r>
          </w:p>
        </w:tc>
      </w:tr>
      <w:tr>
        <w:tc>
          <w:tcPr>
            <w:tcW w:type="dxa" w:w="2340"/>
            <w:shd w:fill="F8FAFC"/>
            <w:tcMar>
              <w:top w:w="60" w:type="dxa"/>
              <w:bottom w:w="60" w:type="dxa"/>
              <w:left w:w="80" w:type="dxa"/>
              <w:right w:w="80" w:type="dxa"/>
            </w:tcMar>
          </w:tcPr>
          <w:p>
            <w:r>
              <w:rPr>
                <w:sz w:val="17"/>
              </w:rPr>
              <w:t>Emergency SOS Hub</w:t>
            </w:r>
          </w:p>
        </w:tc>
        <w:tc>
          <w:tcPr>
            <w:tcW w:type="dxa" w:w="2340"/>
            <w:shd w:fill="F8FAFC"/>
            <w:tcMar>
              <w:top w:w="60" w:type="dxa"/>
              <w:bottom w:w="60" w:type="dxa"/>
              <w:left w:w="80" w:type="dxa"/>
              <w:right w:w="80" w:type="dxa"/>
            </w:tcMar>
          </w:tcPr>
          <w:p>
            <w:r>
              <w:rPr>
                <w:sz w:val="17"/>
              </w:rPr>
              <w:t>Real 1-tap dials (112, 1091, 15100 NALSA) &amp; statutory arrest rights card</w:t>
            </w:r>
          </w:p>
        </w:tc>
        <w:tc>
          <w:tcPr>
            <w:tcW w:type="dxa" w:w="2340"/>
            <w:shd w:fill="F8FAFC"/>
            <w:tcMar>
              <w:top w:w="60" w:type="dxa"/>
              <w:bottom w:w="60" w:type="dxa"/>
              <w:left w:w="80" w:type="dxa"/>
              <w:right w:w="80" w:type="dxa"/>
            </w:tcMar>
          </w:tcPr>
          <w:p>
            <w:r>
              <w:rPr>
                <w:b/>
                <w:color w:val="B45309"/>
                <w:sz w:val="17"/>
              </w:rPr>
              <w:t>IN PROGRESS</w:t>
            </w:r>
          </w:p>
        </w:tc>
        <w:tc>
          <w:tcPr>
            <w:tcW w:type="dxa" w:w="2340"/>
            <w:shd w:fill="F8FAFC"/>
            <w:tcMar>
              <w:top w:w="60" w:type="dxa"/>
              <w:bottom w:w="60" w:type="dxa"/>
              <w:left w:w="80" w:type="dxa"/>
              <w:right w:w="80" w:type="dxa"/>
            </w:tcMar>
          </w:tcPr>
          <w:p>
            <w:r>
              <w:rPr>
                <w:sz w:val="17"/>
              </w:rPr>
              <w:t>Phase 1</w:t>
            </w:r>
          </w:p>
        </w:tc>
      </w:tr>
      <w:tr>
        <w:tc>
          <w:tcPr>
            <w:tcW w:type="dxa" w:w="2340"/>
            <w:shd w:fill="FFFFFF"/>
            <w:tcMar>
              <w:top w:w="60" w:type="dxa"/>
              <w:bottom w:w="60" w:type="dxa"/>
              <w:left w:w="80" w:type="dxa"/>
              <w:right w:w="80" w:type="dxa"/>
            </w:tcMar>
          </w:tcPr>
          <w:p>
            <w:r>
              <w:rPr>
                <w:sz w:val="17"/>
              </w:rPr>
              <w:t>Advocate Profile Modal</w:t>
            </w:r>
          </w:p>
        </w:tc>
        <w:tc>
          <w:tcPr>
            <w:tcW w:type="dxa" w:w="2340"/>
            <w:shd w:fill="FFFFFF"/>
            <w:tcMar>
              <w:top w:w="60" w:type="dxa"/>
              <w:bottom w:w="60" w:type="dxa"/>
              <w:left w:w="80" w:type="dxa"/>
              <w:right w:w="80" w:type="dxa"/>
            </w:tcMar>
          </w:tcPr>
          <w:p>
            <w:r>
              <w:rPr>
                <w:sz w:val="17"/>
              </w:rPr>
              <w:t>Detailed modal displaying Bar Council credentials, courts, and fixed slots</w:t>
            </w:r>
          </w:p>
        </w:tc>
        <w:tc>
          <w:tcPr>
            <w:tcW w:type="dxa" w:w="2340"/>
            <w:shd w:fill="FFFFFF"/>
            <w:tcMar>
              <w:top w:w="60" w:type="dxa"/>
              <w:bottom w:w="60" w:type="dxa"/>
              <w:left w:w="80" w:type="dxa"/>
              <w:right w:w="80" w:type="dxa"/>
            </w:tcMar>
          </w:tcPr>
          <w:p>
            <w:r>
              <w:rPr>
                <w:b/>
                <w:color w:val="B45309"/>
                <w:sz w:val="17"/>
              </w:rPr>
              <w:t>IN PROGRESS</w:t>
            </w:r>
          </w:p>
        </w:tc>
        <w:tc>
          <w:tcPr>
            <w:tcW w:type="dxa" w:w="2340"/>
            <w:shd w:fill="FFFFFF"/>
            <w:tcMar>
              <w:top w:w="60" w:type="dxa"/>
              <w:bottom w:w="60" w:type="dxa"/>
              <w:left w:w="80" w:type="dxa"/>
              <w:right w:w="80" w:type="dxa"/>
            </w:tcMar>
          </w:tcPr>
          <w:p>
            <w:r>
              <w:rPr>
                <w:sz w:val="17"/>
              </w:rPr>
              <w:t>Phase 1</w:t>
            </w:r>
          </w:p>
        </w:tc>
      </w:tr>
      <w:tr>
        <w:tc>
          <w:tcPr>
            <w:tcW w:type="dxa" w:w="2340"/>
            <w:shd w:fill="F8FAFC"/>
            <w:tcMar>
              <w:top w:w="60" w:type="dxa"/>
              <w:bottom w:w="60" w:type="dxa"/>
              <w:left w:w="80" w:type="dxa"/>
              <w:right w:w="80" w:type="dxa"/>
            </w:tcMar>
          </w:tcPr>
          <w:p>
            <w:r>
              <w:rPr>
                <w:sz w:val="17"/>
              </w:rPr>
              <w:t>Bar Council Verification</w:t>
            </w:r>
          </w:p>
        </w:tc>
        <w:tc>
          <w:tcPr>
            <w:tcW w:type="dxa" w:w="2340"/>
            <w:shd w:fill="F8FAFC"/>
            <w:tcMar>
              <w:top w:w="60" w:type="dxa"/>
              <w:bottom w:w="60" w:type="dxa"/>
              <w:left w:w="80" w:type="dxa"/>
              <w:right w:w="80" w:type="dxa"/>
            </w:tcMar>
          </w:tcPr>
          <w:p>
            <w:r>
              <w:rPr>
                <w:sz w:val="17"/>
              </w:rPr>
              <w:t>State Bar Enrolment (e.g. D/1420/2019) &amp; AIBE COP verification workflow</w:t>
            </w:r>
          </w:p>
        </w:tc>
        <w:tc>
          <w:tcPr>
            <w:tcW w:type="dxa" w:w="2340"/>
            <w:shd w:fill="F8FAFC"/>
            <w:tcMar>
              <w:top w:w="60" w:type="dxa"/>
              <w:bottom w:w="60" w:type="dxa"/>
              <w:left w:w="80" w:type="dxa"/>
              <w:right w:w="80" w:type="dxa"/>
            </w:tcMar>
          </w:tcPr>
          <w:p>
            <w:r>
              <w:rPr>
                <w:b/>
                <w:color w:val="0C447C"/>
                <w:sz w:val="17"/>
              </w:rPr>
              <w:t>PLANNED</w:t>
            </w:r>
          </w:p>
        </w:tc>
        <w:tc>
          <w:tcPr>
            <w:tcW w:type="dxa" w:w="2340"/>
            <w:shd w:fill="F8FAFC"/>
            <w:tcMar>
              <w:top w:w="60" w:type="dxa"/>
              <w:bottom w:w="60" w:type="dxa"/>
              <w:left w:w="80" w:type="dxa"/>
              <w:right w:w="80" w:type="dxa"/>
            </w:tcMar>
          </w:tcPr>
          <w:p>
            <w:r>
              <w:rPr>
                <w:sz w:val="17"/>
              </w:rPr>
              <w:t>Phase 2</w:t>
            </w:r>
          </w:p>
        </w:tc>
      </w:tr>
      <w:tr>
        <w:tc>
          <w:tcPr>
            <w:tcW w:type="dxa" w:w="2340"/>
            <w:shd w:fill="FFFFFF"/>
            <w:tcMar>
              <w:top w:w="60" w:type="dxa"/>
              <w:bottom w:w="60" w:type="dxa"/>
              <w:left w:w="80" w:type="dxa"/>
              <w:right w:w="80" w:type="dxa"/>
            </w:tcMar>
          </w:tcPr>
          <w:p>
            <w:r>
              <w:rPr>
                <w:sz w:val="17"/>
              </w:rPr>
              <w:t>My Bookings Dashboard</w:t>
            </w:r>
          </w:p>
        </w:tc>
        <w:tc>
          <w:tcPr>
            <w:tcW w:type="dxa" w:w="2340"/>
            <w:shd w:fill="FFFFFF"/>
            <w:tcMar>
              <w:top w:w="60" w:type="dxa"/>
              <w:bottom w:w="60" w:type="dxa"/>
              <w:left w:w="80" w:type="dxa"/>
              <w:right w:w="80" w:type="dxa"/>
            </w:tcMar>
          </w:tcPr>
          <w:p>
            <w:r>
              <w:rPr>
                <w:sz w:val="17"/>
              </w:rPr>
              <w:t>Client portal to view upcoming appointments, status, and PDF booking slips</w:t>
            </w:r>
          </w:p>
        </w:tc>
        <w:tc>
          <w:tcPr>
            <w:tcW w:type="dxa" w:w="2340"/>
            <w:shd w:fill="FFFFFF"/>
            <w:tcMar>
              <w:top w:w="60" w:type="dxa"/>
              <w:bottom w:w="60" w:type="dxa"/>
              <w:left w:w="80" w:type="dxa"/>
              <w:right w:w="80" w:type="dxa"/>
            </w:tcMar>
          </w:tcPr>
          <w:p>
            <w:r>
              <w:rPr>
                <w:b/>
                <w:color w:val="0C447C"/>
                <w:sz w:val="17"/>
              </w:rPr>
              <w:t>PLANNED</w:t>
            </w:r>
          </w:p>
        </w:tc>
        <w:tc>
          <w:tcPr>
            <w:tcW w:type="dxa" w:w="2340"/>
            <w:shd w:fill="FFFFFF"/>
            <w:tcMar>
              <w:top w:w="60" w:type="dxa"/>
              <w:bottom w:w="60" w:type="dxa"/>
              <w:left w:w="80" w:type="dxa"/>
              <w:right w:w="80" w:type="dxa"/>
            </w:tcMar>
          </w:tcPr>
          <w:p>
            <w:r>
              <w:rPr>
                <w:sz w:val="17"/>
              </w:rPr>
              <w:t>Phase 2</w:t>
            </w:r>
          </w:p>
        </w:tc>
      </w:tr>
      <w:tr>
        <w:tc>
          <w:tcPr>
            <w:tcW w:type="dxa" w:w="2340"/>
            <w:shd w:fill="F8FAFC"/>
            <w:tcMar>
              <w:top w:w="60" w:type="dxa"/>
              <w:bottom w:w="60" w:type="dxa"/>
              <w:left w:w="80" w:type="dxa"/>
              <w:right w:w="80" w:type="dxa"/>
            </w:tcMar>
          </w:tcPr>
          <w:p>
            <w:r>
              <w:rPr>
                <w:sz w:val="17"/>
              </w:rPr>
              <w:t>Regulatory Suspension</w:t>
            </w:r>
          </w:p>
        </w:tc>
        <w:tc>
          <w:tcPr>
            <w:tcW w:type="dxa" w:w="2340"/>
            <w:shd w:fill="F8FAFC"/>
            <w:tcMar>
              <w:top w:w="60" w:type="dxa"/>
              <w:bottom w:w="60" w:type="dxa"/>
              <w:left w:w="80" w:type="dxa"/>
              <w:right w:w="80" w:type="dxa"/>
            </w:tcMar>
          </w:tcPr>
          <w:p>
            <w:r>
              <w:rPr>
                <w:sz w:val="17"/>
              </w:rPr>
              <w:t>Automated query quarantine and Razorpay refund trigger for banned advocates</w:t>
            </w:r>
          </w:p>
        </w:tc>
        <w:tc>
          <w:tcPr>
            <w:tcW w:type="dxa" w:w="2340"/>
            <w:shd w:fill="F8FAFC"/>
            <w:tcMar>
              <w:top w:w="60" w:type="dxa"/>
              <w:bottom w:w="60" w:type="dxa"/>
              <w:left w:w="80" w:type="dxa"/>
              <w:right w:w="80" w:type="dxa"/>
            </w:tcMar>
          </w:tcPr>
          <w:p>
            <w:r>
              <w:rPr>
                <w:b/>
                <w:color w:val="0C447C"/>
                <w:sz w:val="17"/>
              </w:rPr>
              <w:t>PLANNED</w:t>
            </w:r>
          </w:p>
        </w:tc>
        <w:tc>
          <w:tcPr>
            <w:tcW w:type="dxa" w:w="2340"/>
            <w:shd w:fill="F8FAFC"/>
            <w:tcMar>
              <w:top w:w="60" w:type="dxa"/>
              <w:bottom w:w="60" w:type="dxa"/>
              <w:left w:w="80" w:type="dxa"/>
              <w:right w:w="80" w:type="dxa"/>
            </w:tcMar>
          </w:tcPr>
          <w:p>
            <w:r>
              <w:rPr>
                <w:sz w:val="17"/>
              </w:rPr>
              <w:t>Phase 2</w:t>
            </w:r>
          </w:p>
        </w:tc>
      </w:tr>
      <w:tr>
        <w:tc>
          <w:tcPr>
            <w:tcW w:type="dxa" w:w="2340"/>
            <w:shd w:fill="FFFFFF"/>
            <w:tcMar>
              <w:top w:w="60" w:type="dxa"/>
              <w:bottom w:w="60" w:type="dxa"/>
              <w:left w:w="80" w:type="dxa"/>
              <w:right w:w="80" w:type="dxa"/>
            </w:tcMar>
          </w:tcPr>
          <w:p>
            <w:r>
              <w:rPr>
                <w:sz w:val="17"/>
              </w:rPr>
              <w:t>Legal Document OCR</w:t>
            </w:r>
          </w:p>
        </w:tc>
        <w:tc>
          <w:tcPr>
            <w:tcW w:type="dxa" w:w="2340"/>
            <w:shd w:fill="FFFFFF"/>
            <w:tcMar>
              <w:top w:w="60" w:type="dxa"/>
              <w:bottom w:w="60" w:type="dxa"/>
              <w:left w:w="80" w:type="dxa"/>
              <w:right w:w="80" w:type="dxa"/>
            </w:tcMar>
          </w:tcPr>
          <w:p>
            <w:r>
              <w:rPr>
                <w:sz w:val="17"/>
              </w:rPr>
              <w:t>Real PDF/Image file upload and text extraction for FIRs and legal notices</w:t>
            </w:r>
          </w:p>
        </w:tc>
        <w:tc>
          <w:tcPr>
            <w:tcW w:type="dxa" w:w="2340"/>
            <w:shd w:fill="FFFFFF"/>
            <w:tcMar>
              <w:top w:w="60" w:type="dxa"/>
              <w:bottom w:w="60" w:type="dxa"/>
              <w:left w:w="80" w:type="dxa"/>
              <w:right w:w="80" w:type="dxa"/>
            </w:tcMar>
          </w:tcPr>
          <w:p>
            <w:r>
              <w:rPr>
                <w:b/>
                <w:color w:val="0C447C"/>
                <w:sz w:val="17"/>
              </w:rPr>
              <w:t>PLANNED</w:t>
            </w:r>
          </w:p>
        </w:tc>
        <w:tc>
          <w:tcPr>
            <w:tcW w:type="dxa" w:w="2340"/>
            <w:shd w:fill="FFFFFF"/>
            <w:tcMar>
              <w:top w:w="60" w:type="dxa"/>
              <w:bottom w:w="60" w:type="dxa"/>
              <w:left w:w="80" w:type="dxa"/>
              <w:right w:w="80" w:type="dxa"/>
            </w:tcMar>
          </w:tcPr>
          <w:p>
            <w:r>
              <w:rPr>
                <w:sz w:val="17"/>
              </w:rPr>
              <w:t>Phase 3</w:t>
            </w:r>
          </w:p>
        </w:tc>
      </w:tr>
      <w:tr>
        <w:tc>
          <w:tcPr>
            <w:tcW w:type="dxa" w:w="2340"/>
            <w:shd w:fill="F8FAFC"/>
            <w:tcMar>
              <w:top w:w="60" w:type="dxa"/>
              <w:bottom w:w="60" w:type="dxa"/>
              <w:left w:w="80" w:type="dxa"/>
              <w:right w:w="80" w:type="dxa"/>
            </w:tcMar>
          </w:tcPr>
          <w:p>
            <w:r>
              <w:rPr>
                <w:sz w:val="17"/>
              </w:rPr>
              <w:t>Limitation Calculator</w:t>
            </w:r>
          </w:p>
        </w:tc>
        <w:tc>
          <w:tcPr>
            <w:tcW w:type="dxa" w:w="2340"/>
            <w:shd w:fill="F8FAFC"/>
            <w:tcMar>
              <w:top w:w="60" w:type="dxa"/>
              <w:bottom w:w="60" w:type="dxa"/>
              <w:left w:w="80" w:type="dxa"/>
              <w:right w:w="80" w:type="dxa"/>
            </w:tcMar>
          </w:tcPr>
          <w:p>
            <w:r>
              <w:rPr>
                <w:sz w:val="17"/>
              </w:rPr>
              <w:t>Statutory countdown tracking under Indian Limitation Act, 1963</w:t>
            </w:r>
          </w:p>
        </w:tc>
        <w:tc>
          <w:tcPr>
            <w:tcW w:type="dxa" w:w="2340"/>
            <w:shd w:fill="F8FAFC"/>
            <w:tcMar>
              <w:top w:w="60" w:type="dxa"/>
              <w:bottom w:w="60" w:type="dxa"/>
              <w:left w:w="80" w:type="dxa"/>
              <w:right w:w="80" w:type="dxa"/>
            </w:tcMar>
          </w:tcPr>
          <w:p>
            <w:r>
              <w:rPr>
                <w:b/>
                <w:color w:val="0C447C"/>
                <w:sz w:val="17"/>
              </w:rPr>
              <w:t>PLANNED</w:t>
            </w:r>
          </w:p>
        </w:tc>
        <w:tc>
          <w:tcPr>
            <w:tcW w:type="dxa" w:w="2340"/>
            <w:shd w:fill="F8FAFC"/>
            <w:tcMar>
              <w:top w:w="60" w:type="dxa"/>
              <w:bottom w:w="60" w:type="dxa"/>
              <w:left w:w="80" w:type="dxa"/>
              <w:right w:w="80" w:type="dxa"/>
            </w:tcMar>
          </w:tcPr>
          <w:p>
            <w:r>
              <w:rPr>
                <w:sz w:val="17"/>
              </w:rPr>
              <w:t>Phase 3</w:t>
            </w:r>
          </w:p>
        </w:tc>
      </w:tr>
      <w:tr>
        <w:tc>
          <w:tcPr>
            <w:tcW w:type="dxa" w:w="2340"/>
            <w:shd w:fill="FFFFFF"/>
            <w:tcMar>
              <w:top w:w="60" w:type="dxa"/>
              <w:bottom w:w="60" w:type="dxa"/>
              <w:left w:w="80" w:type="dxa"/>
              <w:right w:w="80" w:type="dxa"/>
            </w:tcMar>
          </w:tcPr>
          <w:p>
            <w:r>
              <w:rPr>
                <w:sz w:val="17"/>
              </w:rPr>
              <w:t>Free Legal Aid Checker</w:t>
            </w:r>
          </w:p>
        </w:tc>
        <w:tc>
          <w:tcPr>
            <w:tcW w:type="dxa" w:w="2340"/>
            <w:shd w:fill="FFFFFF"/>
            <w:tcMar>
              <w:top w:w="60" w:type="dxa"/>
              <w:bottom w:w="60" w:type="dxa"/>
              <w:left w:w="80" w:type="dxa"/>
              <w:right w:w="80" w:type="dxa"/>
            </w:tcMar>
          </w:tcPr>
          <w:p>
            <w:r>
              <w:rPr>
                <w:sz w:val="17"/>
              </w:rPr>
              <w:t>NALSA / DLSA eligibility evaluator under Legal Services Authorities Act</w:t>
            </w:r>
          </w:p>
        </w:tc>
        <w:tc>
          <w:tcPr>
            <w:tcW w:type="dxa" w:w="2340"/>
            <w:shd w:fill="FFFFFF"/>
            <w:tcMar>
              <w:top w:w="60" w:type="dxa"/>
              <w:bottom w:w="60" w:type="dxa"/>
              <w:left w:w="80" w:type="dxa"/>
              <w:right w:w="80" w:type="dxa"/>
            </w:tcMar>
          </w:tcPr>
          <w:p>
            <w:r>
              <w:rPr>
                <w:b/>
                <w:color w:val="0C447C"/>
                <w:sz w:val="17"/>
              </w:rPr>
              <w:t>PLANNED</w:t>
            </w:r>
          </w:p>
        </w:tc>
        <w:tc>
          <w:tcPr>
            <w:tcW w:type="dxa" w:w="2340"/>
            <w:shd w:fill="FFFFFF"/>
            <w:tcMar>
              <w:top w:w="60" w:type="dxa"/>
              <w:bottom w:w="60" w:type="dxa"/>
              <w:left w:w="80" w:type="dxa"/>
              <w:right w:w="80" w:type="dxa"/>
            </w:tcMar>
          </w:tcPr>
          <w:p>
            <w:r>
              <w:rPr>
                <w:sz w:val="17"/>
              </w:rPr>
              <w:t>Phase 3</w:t>
            </w:r>
          </w:p>
        </w:tc>
      </w:tr>
      <w:tr>
        <w:tc>
          <w:tcPr>
            <w:tcW w:type="dxa" w:w="2340"/>
            <w:shd w:fill="F8FAFC"/>
            <w:tcMar>
              <w:top w:w="60" w:type="dxa"/>
              <w:bottom w:w="60" w:type="dxa"/>
              <w:left w:w="80" w:type="dxa"/>
              <w:right w:w="80" w:type="dxa"/>
            </w:tcMar>
          </w:tcPr>
          <w:p>
            <w:r>
              <w:rPr>
                <w:sz w:val="17"/>
              </w:rPr>
              <w:t>Indic 8-Language STT</w:t>
            </w:r>
          </w:p>
        </w:tc>
        <w:tc>
          <w:tcPr>
            <w:tcW w:type="dxa" w:w="2340"/>
            <w:shd w:fill="F8FAFC"/>
            <w:tcMar>
              <w:top w:w="60" w:type="dxa"/>
              <w:bottom w:w="60" w:type="dxa"/>
              <w:left w:w="80" w:type="dxa"/>
              <w:right w:w="80" w:type="dxa"/>
            </w:tcMar>
          </w:tcPr>
          <w:p>
            <w:r>
              <w:rPr>
                <w:sz w:val="17"/>
              </w:rPr>
              <w:t>Expanding speech recognition to Bengali, Marathi, Tamil, Telugu, etc.</w:t>
            </w:r>
          </w:p>
        </w:tc>
        <w:tc>
          <w:tcPr>
            <w:tcW w:type="dxa" w:w="2340"/>
            <w:shd w:fill="F8FAFC"/>
            <w:tcMar>
              <w:top w:w="60" w:type="dxa"/>
              <w:bottom w:w="60" w:type="dxa"/>
              <w:left w:w="80" w:type="dxa"/>
              <w:right w:w="80" w:type="dxa"/>
            </w:tcMar>
          </w:tcPr>
          <w:p>
            <w:r>
              <w:rPr>
                <w:b/>
                <w:color w:val="0C447C"/>
                <w:sz w:val="17"/>
              </w:rPr>
              <w:t>ROADMAP</w:t>
            </w:r>
          </w:p>
        </w:tc>
        <w:tc>
          <w:tcPr>
            <w:tcW w:type="dxa" w:w="2340"/>
            <w:shd w:fill="F8FAFC"/>
            <w:tcMar>
              <w:top w:w="60" w:type="dxa"/>
              <w:bottom w:w="60" w:type="dxa"/>
              <w:left w:w="80" w:type="dxa"/>
              <w:right w:w="80" w:type="dxa"/>
            </w:tcMar>
          </w:tcPr>
          <w:p>
            <w:r>
              <w:rPr>
                <w:sz w:val="17"/>
              </w:rPr>
              <w:t>Phase 4</w:t>
            </w:r>
          </w:p>
        </w:tc>
      </w:tr>
      <w:tr>
        <w:tc>
          <w:tcPr>
            <w:tcW w:type="dxa" w:w="2340"/>
            <w:shd w:fill="FFFFFF"/>
            <w:tcMar>
              <w:top w:w="60" w:type="dxa"/>
              <w:bottom w:w="60" w:type="dxa"/>
              <w:left w:w="80" w:type="dxa"/>
              <w:right w:w="80" w:type="dxa"/>
            </w:tcMar>
          </w:tcPr>
          <w:p>
            <w:r>
              <w:rPr>
                <w:sz w:val="17"/>
              </w:rPr>
              <w:t>e-Courts CNR Tracking</w:t>
            </w:r>
          </w:p>
        </w:tc>
        <w:tc>
          <w:tcPr>
            <w:tcW w:type="dxa" w:w="2340"/>
            <w:shd w:fill="FFFFFF"/>
            <w:tcMar>
              <w:top w:w="60" w:type="dxa"/>
              <w:bottom w:w="60" w:type="dxa"/>
              <w:left w:w="80" w:type="dxa"/>
              <w:right w:w="80" w:type="dxa"/>
            </w:tcMar>
          </w:tcPr>
          <w:p>
            <w:r>
              <w:rPr>
                <w:sz w:val="17"/>
              </w:rPr>
              <w:t>Tracking court causes and next hearing dates via 16-digit CNR numbers</w:t>
            </w:r>
          </w:p>
        </w:tc>
        <w:tc>
          <w:tcPr>
            <w:tcW w:type="dxa" w:w="2340"/>
            <w:shd w:fill="FFFFFF"/>
            <w:tcMar>
              <w:top w:w="60" w:type="dxa"/>
              <w:bottom w:w="60" w:type="dxa"/>
              <w:left w:w="80" w:type="dxa"/>
              <w:right w:w="80" w:type="dxa"/>
            </w:tcMar>
          </w:tcPr>
          <w:p>
            <w:r>
              <w:rPr>
                <w:b/>
                <w:color w:val="0C447C"/>
                <w:sz w:val="17"/>
              </w:rPr>
              <w:t>ROADMAP</w:t>
            </w:r>
          </w:p>
        </w:tc>
        <w:tc>
          <w:tcPr>
            <w:tcW w:type="dxa" w:w="2340"/>
            <w:shd w:fill="FFFFFF"/>
            <w:tcMar>
              <w:top w:w="60" w:type="dxa"/>
              <w:bottom w:w="60" w:type="dxa"/>
              <w:left w:w="80" w:type="dxa"/>
              <w:right w:w="80" w:type="dxa"/>
            </w:tcMar>
          </w:tcPr>
          <w:p>
            <w:r>
              <w:rPr>
                <w:sz w:val="17"/>
              </w:rPr>
              <w:t>Phase 4</w:t>
            </w:r>
          </w:p>
        </w:tc>
      </w:tr>
      <w:tr>
        <w:tc>
          <w:tcPr>
            <w:tcW w:type="dxa" w:w="2340"/>
            <w:shd w:fill="F8FAFC"/>
            <w:tcMar>
              <w:top w:w="60" w:type="dxa"/>
              <w:bottom w:w="60" w:type="dxa"/>
              <w:left w:w="80" w:type="dxa"/>
              <w:right w:w="80" w:type="dxa"/>
            </w:tcMar>
          </w:tcPr>
          <w:p>
            <w:r>
              <w:rPr>
                <w:sz w:val="17"/>
              </w:rPr>
              <w:t>WebRTC Video Consult</w:t>
            </w:r>
          </w:p>
        </w:tc>
        <w:tc>
          <w:tcPr>
            <w:tcW w:type="dxa" w:w="2340"/>
            <w:shd w:fill="F8FAFC"/>
            <w:tcMar>
              <w:top w:w="60" w:type="dxa"/>
              <w:bottom w:w="60" w:type="dxa"/>
              <w:left w:w="80" w:type="dxa"/>
              <w:right w:w="80" w:type="dxa"/>
            </w:tcMar>
          </w:tcPr>
          <w:p>
            <w:r>
              <w:rPr>
                <w:sz w:val="17"/>
              </w:rPr>
              <w:t>Built-in peer-to-peer encrypted video calling and screen sharing</w:t>
            </w:r>
          </w:p>
        </w:tc>
        <w:tc>
          <w:tcPr>
            <w:tcW w:type="dxa" w:w="2340"/>
            <w:shd w:fill="F8FAFC"/>
            <w:tcMar>
              <w:top w:w="60" w:type="dxa"/>
              <w:bottom w:w="60" w:type="dxa"/>
              <w:left w:w="80" w:type="dxa"/>
              <w:right w:w="80" w:type="dxa"/>
            </w:tcMar>
          </w:tcPr>
          <w:p>
            <w:r>
              <w:rPr>
                <w:b/>
                <w:color w:val="0C447C"/>
                <w:sz w:val="17"/>
              </w:rPr>
              <w:t>ROADMAP</w:t>
            </w:r>
          </w:p>
        </w:tc>
        <w:tc>
          <w:tcPr>
            <w:tcW w:type="dxa" w:w="2340"/>
            <w:shd w:fill="F8FAFC"/>
            <w:tcMar>
              <w:top w:w="60" w:type="dxa"/>
              <w:bottom w:w="60" w:type="dxa"/>
              <w:left w:w="80" w:type="dxa"/>
              <w:right w:w="80" w:type="dxa"/>
            </w:tcMar>
          </w:tcPr>
          <w:p>
            <w:r>
              <w:rPr>
                <w:sz w:val="17"/>
              </w:rPr>
              <w:t>Phase 4</w:t>
            </w:r>
          </w:p>
        </w:tc>
      </w:tr>
    </w:tbl>
    <w:p/>
    <w:p>
      <w:pPr>
        <w:pStyle w:val="Heading1"/>
      </w:pPr>
      <w:r>
        <w:rPr>
          <w:color w:val="0C447C"/>
        </w:rPr>
        <w:t>3. Technical Architecture &amp; System Design</w:t>
      </w:r>
    </w:p>
    <w:p>
      <w:r>
        <w:rPr>
          <w:sz w:val="21"/>
        </w:rPr>
        <w:t>Vakil Setu is engineered on a high-availability decoupled client-server architecture balancing low-latency client-side speech recognition with an asynchronous backend and a dual-engine AI failover pipeline.</w:t>
      </w:r>
    </w:p>
    <w:p>
      <w:r>
        <w:rPr>
          <w:b/>
          <w:color w:val="0C447C"/>
          <w:sz w:val="20"/>
        </w:rPr>
        <w:t xml:space="preserve">• Layer 1: Client &amp; Presentation Layer: </w:t>
      </w:r>
      <w:r>
        <w:rPr>
          <w:sz w:val="19"/>
        </w:rPr>
        <w:t>React 18 Single Page Application (Vite), W3C Web Speech API (webkitSpeechRecognition &amp; window.speechSynthesis), AppContext state management, LocalStorage session cache.</w:t>
      </w:r>
    </w:p>
    <w:p>
      <w:r>
        <w:rPr>
          <w:b/>
          <w:color w:val="0C447C"/>
          <w:sz w:val="20"/>
        </w:rPr>
        <w:t xml:space="preserve">• Layer 2: API Gateway &amp; Application Server: </w:t>
      </w:r>
      <w:r>
        <w:rPr>
          <w:sz w:val="19"/>
        </w:rPr>
        <w:t>Node.js (v20+ LTS) runtime, Express.js RESTful routing (/api/ai, /api/advocates, /api/bookings, /api/payments), CORS middleware, environment-isolated configurations.</w:t>
      </w:r>
    </w:p>
    <w:p>
      <w:r>
        <w:rPr>
          <w:b/>
          <w:color w:val="0C447C"/>
          <w:sz w:val="20"/>
        </w:rPr>
        <w:t xml:space="preserve">• Layer 3: AI &amp; Intelligence Layer: </w:t>
      </w:r>
      <w:r>
        <w:rPr>
          <w:sz w:val="19"/>
        </w:rPr>
        <w:t>Dual-engine architecture: Primary Google Gemini 2.0 / OpenAI-compatible LLM with strict JSON schema contract; Local rule-based regex heuristics engine guaranteeing 100% triage uptime during API outages.</w:t>
      </w:r>
    </w:p>
    <w:p>
      <w:r>
        <w:rPr>
          <w:b/>
          <w:color w:val="0C447C"/>
          <w:sz w:val="20"/>
        </w:rPr>
        <w:t xml:space="preserve">• Layer 4: Data Persistence &amp; Ingestion Layer: </w:t>
      </w:r>
      <w:r>
        <w:rPr>
          <w:sz w:val="19"/>
        </w:rPr>
        <w:t>MongoDB Atlas managed cluster via Mongoose ODM (Advocate, Booking, User collections); Cheerio-powered web scraping crawler ingesting public legal listings (LawRato).</w:t>
      </w:r>
    </w:p>
    <w:p>
      <w:r>
        <w:rPr>
          <w:b/>
          <w:color w:val="0C447C"/>
          <w:sz w:val="20"/>
        </w:rPr>
        <w:t xml:space="preserve">• Layer 5: Payment &amp; Transaction Security: </w:t>
      </w:r>
      <w:r>
        <w:rPr>
          <w:sz w:val="19"/>
        </w:rPr>
        <w:t>Razorpay Payment Gateway with server-side HMAC SHA-256 cryptographic signature recalculation and verification.</w:t>
      </w:r>
    </w:p>
    <w:p/>
    <w:p>
      <w:pPr>
        <w:pStyle w:val="Heading1"/>
      </w:pPr>
      <w:r>
        <w:rPr>
          <w:color w:val="0C447C"/>
        </w:rPr>
        <w:t>4. Functional Requirements (FR)</w:t>
      </w:r>
    </w:p>
    <w:p>
      <w:r>
        <w:rPr>
          <w:b/>
          <w:color w:val="B45309"/>
          <w:sz w:val="19"/>
        </w:rPr>
        <w:t xml:space="preserve">[FR-1.1: Hands-Free Voice Ingestion] </w:t>
      </w:r>
      <w:r>
        <w:rPr>
          <w:sz w:val="19"/>
        </w:rPr>
        <w:t>The system SHALL capture spoken audio in real-time using the browser's native SpeechRecognition API without requiring third-party audio upload bandwidth.</w:t>
      </w:r>
    </w:p>
    <w:p>
      <w:r>
        <w:rPr>
          <w:b/>
          <w:color w:val="B45309"/>
          <w:sz w:val="19"/>
        </w:rPr>
        <w:t xml:space="preserve">[FR-1.2: Bilingual Locale Tagging] </w:t>
      </w:r>
      <w:r>
        <w:rPr>
          <w:sz w:val="19"/>
        </w:rPr>
        <w:t>The system SHALL support hi-IN (Hindi) and en-IN (Indian English) recognition with dynamic BCP-47 locale tagging.</w:t>
      </w:r>
    </w:p>
    <w:p>
      <w:r>
        <w:rPr>
          <w:b/>
          <w:color w:val="B45309"/>
          <w:sz w:val="19"/>
        </w:rPr>
        <w:t xml:space="preserve">[FR-1.3: Real-Time Interim Streaming] </w:t>
      </w:r>
      <w:r>
        <w:rPr>
          <w:sz w:val="19"/>
        </w:rPr>
        <w:t>The system SHALL stream intermediate transcription tokens into a visual draft bubble prior to submission.</w:t>
      </w:r>
    </w:p>
    <w:p>
      <w:r>
        <w:rPr>
          <w:b/>
          <w:color w:val="B45309"/>
          <w:sz w:val="19"/>
        </w:rPr>
        <w:t xml:space="preserve">[FR-1.4: Direct Text Input Fallback] </w:t>
      </w:r>
      <w:r>
        <w:rPr>
          <w:sz w:val="19"/>
        </w:rPr>
        <w:t>The system SHALL provide a manual text entry area on all triage interfaces for users on desktop PCs or without microphone permissions.</w:t>
      </w:r>
    </w:p>
    <w:p>
      <w:r>
        <w:rPr>
          <w:b/>
          <w:color w:val="B45309"/>
          <w:sz w:val="19"/>
        </w:rPr>
        <w:t xml:space="preserve">[FR-1.5: Accessibility Speech Synthesis] </w:t>
      </w:r>
      <w:r>
        <w:rPr>
          <w:sz w:val="19"/>
        </w:rPr>
        <w:t>The system SHALL vocalize generated legal summaries and immediate action items aloud via window.speechSynthesis in regional accents.</w:t>
      </w:r>
    </w:p>
    <w:p>
      <w:r>
        <w:rPr>
          <w:b/>
          <w:color w:val="B45309"/>
          <w:sz w:val="19"/>
        </w:rPr>
        <w:t xml:space="preserve">[FR-2.1: Statutory Domain Triage] </w:t>
      </w:r>
      <w:r>
        <w:rPr>
          <w:sz w:val="19"/>
        </w:rPr>
        <w:t>The system SHALL classify grievances into exactly one canonical domain: criminal, civil, family, or property under Indian law.</w:t>
      </w:r>
    </w:p>
    <w:p>
      <w:r>
        <w:rPr>
          <w:b/>
          <w:color w:val="B45309"/>
          <w:sz w:val="19"/>
        </w:rPr>
        <w:t xml:space="preserve">[FR-2.2: Procedural Urgency Estimation] </w:t>
      </w:r>
      <w:r>
        <w:rPr>
          <w:sz w:val="19"/>
        </w:rPr>
        <w:t>The system SHALL assign an urgency rating (low, medium, high, emergency) based on statutory limitation deadlines and arrest risks.</w:t>
      </w:r>
    </w:p>
    <w:p>
      <w:r>
        <w:rPr>
          <w:b/>
          <w:color w:val="B45309"/>
          <w:sz w:val="19"/>
        </w:rPr>
        <w:t xml:space="preserve">[FR-2.3: Strict JSON Schema Contract] </w:t>
      </w:r>
      <w:r>
        <w:rPr>
          <w:sz w:val="19"/>
        </w:rPr>
        <w:t>The AI service SHALL constrain LLM outputs strictly to a valid JSON contract containing domain, urgency, summary, and actions.</w:t>
      </w:r>
    </w:p>
    <w:p>
      <w:r>
        <w:rPr>
          <w:b/>
          <w:color w:val="B45309"/>
          <w:sz w:val="19"/>
        </w:rPr>
        <w:t xml:space="preserve">[FR-2.4: Deterministic Rule Failover] </w:t>
      </w:r>
      <w:r>
        <w:rPr>
          <w:sz w:val="19"/>
        </w:rPr>
        <w:t>If upstream LLM endpoints return HTTP 429 (rate-limit) or HTTP 503 (timeout), the system SHALL route the narrative through local regex heuristics without throwing an HTTP 500 error.</w:t>
      </w:r>
    </w:p>
    <w:p>
      <w:r>
        <w:rPr>
          <w:b/>
          <w:color w:val="B45309"/>
          <w:sz w:val="19"/>
        </w:rPr>
        <w:t xml:space="preserve">[FR-3.1: Algorithmic Advocate Matching] </w:t>
      </w:r>
      <w:r>
        <w:rPr>
          <w:sz w:val="19"/>
        </w:rPr>
        <w:t>The system SHALL query MongoDB for active advocates matching the classified domain and availability, sorted by rating descending.</w:t>
      </w:r>
    </w:p>
    <w:p>
      <w:r>
        <w:rPr>
          <w:b/>
          <w:color w:val="B45309"/>
          <w:sz w:val="19"/>
        </w:rPr>
        <w:t xml:space="preserve">[FR-3.2: Objective Credential Presentation] </w:t>
      </w:r>
      <w:r>
        <w:rPr>
          <w:sz w:val="19"/>
        </w:rPr>
        <w:t>Advocate profiles SHALL display verified years of practice, court practice areas, languages, and Bar Council verification shields in compliance with BCI Rule 36.</w:t>
      </w:r>
    </w:p>
    <w:p>
      <w:r>
        <w:rPr>
          <w:b/>
          <w:color w:val="B45309"/>
          <w:sz w:val="19"/>
        </w:rPr>
        <w:t xml:space="preserve">[FR-4.1: Consultation Scheduling &amp; Escrow] </w:t>
      </w:r>
      <w:r>
        <w:rPr>
          <w:sz w:val="19"/>
        </w:rPr>
        <w:t>Litigants SHALL schedule consultation appointments with server-side Razorpay order generation and HMAC SHA-256 signature verification.</w:t>
      </w:r>
    </w:p>
    <w:p>
      <w:r>
        <w:rPr>
          <w:b/>
          <w:color w:val="B45309"/>
          <w:sz w:val="19"/>
        </w:rPr>
        <w:t xml:space="preserve">[FR-4.2: Automated Regulatory Refund] </w:t>
      </w:r>
      <w:r>
        <w:rPr>
          <w:sz w:val="19"/>
        </w:rPr>
        <w:t>In the event of advocate unavailability or regulatory suspension, the system SHALL trigger an automated refund via Razorpay Refund API.</w:t>
      </w:r>
    </w:p>
    <w:p>
      <w:r>
        <w:rPr>
          <w:b/>
          <w:color w:val="B45309"/>
          <w:sz w:val="19"/>
        </w:rPr>
        <w:t xml:space="preserve">[FR-5.1: Instant Legal SOS Hub] </w:t>
      </w:r>
      <w:r>
        <w:rPr>
          <w:sz w:val="19"/>
        </w:rPr>
        <w:t>The emergency workflow SHALL render direct 1-tap call triggers to 112 (Police), 1091 (Women Helpline), and 15100 (NALSA Free Legal Aid).</w:t>
      </w:r>
    </w:p>
    <w:p>
      <w:r>
        <w:rPr>
          <w:b/>
          <w:color w:val="B45309"/>
          <w:sz w:val="19"/>
        </w:rPr>
        <w:t xml:space="preserve">[FR-5.2: Statutory Arrest Rights Checklist] </w:t>
      </w:r>
      <w:r>
        <w:rPr>
          <w:sz w:val="19"/>
        </w:rPr>
        <w:t>During criminal emergencies, the system SHALL display a verified checklist of rights under Section 35 of the Bharatiya Nagarik Suraksha Sanhita (BNSS) / Section 41 CrPC.</w:t>
      </w:r>
    </w:p>
    <w:p/>
    <w:p>
      <w:pPr>
        <w:pStyle w:val="Heading1"/>
      </w:pPr>
      <w:r>
        <w:rPr>
          <w:color w:val="0C447C"/>
        </w:rPr>
        <w:t>5. Non-Functional Requirements (NFR)</w:t>
      </w:r>
    </w:p>
    <w:p>
      <w:r>
        <w:rPr>
          <w:b/>
          <w:color w:val="0C447C"/>
          <w:sz w:val="19"/>
        </w:rPr>
        <w:t xml:space="preserve">[NFR-PERF-1 (Speech Latency)] </w:t>
      </w:r>
      <w:r>
        <w:rPr>
          <w:sz w:val="19"/>
        </w:rPr>
        <w:t>Interim speech-to-text tokens SHALL render within 200 milliseconds on client devices.</w:t>
      </w:r>
    </w:p>
    <w:p>
      <w:r>
        <w:rPr>
          <w:b/>
          <w:color w:val="0C447C"/>
          <w:sz w:val="19"/>
        </w:rPr>
        <w:t xml:space="preserve">[NFR-PERF-2 (Triage Response Time)] </w:t>
      </w:r>
      <w:r>
        <w:rPr>
          <w:sz w:val="19"/>
        </w:rPr>
        <w:t>End-to-end AI triage processing round-trip SHALL complete within 3.5 seconds under standard broadband connections.</w:t>
      </w:r>
    </w:p>
    <w:p>
      <w:r>
        <w:rPr>
          <w:b/>
          <w:color w:val="0C447C"/>
          <w:sz w:val="19"/>
        </w:rPr>
        <w:t xml:space="preserve">[NFR-REL-1 (Failover Speed)] </w:t>
      </w:r>
      <w:r>
        <w:rPr>
          <w:sz w:val="19"/>
        </w:rPr>
        <w:t>Deterministic regex failover execution SHALL execute within 50 milliseconds upon upstream API timeout detection.</w:t>
      </w:r>
    </w:p>
    <w:p>
      <w:r>
        <w:rPr>
          <w:b/>
          <w:color w:val="0C447C"/>
          <w:sz w:val="19"/>
        </w:rPr>
        <w:t xml:space="preserve">[NFR-SEC-1 (Cryptographic Integrity)] </w:t>
      </w:r>
      <w:r>
        <w:rPr>
          <w:sz w:val="19"/>
        </w:rPr>
        <w:t>All financial transactions SHALL be validated using server-side HMAC SHA-256 signature verification; client-reported payment flags SHALL be rejected.</w:t>
      </w:r>
    </w:p>
    <w:p>
      <w:r>
        <w:rPr>
          <w:b/>
          <w:color w:val="0C447C"/>
          <w:sz w:val="19"/>
        </w:rPr>
        <w:t xml:space="preserve">[NFR-SEC-2 (Data Privacy &amp; DPDP Act)] </w:t>
      </w:r>
      <w:r>
        <w:rPr>
          <w:sz w:val="19"/>
        </w:rPr>
        <w:t>Sensitive case descriptions SHALL remain stored in client LocalStorage; no unencrypted personal litigation narratives SHALL be permanently retained in the database.</w:t>
      </w:r>
    </w:p>
    <w:p>
      <w:r>
        <w:rPr>
          <w:b/>
          <w:color w:val="0C447C"/>
          <w:sz w:val="19"/>
        </w:rPr>
        <w:t xml:space="preserve">[NFR-USA-1 (WCAG 2.1 Accessibility)] </w:t>
      </w:r>
      <w:r>
        <w:rPr>
          <w:sz w:val="19"/>
        </w:rPr>
        <w:t>Every primary legal summary text SHALL have an auditory speech synthesis alternative with a minimum 4.5:1 visual contrast ratio.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