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VAKIL SETU: A VOICE-FIRST BILINGUAL LEGAL TRIAGE</w:t>
        <w:br/>
        <w:t>AND ADVOCATE DISCOVERY PLATFORM</w:t>
      </w:r>
    </w:p>
    <w:p>
      <w:pPr>
        <w:jc w:val="center"/>
      </w:pPr>
      <w:r>
        <w:rPr>
          <w:rFonts w:ascii="Times New Roman" w:hAnsi="Times New Roman"/>
          <w:b/>
          <w:sz w:val="24"/>
        </w:rPr>
        <w:t>A MINI PROJECT SYNOPSIS SUBMITTED</w:t>
        <w:br/>
        <w:t>IN PARTIAL FULFILLMENT OF THE REQUIREMENTS</w:t>
        <w:br/>
        <w:t>FOR THE AWARD OF DEGREE OF</w:t>
        <w:br/>
      </w:r>
      <w:r>
        <w:rPr>
          <w:rFonts w:ascii="Times New Roman" w:hAnsi="Times New Roman"/>
          <w:b/>
          <w:sz w:val="28"/>
        </w:rPr>
        <w:t>BACHELOR OF TECHNOLOGY</w:t>
        <w:br/>
      </w:r>
      <w:r>
        <w:rPr>
          <w:rFonts w:ascii="Times New Roman" w:hAnsi="Times New Roman"/>
          <w:sz w:val="24"/>
        </w:rPr>
        <w:t>In</w:t>
        <w:br/>
      </w:r>
      <w:r>
        <w:rPr>
          <w:rFonts w:ascii="Times New Roman" w:hAnsi="Times New Roman"/>
          <w:b/>
          <w:sz w:val="28"/>
        </w:rPr>
        <w:t>COMPUTER SCIENCE AND ENGINEERING</w:t>
      </w:r>
    </w:p>
    <w:p>
      <w:pPr>
        <w:jc w:val="center"/>
      </w:pPr>
      <w:r>
        <w:drawing>
          <wp:inline xmlns:a="http://schemas.openxmlformats.org/drawingml/2006/main" xmlns:pic="http://schemas.openxmlformats.org/drawingml/2006/picture">
            <wp:extent cx="3474720" cy="1226372"/>
            <wp:docPr id="1" name="Picture 1"/>
            <wp:cNvGraphicFramePr>
              <a:graphicFrameLocks noChangeAspect="1"/>
            </wp:cNvGraphicFramePr>
            <a:graphic>
              <a:graphicData uri="http://schemas.openxmlformats.org/drawingml/2006/picture">
                <pic:pic>
                  <pic:nvPicPr>
                    <pic:cNvPr id="0" name="extracted_p1_img1.png"/>
                    <pic:cNvPicPr/>
                  </pic:nvPicPr>
                  <pic:blipFill>
                    <a:blip r:embed="rId10"/>
                    <a:stretch>
                      <a:fillRect/>
                    </a:stretch>
                  </pic:blipFill>
                  <pic:spPr>
                    <a:xfrm>
                      <a:off x="0" y="0"/>
                      <a:ext cx="3474720" cy="1226372"/>
                    </a:xfrm>
                    <a:prstGeom prst="rect"/>
                  </pic:spPr>
                </pic:pic>
              </a:graphicData>
            </a:graphic>
          </wp:inline>
        </w:drawing>
      </w:r>
    </w:p>
    <w:p>
      <w:pPr>
        <w:jc w:val="center"/>
      </w:pPr>
      <w:r>
        <w:rPr>
          <w:rFonts w:ascii="Times New Roman" w:hAnsi="Times New Roman"/>
          <w:b/>
          <w:sz w:val="22"/>
        </w:rPr>
        <w:t>SUBMITTED BY</w:t>
        <w:br/>
      </w:r>
      <w:r>
        <w:rPr>
          <w:rFonts w:ascii="Times New Roman" w:hAnsi="Times New Roman"/>
          <w:b/>
          <w:sz w:val="26"/>
        </w:rPr>
        <w:t>Summar Kumar</w:t>
        <w:br/>
      </w:r>
      <w:r>
        <w:rPr>
          <w:rFonts w:ascii="Times New Roman" w:hAnsi="Times New Roman"/>
          <w:sz w:val="22"/>
        </w:rPr>
        <w:t>Roll Number: 2023a1r033</w:t>
        <w:br/>
        <w:br/>
      </w:r>
      <w:r>
        <w:rPr>
          <w:rFonts w:ascii="Times New Roman" w:hAnsi="Times New Roman"/>
          <w:b/>
          <w:sz w:val="26"/>
        </w:rPr>
        <w:t>[Teammate Name]</w:t>
        <w:br/>
      </w:r>
      <w:r>
        <w:rPr>
          <w:rFonts w:ascii="Times New Roman" w:hAnsi="Times New Roman"/>
          <w:sz w:val="22"/>
        </w:rPr>
        <w:t>Roll Number: [Roll Number]</w:t>
      </w:r>
    </w:p>
    <w:p>
      <w:pPr>
        <w:jc w:val="center"/>
      </w:pPr>
      <w:r>
        <w:rPr>
          <w:rFonts w:ascii="Times New Roman" w:hAnsi="Times New Roman"/>
          <w:b/>
          <w:sz w:val="24"/>
        </w:rPr>
        <w:t>SUBMITTED TO</w:t>
        <w:br/>
      </w:r>
      <w:r>
        <w:rPr>
          <w:rFonts w:ascii="Times New Roman" w:hAnsi="Times New Roman"/>
          <w:b/>
          <w:sz w:val="26"/>
        </w:rPr>
        <w:t>Department of Computer Science and Engineering</w:t>
        <w:br/>
      </w:r>
      <w:r>
        <w:rPr>
          <w:rFonts w:ascii="Times New Roman" w:hAnsi="Times New Roman"/>
          <w:b/>
          <w:sz w:val="24"/>
        </w:rPr>
        <w:t>Model Institute of Engineering and Technology (Autonomous)</w:t>
        <w:br/>
      </w:r>
      <w:r>
        <w:rPr>
          <w:rFonts w:ascii="Times New Roman" w:hAnsi="Times New Roman"/>
          <w:sz w:val="24"/>
        </w:rPr>
        <w:t>Jammu, India</w:t>
        <w:br/>
      </w:r>
      <w:r>
        <w:rPr>
          <w:rFonts w:ascii="Times New Roman" w:hAnsi="Times New Roman"/>
          <w:b/>
          <w:sz w:val="24"/>
        </w:rPr>
        <w:t>2026</w:t>
      </w:r>
    </w:p>
    <w:p>
      <w:r>
        <w:br w:type="page"/>
      </w:r>
    </w:p>
    <w:p>
      <w:pPr>
        <w:jc w:val="center"/>
      </w:pPr>
      <w:r>
        <w:rPr>
          <w:rFonts w:ascii="Times New Roman" w:hAnsi="Times New Roman"/>
          <w:b/>
          <w:sz w:val="32"/>
        </w:rPr>
        <w:t>CONTENTS OF SYNOPSIS</w:t>
      </w:r>
    </w:p>
    <w:tbl>
      <w:tblPr>
        <w:tblW w:type="auto" w:w="0"/>
        <w:jc w:val="center"/>
        <w:tblLook w:firstColumn="1" w:firstRow="1" w:lastColumn="0" w:lastRow="0" w:noHBand="0" w:noVBand="1" w:val="04A0"/>
      </w:tblPr>
      <w:tblGrid>
        <w:gridCol w:w="3250"/>
        <w:gridCol w:w="3250"/>
        <w:gridCol w:w="3250"/>
      </w:tblGrid>
      <w:tr>
        <w:tc>
          <w:tcPr>
            <w:tcW w:type="dxa" w:w="3250"/>
            <w:shd w:fill="F1F5F9"/>
            <w:tcMar>
              <w:top w:w="60" w:type="dxa"/>
              <w:bottom w:w="60" w:type="dxa"/>
              <w:left w:w="80" w:type="dxa"/>
              <w:right w:w="80" w:type="dxa"/>
            </w:tcMar>
          </w:tcPr>
          <w:p>
            <w:r>
              <w:rPr>
                <w:rFonts w:ascii="Times New Roman" w:hAnsi="Times New Roman"/>
                <w:b/>
                <w:sz w:val="22"/>
              </w:rPr>
              <w:t>S. No</w:t>
            </w:r>
          </w:p>
        </w:tc>
        <w:tc>
          <w:tcPr>
            <w:tcW w:type="dxa" w:w="3250"/>
            <w:shd w:fill="F1F5F9"/>
            <w:tcMar>
              <w:top w:w="60" w:type="dxa"/>
              <w:bottom w:w="60" w:type="dxa"/>
              <w:left w:w="80" w:type="dxa"/>
              <w:right w:w="80" w:type="dxa"/>
            </w:tcMar>
          </w:tcPr>
          <w:p>
            <w:r>
              <w:rPr>
                <w:rFonts w:ascii="Times New Roman" w:hAnsi="Times New Roman"/>
                <w:b/>
                <w:sz w:val="22"/>
              </w:rPr>
              <w:t>Topic</w:t>
            </w:r>
          </w:p>
        </w:tc>
        <w:tc>
          <w:tcPr>
            <w:tcW w:type="dxa" w:w="3250"/>
            <w:shd w:fill="F1F5F9"/>
            <w:tcMar>
              <w:top w:w="60" w:type="dxa"/>
              <w:bottom w:w="60" w:type="dxa"/>
              <w:left w:w="80" w:type="dxa"/>
              <w:right w:w="80" w:type="dxa"/>
            </w:tcMar>
          </w:tcPr>
          <w:p>
            <w:r>
              <w:rPr>
                <w:rFonts w:ascii="Times New Roman" w:hAnsi="Times New Roman"/>
                <w:b/>
                <w:sz w:val="22"/>
              </w:rPr>
              <w:t>Page No</w:t>
            </w:r>
          </w:p>
        </w:tc>
      </w:tr>
      <w:tr>
        <w:tc>
          <w:tcPr>
            <w:tcW w:type="dxa" w:w="3250"/>
            <w:tcMar>
              <w:top w:w="40" w:type="dxa"/>
              <w:bottom w:w="40" w:type="dxa"/>
              <w:left w:w="60" w:type="dxa"/>
              <w:right w:w="60" w:type="dxa"/>
            </w:tcMar>
          </w:tcPr>
          <w:p>
            <w:r>
              <w:rPr>
                <w:rFonts w:ascii="Times New Roman" w:hAnsi="Times New Roman"/>
                <w:sz w:val="20"/>
              </w:rPr>
              <w:t>1</w:t>
            </w:r>
          </w:p>
        </w:tc>
        <w:tc>
          <w:tcPr>
            <w:tcW w:type="dxa" w:w="3250"/>
            <w:tcMar>
              <w:top w:w="40" w:type="dxa"/>
              <w:bottom w:w="40" w:type="dxa"/>
              <w:left w:w="60" w:type="dxa"/>
              <w:right w:w="60" w:type="dxa"/>
            </w:tcMar>
          </w:tcPr>
          <w:p>
            <w:r>
              <w:rPr>
                <w:rFonts w:ascii="Times New Roman" w:hAnsi="Times New Roman"/>
                <w:sz w:val="20"/>
              </w:rPr>
              <w:t>Project Overview</w:t>
            </w:r>
          </w:p>
        </w:tc>
        <w:tc>
          <w:tcPr>
            <w:tcW w:type="dxa" w:w="3250"/>
            <w:tcMar>
              <w:top w:w="40" w:type="dxa"/>
              <w:bottom w:w="40" w:type="dxa"/>
              <w:left w:w="60" w:type="dxa"/>
              <w:right w:w="60" w:type="dxa"/>
            </w:tcMar>
          </w:tcPr>
          <w:p>
            <w:r>
              <w:rPr>
                <w:rFonts w:ascii="Times New Roman" w:hAnsi="Times New Roman"/>
                <w:sz w:val="20"/>
              </w:rPr>
              <w:t>3</w:t>
            </w:r>
          </w:p>
        </w:tc>
      </w:tr>
      <w:tr>
        <w:tc>
          <w:tcPr>
            <w:tcW w:type="dxa" w:w="3250"/>
            <w:tcMar>
              <w:top w:w="40" w:type="dxa"/>
              <w:bottom w:w="40" w:type="dxa"/>
              <w:left w:w="60" w:type="dxa"/>
              <w:right w:w="60" w:type="dxa"/>
            </w:tcMar>
          </w:tcPr>
          <w:p>
            <w:r>
              <w:rPr>
                <w:rFonts w:ascii="Times New Roman" w:hAnsi="Times New Roman"/>
                <w:sz w:val="20"/>
              </w:rPr>
              <w:t>2</w:t>
            </w:r>
          </w:p>
        </w:tc>
        <w:tc>
          <w:tcPr>
            <w:tcW w:type="dxa" w:w="3250"/>
            <w:tcMar>
              <w:top w:w="40" w:type="dxa"/>
              <w:bottom w:w="40" w:type="dxa"/>
              <w:left w:w="60" w:type="dxa"/>
              <w:right w:w="60" w:type="dxa"/>
            </w:tcMar>
          </w:tcPr>
          <w:p>
            <w:r>
              <w:rPr>
                <w:rFonts w:ascii="Times New Roman" w:hAnsi="Times New Roman"/>
                <w:sz w:val="20"/>
              </w:rPr>
              <w:t>Problem Statement</w:t>
            </w:r>
          </w:p>
        </w:tc>
        <w:tc>
          <w:tcPr>
            <w:tcW w:type="dxa" w:w="3250"/>
            <w:tcMar>
              <w:top w:w="40" w:type="dxa"/>
              <w:bottom w:w="40" w:type="dxa"/>
              <w:left w:w="60" w:type="dxa"/>
              <w:right w:w="60" w:type="dxa"/>
            </w:tcMar>
          </w:tcPr>
          <w:p>
            <w:r>
              <w:rPr>
                <w:rFonts w:ascii="Times New Roman" w:hAnsi="Times New Roman"/>
                <w:sz w:val="20"/>
              </w:rPr>
              <w:t>4</w:t>
            </w:r>
          </w:p>
        </w:tc>
      </w:tr>
      <w:tr>
        <w:tc>
          <w:tcPr>
            <w:tcW w:type="dxa" w:w="3250"/>
            <w:tcMar>
              <w:top w:w="40" w:type="dxa"/>
              <w:bottom w:w="40" w:type="dxa"/>
              <w:left w:w="60" w:type="dxa"/>
              <w:right w:w="60" w:type="dxa"/>
            </w:tcMar>
          </w:tcPr>
          <w:p>
            <w:r>
              <w:rPr>
                <w:rFonts w:ascii="Times New Roman" w:hAnsi="Times New Roman"/>
                <w:sz w:val="20"/>
              </w:rPr>
              <w:t>3</w:t>
            </w:r>
          </w:p>
        </w:tc>
        <w:tc>
          <w:tcPr>
            <w:tcW w:type="dxa" w:w="3250"/>
            <w:tcMar>
              <w:top w:w="40" w:type="dxa"/>
              <w:bottom w:w="40" w:type="dxa"/>
              <w:left w:w="60" w:type="dxa"/>
              <w:right w:w="60" w:type="dxa"/>
            </w:tcMar>
          </w:tcPr>
          <w:p>
            <w:r>
              <w:rPr>
                <w:rFonts w:ascii="Times New Roman" w:hAnsi="Times New Roman"/>
                <w:sz w:val="20"/>
              </w:rPr>
              <w:t>Objectives of the Project</w:t>
            </w:r>
          </w:p>
        </w:tc>
        <w:tc>
          <w:tcPr>
            <w:tcW w:type="dxa" w:w="3250"/>
            <w:tcMar>
              <w:top w:w="40" w:type="dxa"/>
              <w:bottom w:w="40" w:type="dxa"/>
              <w:left w:w="60" w:type="dxa"/>
              <w:right w:w="60" w:type="dxa"/>
            </w:tcMar>
          </w:tcPr>
          <w:p>
            <w:r>
              <w:rPr>
                <w:rFonts w:ascii="Times New Roman" w:hAnsi="Times New Roman"/>
                <w:sz w:val="20"/>
              </w:rPr>
              <w:t>5</w:t>
            </w:r>
          </w:p>
        </w:tc>
      </w:tr>
      <w:tr>
        <w:tc>
          <w:tcPr>
            <w:tcW w:type="dxa" w:w="3250"/>
            <w:tcMar>
              <w:top w:w="40" w:type="dxa"/>
              <w:bottom w:w="40" w:type="dxa"/>
              <w:left w:w="60" w:type="dxa"/>
              <w:right w:w="60" w:type="dxa"/>
            </w:tcMar>
          </w:tcPr>
          <w:p>
            <w:r>
              <w:rPr>
                <w:rFonts w:ascii="Times New Roman" w:hAnsi="Times New Roman"/>
                <w:sz w:val="20"/>
              </w:rPr>
              <w:t>4</w:t>
            </w:r>
          </w:p>
        </w:tc>
        <w:tc>
          <w:tcPr>
            <w:tcW w:type="dxa" w:w="3250"/>
            <w:tcMar>
              <w:top w:w="40" w:type="dxa"/>
              <w:bottom w:w="40" w:type="dxa"/>
              <w:left w:w="60" w:type="dxa"/>
              <w:right w:w="60" w:type="dxa"/>
            </w:tcMar>
          </w:tcPr>
          <w:p>
            <w:r>
              <w:rPr>
                <w:rFonts w:ascii="Times New Roman" w:hAnsi="Times New Roman"/>
                <w:sz w:val="20"/>
              </w:rPr>
              <w:t>Proposed Solution / Methodology</w:t>
            </w:r>
          </w:p>
        </w:tc>
        <w:tc>
          <w:tcPr>
            <w:tcW w:type="dxa" w:w="3250"/>
            <w:tcMar>
              <w:top w:w="40" w:type="dxa"/>
              <w:bottom w:w="40" w:type="dxa"/>
              <w:left w:w="60" w:type="dxa"/>
              <w:right w:w="60" w:type="dxa"/>
            </w:tcMar>
          </w:tcPr>
          <w:p>
            <w:r>
              <w:rPr>
                <w:rFonts w:ascii="Times New Roman" w:hAnsi="Times New Roman"/>
                <w:sz w:val="20"/>
              </w:rPr>
              <w:t>6</w:t>
            </w:r>
          </w:p>
        </w:tc>
      </w:tr>
      <w:tr>
        <w:tc>
          <w:tcPr>
            <w:tcW w:type="dxa" w:w="3250"/>
            <w:tcMar>
              <w:top w:w="40" w:type="dxa"/>
              <w:bottom w:w="40" w:type="dxa"/>
              <w:left w:w="60" w:type="dxa"/>
              <w:right w:w="60" w:type="dxa"/>
            </w:tcMar>
          </w:tcPr>
          <w:p>
            <w:r>
              <w:rPr>
                <w:rFonts w:ascii="Times New Roman" w:hAnsi="Times New Roman"/>
                <w:sz w:val="20"/>
              </w:rPr>
              <w:t>5</w:t>
            </w:r>
          </w:p>
        </w:tc>
        <w:tc>
          <w:tcPr>
            <w:tcW w:type="dxa" w:w="3250"/>
            <w:tcMar>
              <w:top w:w="40" w:type="dxa"/>
              <w:bottom w:w="40" w:type="dxa"/>
              <w:left w:w="60" w:type="dxa"/>
              <w:right w:w="60" w:type="dxa"/>
            </w:tcMar>
          </w:tcPr>
          <w:p>
            <w:r>
              <w:rPr>
                <w:rFonts w:ascii="Times New Roman" w:hAnsi="Times New Roman"/>
                <w:sz w:val="20"/>
              </w:rPr>
              <w:t>Key Technologies and Tools</w:t>
            </w:r>
          </w:p>
        </w:tc>
        <w:tc>
          <w:tcPr>
            <w:tcW w:type="dxa" w:w="3250"/>
            <w:tcMar>
              <w:top w:w="40" w:type="dxa"/>
              <w:bottom w:w="40" w:type="dxa"/>
              <w:left w:w="60" w:type="dxa"/>
              <w:right w:w="60" w:type="dxa"/>
            </w:tcMar>
          </w:tcPr>
          <w:p>
            <w:r>
              <w:rPr>
                <w:rFonts w:ascii="Times New Roman" w:hAnsi="Times New Roman"/>
                <w:sz w:val="20"/>
              </w:rPr>
              <w:t>7</w:t>
            </w:r>
          </w:p>
        </w:tc>
      </w:tr>
      <w:tr>
        <w:tc>
          <w:tcPr>
            <w:tcW w:type="dxa" w:w="3250"/>
            <w:tcMar>
              <w:top w:w="40" w:type="dxa"/>
              <w:bottom w:w="40" w:type="dxa"/>
              <w:left w:w="60" w:type="dxa"/>
              <w:right w:w="60" w:type="dxa"/>
            </w:tcMar>
          </w:tcPr>
          <w:p>
            <w:r>
              <w:rPr>
                <w:rFonts w:ascii="Times New Roman" w:hAnsi="Times New Roman"/>
                <w:sz w:val="20"/>
              </w:rPr>
              <w:t>6</w:t>
            </w:r>
          </w:p>
        </w:tc>
        <w:tc>
          <w:tcPr>
            <w:tcW w:type="dxa" w:w="3250"/>
            <w:tcMar>
              <w:top w:w="40" w:type="dxa"/>
              <w:bottom w:w="40" w:type="dxa"/>
              <w:left w:w="60" w:type="dxa"/>
              <w:right w:w="60" w:type="dxa"/>
            </w:tcMar>
          </w:tcPr>
          <w:p>
            <w:r>
              <w:rPr>
                <w:rFonts w:ascii="Times New Roman" w:hAnsi="Times New Roman"/>
                <w:sz w:val="20"/>
              </w:rPr>
              <w:t>V.E.T.S Justification</w:t>
            </w:r>
          </w:p>
        </w:tc>
        <w:tc>
          <w:tcPr>
            <w:tcW w:type="dxa" w:w="3250"/>
            <w:tcMar>
              <w:top w:w="40" w:type="dxa"/>
              <w:bottom w:w="40" w:type="dxa"/>
              <w:left w:w="60" w:type="dxa"/>
              <w:right w:w="60" w:type="dxa"/>
            </w:tcMar>
          </w:tcPr>
          <w:p>
            <w:r>
              <w:rPr>
                <w:rFonts w:ascii="Times New Roman" w:hAnsi="Times New Roman"/>
                <w:sz w:val="20"/>
              </w:rPr>
              <w:t>8</w:t>
            </w:r>
          </w:p>
        </w:tc>
      </w:tr>
      <w:tr>
        <w:tc>
          <w:tcPr>
            <w:tcW w:type="dxa" w:w="3250"/>
            <w:tcMar>
              <w:top w:w="40" w:type="dxa"/>
              <w:bottom w:w="40" w:type="dxa"/>
              <w:left w:w="60" w:type="dxa"/>
              <w:right w:w="60" w:type="dxa"/>
            </w:tcMar>
          </w:tcPr>
          <w:p>
            <w:r>
              <w:rPr>
                <w:rFonts w:ascii="Times New Roman" w:hAnsi="Times New Roman"/>
                <w:sz w:val="20"/>
              </w:rPr>
              <w:t>7</w:t>
            </w:r>
          </w:p>
        </w:tc>
        <w:tc>
          <w:tcPr>
            <w:tcW w:type="dxa" w:w="3250"/>
            <w:tcMar>
              <w:top w:w="40" w:type="dxa"/>
              <w:bottom w:w="40" w:type="dxa"/>
              <w:left w:w="60" w:type="dxa"/>
              <w:right w:w="60" w:type="dxa"/>
            </w:tcMar>
          </w:tcPr>
          <w:p>
            <w:r>
              <w:rPr>
                <w:rFonts w:ascii="Times New Roman" w:hAnsi="Times New Roman"/>
                <w:sz w:val="20"/>
              </w:rPr>
              <w:t>Expected Outcomes</w:t>
            </w:r>
          </w:p>
        </w:tc>
        <w:tc>
          <w:tcPr>
            <w:tcW w:type="dxa" w:w="3250"/>
            <w:tcMar>
              <w:top w:w="40" w:type="dxa"/>
              <w:bottom w:w="40" w:type="dxa"/>
              <w:left w:w="60" w:type="dxa"/>
              <w:right w:w="60" w:type="dxa"/>
            </w:tcMar>
          </w:tcPr>
          <w:p>
            <w:r>
              <w:rPr>
                <w:rFonts w:ascii="Times New Roman" w:hAnsi="Times New Roman"/>
                <w:sz w:val="20"/>
              </w:rPr>
              <w:t>9</w:t>
            </w:r>
          </w:p>
        </w:tc>
      </w:tr>
      <w:tr>
        <w:tc>
          <w:tcPr>
            <w:tcW w:type="dxa" w:w="3250"/>
            <w:tcMar>
              <w:top w:w="40" w:type="dxa"/>
              <w:bottom w:w="40" w:type="dxa"/>
              <w:left w:w="60" w:type="dxa"/>
              <w:right w:w="60" w:type="dxa"/>
            </w:tcMar>
          </w:tcPr>
          <w:p>
            <w:r>
              <w:rPr>
                <w:rFonts w:ascii="Times New Roman" w:hAnsi="Times New Roman"/>
                <w:sz w:val="20"/>
              </w:rPr>
              <w:t>8</w:t>
            </w:r>
          </w:p>
        </w:tc>
        <w:tc>
          <w:tcPr>
            <w:tcW w:type="dxa" w:w="3250"/>
            <w:tcMar>
              <w:top w:w="40" w:type="dxa"/>
              <w:bottom w:w="40" w:type="dxa"/>
              <w:left w:w="60" w:type="dxa"/>
              <w:right w:w="60" w:type="dxa"/>
            </w:tcMar>
          </w:tcPr>
          <w:p>
            <w:r>
              <w:rPr>
                <w:rFonts w:ascii="Times New Roman" w:hAnsi="Times New Roman"/>
                <w:sz w:val="20"/>
              </w:rPr>
              <w:t>Implementation Timeline</w:t>
            </w:r>
          </w:p>
        </w:tc>
        <w:tc>
          <w:tcPr>
            <w:tcW w:type="dxa" w:w="3250"/>
            <w:tcMar>
              <w:top w:w="40" w:type="dxa"/>
              <w:bottom w:w="40" w:type="dxa"/>
              <w:left w:w="60" w:type="dxa"/>
              <w:right w:w="60" w:type="dxa"/>
            </w:tcMar>
          </w:tcPr>
          <w:p>
            <w:r>
              <w:rPr>
                <w:rFonts w:ascii="Times New Roman" w:hAnsi="Times New Roman"/>
                <w:sz w:val="20"/>
              </w:rPr>
              <w:t>10</w:t>
            </w:r>
          </w:p>
        </w:tc>
      </w:tr>
      <w:tr>
        <w:tc>
          <w:tcPr>
            <w:tcW w:type="dxa" w:w="3250"/>
            <w:tcMar>
              <w:top w:w="40" w:type="dxa"/>
              <w:bottom w:w="40" w:type="dxa"/>
              <w:left w:w="60" w:type="dxa"/>
              <w:right w:w="60" w:type="dxa"/>
            </w:tcMar>
          </w:tcPr>
          <w:p>
            <w:r>
              <w:rPr>
                <w:rFonts w:ascii="Times New Roman" w:hAnsi="Times New Roman"/>
                <w:sz w:val="20"/>
              </w:rPr>
              <w:t>9</w:t>
            </w:r>
          </w:p>
        </w:tc>
        <w:tc>
          <w:tcPr>
            <w:tcW w:type="dxa" w:w="3250"/>
            <w:tcMar>
              <w:top w:w="40" w:type="dxa"/>
              <w:bottom w:w="40" w:type="dxa"/>
              <w:left w:w="60" w:type="dxa"/>
              <w:right w:w="60" w:type="dxa"/>
            </w:tcMar>
          </w:tcPr>
          <w:p>
            <w:r>
              <w:rPr>
                <w:rFonts w:ascii="Times New Roman" w:hAnsi="Times New Roman"/>
                <w:sz w:val="20"/>
              </w:rPr>
              <w:t>References</w:t>
            </w:r>
          </w:p>
        </w:tc>
        <w:tc>
          <w:tcPr>
            <w:tcW w:type="dxa" w:w="3250"/>
            <w:tcMar>
              <w:top w:w="40" w:type="dxa"/>
              <w:bottom w:w="40" w:type="dxa"/>
              <w:left w:w="60" w:type="dxa"/>
              <w:right w:w="60" w:type="dxa"/>
            </w:tcMar>
          </w:tcPr>
          <w:p>
            <w:r>
              <w:rPr>
                <w:rFonts w:ascii="Times New Roman" w:hAnsi="Times New Roman"/>
                <w:sz w:val="20"/>
              </w:rPr>
              <w:t>11</w:t>
            </w:r>
          </w:p>
        </w:tc>
      </w:tr>
    </w:tbl>
    <w:p>
      <w:r>
        <w:rPr>
          <w:rFonts w:ascii="Times New Roman" w:hAnsi="Times New Roman"/>
          <w:b/>
          <w:sz w:val="26"/>
        </w:rPr>
        <w:t>Key Technical Abbreviations &amp; Nomenclature</w:t>
      </w:r>
    </w:p>
    <w:tbl>
      <w:tblPr>
        <w:tblW w:type="auto" w:w="0"/>
        <w:jc w:val="center"/>
        <w:tblLook w:firstColumn="1" w:firstRow="1" w:lastColumn="0" w:lastRow="0" w:noHBand="0" w:noVBand="1" w:val="04A0"/>
      </w:tblPr>
      <w:tblGrid>
        <w:gridCol w:w="4874"/>
        <w:gridCol w:w="4874"/>
      </w:tblGrid>
      <w:tr>
        <w:tc>
          <w:tcPr>
            <w:tcW w:type="dxa" w:w="4874"/>
            <w:shd w:fill="F1F5F9"/>
            <w:tcMar>
              <w:top w:w="60" w:type="dxa"/>
              <w:bottom w:w="60" w:type="dxa"/>
              <w:left w:w="80" w:type="dxa"/>
              <w:right w:w="80" w:type="dxa"/>
            </w:tcMar>
          </w:tcPr>
          <w:p>
            <w:r>
              <w:rPr>
                <w:rFonts w:ascii="Times New Roman" w:hAnsi="Times New Roman"/>
                <w:b/>
                <w:sz w:val="22"/>
              </w:rPr>
              <w:t>Acronym</w:t>
            </w:r>
          </w:p>
        </w:tc>
        <w:tc>
          <w:tcPr>
            <w:tcW w:type="dxa" w:w="4874"/>
            <w:shd w:fill="F1F5F9"/>
            <w:tcMar>
              <w:top w:w="60" w:type="dxa"/>
              <w:bottom w:w="60" w:type="dxa"/>
              <w:left w:w="80" w:type="dxa"/>
              <w:right w:w="80" w:type="dxa"/>
            </w:tcMar>
          </w:tcPr>
          <w:p>
            <w:r>
              <w:rPr>
                <w:rFonts w:ascii="Times New Roman" w:hAnsi="Times New Roman"/>
                <w:b/>
                <w:sz w:val="22"/>
              </w:rPr>
              <w:t>Definition and Systems Scope</w:t>
            </w:r>
          </w:p>
        </w:tc>
      </w:tr>
      <w:tr>
        <w:tc>
          <w:tcPr>
            <w:tcW w:type="dxa" w:w="4874"/>
            <w:tcMar>
              <w:top w:w="40" w:type="dxa"/>
              <w:bottom w:w="40" w:type="dxa"/>
              <w:left w:w="60" w:type="dxa"/>
              <w:right w:w="60" w:type="dxa"/>
            </w:tcMar>
          </w:tcPr>
          <w:p>
            <w:r>
              <w:rPr>
                <w:rFonts w:ascii="Times New Roman" w:hAnsi="Times New Roman"/>
                <w:b/>
                <w:sz w:val="19"/>
              </w:rPr>
              <w:t>LLM</w:t>
            </w:r>
          </w:p>
        </w:tc>
        <w:tc>
          <w:tcPr>
            <w:tcW w:type="dxa" w:w="4874"/>
            <w:tcMar>
              <w:top w:w="40" w:type="dxa"/>
              <w:bottom w:w="40" w:type="dxa"/>
              <w:left w:w="60" w:type="dxa"/>
              <w:right w:w="60" w:type="dxa"/>
            </w:tcMar>
          </w:tcPr>
          <w:p>
            <w:r>
              <w:rPr>
                <w:rFonts w:ascii="Times New Roman" w:hAnsi="Times New Roman"/>
                <w:sz w:val="19"/>
              </w:rPr>
              <w:t>Large Language Model (e.g., Gemini 2.0 Flash, Claude Sonnet 3.7, GPT-4o)</w:t>
            </w:r>
          </w:p>
        </w:tc>
      </w:tr>
      <w:tr>
        <w:tc>
          <w:tcPr>
            <w:tcW w:type="dxa" w:w="4874"/>
            <w:tcMar>
              <w:top w:w="40" w:type="dxa"/>
              <w:bottom w:w="40" w:type="dxa"/>
              <w:left w:w="60" w:type="dxa"/>
              <w:right w:w="60" w:type="dxa"/>
            </w:tcMar>
          </w:tcPr>
          <w:p>
            <w:r>
              <w:rPr>
                <w:rFonts w:ascii="Times New Roman" w:hAnsi="Times New Roman"/>
                <w:b/>
                <w:sz w:val="19"/>
              </w:rPr>
              <w:t>STT</w:t>
            </w:r>
          </w:p>
        </w:tc>
        <w:tc>
          <w:tcPr>
            <w:tcW w:type="dxa" w:w="4874"/>
            <w:tcMar>
              <w:top w:w="40" w:type="dxa"/>
              <w:bottom w:w="40" w:type="dxa"/>
              <w:left w:w="60" w:type="dxa"/>
              <w:right w:w="60" w:type="dxa"/>
            </w:tcMar>
          </w:tcPr>
          <w:p>
            <w:r>
              <w:rPr>
                <w:rFonts w:ascii="Times New Roman" w:hAnsi="Times New Roman"/>
                <w:sz w:val="19"/>
              </w:rPr>
              <w:t>Speech-to-Text; browser-native speech recognition via W3C Web Speech API</w:t>
            </w:r>
          </w:p>
        </w:tc>
      </w:tr>
      <w:tr>
        <w:tc>
          <w:tcPr>
            <w:tcW w:type="dxa" w:w="4874"/>
            <w:tcMar>
              <w:top w:w="40" w:type="dxa"/>
              <w:bottom w:w="40" w:type="dxa"/>
              <w:left w:w="60" w:type="dxa"/>
              <w:right w:w="60" w:type="dxa"/>
            </w:tcMar>
          </w:tcPr>
          <w:p>
            <w:r>
              <w:rPr>
                <w:rFonts w:ascii="Times New Roman" w:hAnsi="Times New Roman"/>
                <w:b/>
                <w:sz w:val="19"/>
              </w:rPr>
              <w:t>TTS</w:t>
            </w:r>
          </w:p>
        </w:tc>
        <w:tc>
          <w:tcPr>
            <w:tcW w:type="dxa" w:w="4874"/>
            <w:tcMar>
              <w:top w:w="40" w:type="dxa"/>
              <w:bottom w:w="40" w:type="dxa"/>
              <w:left w:w="60" w:type="dxa"/>
              <w:right w:w="60" w:type="dxa"/>
            </w:tcMar>
          </w:tcPr>
          <w:p>
            <w:r>
              <w:rPr>
                <w:rFonts w:ascii="Times New Roman" w:hAnsi="Times New Roman"/>
                <w:sz w:val="19"/>
              </w:rPr>
              <w:t>Text-to-Speech; speech synthesis vocalizing legal summaries in Devanagari/English</w:t>
            </w:r>
          </w:p>
        </w:tc>
      </w:tr>
      <w:tr>
        <w:tc>
          <w:tcPr>
            <w:tcW w:type="dxa" w:w="4874"/>
            <w:tcMar>
              <w:top w:w="40" w:type="dxa"/>
              <w:bottom w:w="40" w:type="dxa"/>
              <w:left w:w="60" w:type="dxa"/>
              <w:right w:w="60" w:type="dxa"/>
            </w:tcMar>
          </w:tcPr>
          <w:p>
            <w:r>
              <w:rPr>
                <w:rFonts w:ascii="Times New Roman" w:hAnsi="Times New Roman"/>
                <w:b/>
                <w:sz w:val="19"/>
              </w:rPr>
              <w:t>BNS</w:t>
            </w:r>
          </w:p>
        </w:tc>
        <w:tc>
          <w:tcPr>
            <w:tcW w:type="dxa" w:w="4874"/>
            <w:tcMar>
              <w:top w:w="40" w:type="dxa"/>
              <w:bottom w:w="40" w:type="dxa"/>
              <w:left w:w="60" w:type="dxa"/>
              <w:right w:w="60" w:type="dxa"/>
            </w:tcMar>
          </w:tcPr>
          <w:p>
            <w:r>
              <w:rPr>
                <w:rFonts w:ascii="Times New Roman" w:hAnsi="Times New Roman"/>
                <w:sz w:val="19"/>
              </w:rPr>
              <w:t>Bharatiya Nyaya Sanhita, 2023; modern Indian criminal penal code succeeding IPC</w:t>
            </w:r>
          </w:p>
        </w:tc>
      </w:tr>
      <w:tr>
        <w:tc>
          <w:tcPr>
            <w:tcW w:type="dxa" w:w="4874"/>
            <w:tcMar>
              <w:top w:w="40" w:type="dxa"/>
              <w:bottom w:w="40" w:type="dxa"/>
              <w:left w:w="60" w:type="dxa"/>
              <w:right w:w="60" w:type="dxa"/>
            </w:tcMar>
          </w:tcPr>
          <w:p>
            <w:r>
              <w:rPr>
                <w:rFonts w:ascii="Times New Roman" w:hAnsi="Times New Roman"/>
                <w:b/>
                <w:sz w:val="19"/>
              </w:rPr>
              <w:t>BNSS</w:t>
            </w:r>
          </w:p>
        </w:tc>
        <w:tc>
          <w:tcPr>
            <w:tcW w:type="dxa" w:w="4874"/>
            <w:tcMar>
              <w:top w:w="40" w:type="dxa"/>
              <w:bottom w:w="40" w:type="dxa"/>
              <w:left w:w="60" w:type="dxa"/>
              <w:right w:w="60" w:type="dxa"/>
            </w:tcMar>
          </w:tcPr>
          <w:p>
            <w:r>
              <w:rPr>
                <w:rFonts w:ascii="Times New Roman" w:hAnsi="Times New Roman"/>
                <w:sz w:val="19"/>
              </w:rPr>
              <w:t>Bharatiya Nagarik Suraksha Sanhita, 2023; procedural criminal code succeeding CrPC</w:t>
            </w:r>
          </w:p>
        </w:tc>
      </w:tr>
      <w:tr>
        <w:tc>
          <w:tcPr>
            <w:tcW w:type="dxa" w:w="4874"/>
            <w:tcMar>
              <w:top w:w="40" w:type="dxa"/>
              <w:bottom w:w="40" w:type="dxa"/>
              <w:left w:w="60" w:type="dxa"/>
              <w:right w:w="60" w:type="dxa"/>
            </w:tcMar>
          </w:tcPr>
          <w:p>
            <w:r>
              <w:rPr>
                <w:rFonts w:ascii="Times New Roman" w:hAnsi="Times New Roman"/>
                <w:b/>
                <w:sz w:val="19"/>
              </w:rPr>
              <w:t>CPC</w:t>
            </w:r>
          </w:p>
        </w:tc>
        <w:tc>
          <w:tcPr>
            <w:tcW w:type="dxa" w:w="4874"/>
            <w:tcMar>
              <w:top w:w="40" w:type="dxa"/>
              <w:bottom w:w="40" w:type="dxa"/>
              <w:left w:w="60" w:type="dxa"/>
              <w:right w:w="60" w:type="dxa"/>
            </w:tcMar>
          </w:tcPr>
          <w:p>
            <w:r>
              <w:rPr>
                <w:rFonts w:ascii="Times New Roman" w:hAnsi="Times New Roman"/>
                <w:sz w:val="19"/>
              </w:rPr>
              <w:t>Code of Civil Procedure, 1908; statutory framework governing civil litigation in India</w:t>
            </w:r>
          </w:p>
        </w:tc>
      </w:tr>
      <w:tr>
        <w:tc>
          <w:tcPr>
            <w:tcW w:type="dxa" w:w="4874"/>
            <w:tcMar>
              <w:top w:w="40" w:type="dxa"/>
              <w:bottom w:w="40" w:type="dxa"/>
              <w:left w:w="60" w:type="dxa"/>
              <w:right w:w="60" w:type="dxa"/>
            </w:tcMar>
          </w:tcPr>
          <w:p>
            <w:r>
              <w:rPr>
                <w:rFonts w:ascii="Times New Roman" w:hAnsi="Times New Roman"/>
                <w:b/>
                <w:sz w:val="19"/>
              </w:rPr>
              <w:t>BCI</w:t>
            </w:r>
          </w:p>
        </w:tc>
        <w:tc>
          <w:tcPr>
            <w:tcW w:type="dxa" w:w="4874"/>
            <w:tcMar>
              <w:top w:w="40" w:type="dxa"/>
              <w:bottom w:w="40" w:type="dxa"/>
              <w:left w:w="60" w:type="dxa"/>
              <w:right w:w="60" w:type="dxa"/>
            </w:tcMar>
          </w:tcPr>
          <w:p>
            <w:r>
              <w:rPr>
                <w:rFonts w:ascii="Times New Roman" w:hAnsi="Times New Roman"/>
                <w:sz w:val="19"/>
              </w:rPr>
              <w:t>Bar Council of India; apex statutory body regulating legal profession and ethics</w:t>
            </w:r>
          </w:p>
        </w:tc>
      </w:tr>
      <w:tr>
        <w:tc>
          <w:tcPr>
            <w:tcW w:type="dxa" w:w="4874"/>
            <w:tcMar>
              <w:top w:w="40" w:type="dxa"/>
              <w:bottom w:w="40" w:type="dxa"/>
              <w:left w:w="60" w:type="dxa"/>
              <w:right w:w="60" w:type="dxa"/>
            </w:tcMar>
          </w:tcPr>
          <w:p>
            <w:r>
              <w:rPr>
                <w:rFonts w:ascii="Times New Roman" w:hAnsi="Times New Roman"/>
                <w:b/>
                <w:sz w:val="19"/>
              </w:rPr>
              <w:t>COP</w:t>
            </w:r>
          </w:p>
        </w:tc>
        <w:tc>
          <w:tcPr>
            <w:tcW w:type="dxa" w:w="4874"/>
            <w:tcMar>
              <w:top w:w="40" w:type="dxa"/>
              <w:bottom w:w="40" w:type="dxa"/>
              <w:left w:w="60" w:type="dxa"/>
              <w:right w:w="60" w:type="dxa"/>
            </w:tcMar>
          </w:tcPr>
          <w:p>
            <w:r>
              <w:rPr>
                <w:rFonts w:ascii="Times New Roman" w:hAnsi="Times New Roman"/>
                <w:sz w:val="19"/>
              </w:rPr>
              <w:t>Certificate of Practice; mandatory credential granted upon passing AIBE examination</w:t>
            </w:r>
          </w:p>
        </w:tc>
      </w:tr>
      <w:tr>
        <w:tc>
          <w:tcPr>
            <w:tcW w:type="dxa" w:w="4874"/>
            <w:tcMar>
              <w:top w:w="40" w:type="dxa"/>
              <w:bottom w:w="40" w:type="dxa"/>
              <w:left w:w="60" w:type="dxa"/>
              <w:right w:w="60" w:type="dxa"/>
            </w:tcMar>
          </w:tcPr>
          <w:p>
            <w:r>
              <w:rPr>
                <w:rFonts w:ascii="Times New Roman" w:hAnsi="Times New Roman"/>
                <w:b/>
                <w:sz w:val="19"/>
              </w:rPr>
              <w:t>AIBE</w:t>
            </w:r>
          </w:p>
        </w:tc>
        <w:tc>
          <w:tcPr>
            <w:tcW w:type="dxa" w:w="4874"/>
            <w:tcMar>
              <w:top w:w="40" w:type="dxa"/>
              <w:bottom w:w="40" w:type="dxa"/>
              <w:left w:w="60" w:type="dxa"/>
              <w:right w:w="60" w:type="dxa"/>
            </w:tcMar>
          </w:tcPr>
          <w:p>
            <w:r>
              <w:rPr>
                <w:rFonts w:ascii="Times New Roman" w:hAnsi="Times New Roman"/>
                <w:sz w:val="19"/>
              </w:rPr>
              <w:t>All India Bar Examination; mandatory examination for lifelong bar practice rights</w:t>
            </w:r>
          </w:p>
        </w:tc>
      </w:tr>
      <w:tr>
        <w:tc>
          <w:tcPr>
            <w:tcW w:type="dxa" w:w="4874"/>
            <w:tcMar>
              <w:top w:w="40" w:type="dxa"/>
              <w:bottom w:w="40" w:type="dxa"/>
              <w:left w:w="60" w:type="dxa"/>
              <w:right w:w="60" w:type="dxa"/>
            </w:tcMar>
          </w:tcPr>
          <w:p>
            <w:r>
              <w:rPr>
                <w:rFonts w:ascii="Times New Roman" w:hAnsi="Times New Roman"/>
                <w:b/>
                <w:sz w:val="19"/>
              </w:rPr>
              <w:t>HMAC</w:t>
            </w:r>
          </w:p>
        </w:tc>
        <w:tc>
          <w:tcPr>
            <w:tcW w:type="dxa" w:w="4874"/>
            <w:tcMar>
              <w:top w:w="40" w:type="dxa"/>
              <w:bottom w:w="40" w:type="dxa"/>
              <w:left w:w="60" w:type="dxa"/>
              <w:right w:w="60" w:type="dxa"/>
            </w:tcMar>
          </w:tcPr>
          <w:p>
            <w:r>
              <w:rPr>
                <w:rFonts w:ascii="Times New Roman" w:hAnsi="Times New Roman"/>
                <w:sz w:val="19"/>
              </w:rPr>
              <w:t>Hash-based Message Authentication Code; SHA-256 signature verifying Razorpay escrow</w:t>
            </w:r>
          </w:p>
        </w:tc>
      </w:tr>
      <w:tr>
        <w:tc>
          <w:tcPr>
            <w:tcW w:type="dxa" w:w="4874"/>
            <w:tcMar>
              <w:top w:w="40" w:type="dxa"/>
              <w:bottom w:w="40" w:type="dxa"/>
              <w:left w:w="60" w:type="dxa"/>
              <w:right w:w="60" w:type="dxa"/>
            </w:tcMar>
          </w:tcPr>
          <w:p>
            <w:r>
              <w:rPr>
                <w:rFonts w:ascii="Times New Roman" w:hAnsi="Times New Roman"/>
                <w:b/>
                <w:sz w:val="19"/>
              </w:rPr>
              <w:t>NALSA</w:t>
            </w:r>
          </w:p>
        </w:tc>
        <w:tc>
          <w:tcPr>
            <w:tcW w:type="dxa" w:w="4874"/>
            <w:tcMar>
              <w:top w:w="40" w:type="dxa"/>
              <w:bottom w:w="40" w:type="dxa"/>
              <w:left w:w="60" w:type="dxa"/>
              <w:right w:w="60" w:type="dxa"/>
            </w:tcMar>
          </w:tcPr>
          <w:p>
            <w:r>
              <w:rPr>
                <w:rFonts w:ascii="Times New Roman" w:hAnsi="Times New Roman"/>
                <w:sz w:val="19"/>
              </w:rPr>
              <w:t>National Legal Services Authority; statutory provider of free legal aid under Art. 39A</w:t>
            </w:r>
          </w:p>
        </w:tc>
      </w:tr>
      <w:tr>
        <w:tc>
          <w:tcPr>
            <w:tcW w:type="dxa" w:w="4874"/>
            <w:tcMar>
              <w:top w:w="40" w:type="dxa"/>
              <w:bottom w:w="40" w:type="dxa"/>
              <w:left w:w="60" w:type="dxa"/>
              <w:right w:w="60" w:type="dxa"/>
            </w:tcMar>
          </w:tcPr>
          <w:p>
            <w:r>
              <w:rPr>
                <w:rFonts w:ascii="Times New Roman" w:hAnsi="Times New Roman"/>
                <w:b/>
                <w:sz w:val="19"/>
              </w:rPr>
              <w:t>CNR</w:t>
            </w:r>
          </w:p>
        </w:tc>
        <w:tc>
          <w:tcPr>
            <w:tcW w:type="dxa" w:w="4874"/>
            <w:tcMar>
              <w:top w:w="40" w:type="dxa"/>
              <w:bottom w:w="40" w:type="dxa"/>
              <w:left w:w="60" w:type="dxa"/>
              <w:right w:w="60" w:type="dxa"/>
            </w:tcMar>
          </w:tcPr>
          <w:p>
            <w:r>
              <w:rPr>
                <w:rFonts w:ascii="Times New Roman" w:hAnsi="Times New Roman"/>
                <w:sz w:val="19"/>
              </w:rPr>
              <w:t>Case Number Record; 16-digit alphanumeric unique identifier in Indian e-Courts</w:t>
            </w:r>
          </w:p>
        </w:tc>
      </w:tr>
      <w:tr>
        <w:tc>
          <w:tcPr>
            <w:tcW w:type="dxa" w:w="4874"/>
            <w:tcMar>
              <w:top w:w="40" w:type="dxa"/>
              <w:bottom w:w="40" w:type="dxa"/>
              <w:left w:w="60" w:type="dxa"/>
              <w:right w:w="60" w:type="dxa"/>
            </w:tcMar>
          </w:tcPr>
          <w:p>
            <w:r>
              <w:rPr>
                <w:rFonts w:ascii="Times New Roman" w:hAnsi="Times New Roman"/>
                <w:b/>
                <w:sz w:val="19"/>
              </w:rPr>
              <w:t>SPA</w:t>
            </w:r>
          </w:p>
        </w:tc>
        <w:tc>
          <w:tcPr>
            <w:tcW w:type="dxa" w:w="4874"/>
            <w:tcMar>
              <w:top w:w="40" w:type="dxa"/>
              <w:bottom w:w="40" w:type="dxa"/>
              <w:left w:w="60" w:type="dxa"/>
              <w:right w:w="60" w:type="dxa"/>
            </w:tcMar>
          </w:tcPr>
          <w:p>
            <w:r>
              <w:rPr>
                <w:rFonts w:ascii="Times New Roman" w:hAnsi="Times New Roman"/>
                <w:sz w:val="19"/>
              </w:rPr>
              <w:t>Single Page Application; React 18 client architecture executing on user device</w:t>
            </w:r>
          </w:p>
        </w:tc>
      </w:tr>
    </w:tbl>
    <w:p>
      <w:r>
        <w:br w:type="page"/>
      </w:r>
    </w:p>
    <w:p>
      <w:pPr>
        <w:pStyle w:val="Heading1"/>
      </w:pPr>
      <w:r>
        <w:rPr>
          <w:rFonts w:ascii="Times New Roman" w:hAnsi="Times New Roman"/>
          <w:color w:val="0F172A"/>
          <w:sz w:val="30"/>
        </w:rPr>
        <w:t>1. Project Overview</w:t>
      </w:r>
    </w:p>
    <w:p>
      <w:r>
        <w:rPr>
          <w:rFonts w:ascii="Times New Roman" w:hAnsi="Times New Roman"/>
          <w:sz w:val="22"/>
        </w:rPr>
        <w:t>Vakil Setu is an artificial intelligence-powered, voice-first legal triage and advocate discovery platform designed to bridge the severe "first-mile" justice divide in India. Situated at the intersection of Conversational Artificial Intelligence, Legal Informatics, and Web Systems, the project addresses the immense cognitive, linguistic, and financial barriers that confront everyday citizens when navigating legal crises.</w:t>
      </w:r>
    </w:p>
    <w:p>
      <w:r>
        <w:rPr>
          <w:rFonts w:ascii="Times New Roman" w:hAnsi="Times New Roman"/>
          <w:sz w:val="22"/>
        </w:rPr>
        <w:t>In the Indian judicial landscape, over 50 million cases remain pending across courts. However, for an ordinary citizen facing a legal conflict—such as illegal tenancy eviction, employer wage denial, workplace harassment, property boundary encroachment, or cheque dishonor—the primary obstacle is not courtroom litigation itself, but knowing where, when, and how to start. Traditional digital legal platforms in India operate exclusively as static, English-heavy directories saturated with Latin maxims and complex statutory citations. They assume high typing proficiency and structured legal comprehension, entirely alienating the over 70% of Indian litigants residing in semi-urban and rural areas who are comfortable speaking in Hindi or regional dialects.</w:t>
      </w:r>
    </w:p>
    <w:p>
      <w:r>
        <w:rPr>
          <w:rFonts w:ascii="Times New Roman" w:hAnsi="Times New Roman"/>
          <w:sz w:val="22"/>
        </w:rPr>
        <w:t>Vakil Setu eliminates this asymmetry by introducing a hands-free, bilingual conversational interface operating directly within modern web browsers. Citizens simply speak their dispute naturally in Hindi, English, or mixed colloquial speech. Utilizing a dual-engine triage architecture, the platform analyzes unstructured spoken narratives against Indian statutory codes (Bharatiya Nyaya Sanhita, Bharatiya Nagarik Suraksha Sanhita, and Code of Civil Procedure), determines the primary legal domain (Criminal, Civil, Family, or Property), estimates procedural urgency, and extracts immediate action items. For low-literacy citizens, the platform vocalizes the legal guidance back in clear regional speech. Finally, it algorithmically matches litigants with verified, specialized advocates and enables direct consultation scheduling backed by cryptographic Razorpay payment escrow.</w:t>
      </w:r>
    </w:p>
    <w:p>
      <w:r>
        <w:rPr>
          <w:rFonts w:ascii="Times New Roman" w:hAnsi="Times New Roman"/>
          <w:b/>
          <w:sz w:val="26"/>
        </w:rPr>
        <w:t>Architectural Scope &amp; Boundary Constraints</w:t>
      </w:r>
    </w:p>
    <w:p>
      <w:r>
        <w:rPr>
          <w:rFonts w:ascii="Times New Roman" w:hAnsi="Times New Roman"/>
          <w:b/>
          <w:sz w:val="21"/>
        </w:rPr>
        <w:t xml:space="preserve">• In-Browser Zero-Cost Audio Processing: </w:t>
      </w:r>
      <w:r>
        <w:rPr>
          <w:rFonts w:ascii="Times New Roman" w:hAnsi="Times New Roman"/>
          <w:sz w:val="21"/>
        </w:rPr>
        <w:t>Audio capture and transcription execute client-side via the browser's native W3C Web Speech API (webkitSpeechRecognition), dynamically tagging BCP-47 locales (hi-IN and en-IN). This eliminates server-side audio streaming bandwidth and external cloud STT compute costs.</w:t>
      </w:r>
    </w:p>
    <w:p>
      <w:r>
        <w:rPr>
          <w:rFonts w:ascii="Times New Roman" w:hAnsi="Times New Roman"/>
          <w:b/>
          <w:sz w:val="21"/>
        </w:rPr>
        <w:t xml:space="preserve">• Statutory Non-Solicitation Adherence: </w:t>
      </w:r>
      <w:r>
        <w:rPr>
          <w:rFonts w:ascii="Times New Roman" w:hAnsi="Times New Roman"/>
          <w:sz w:val="21"/>
        </w:rPr>
        <w:t>The platform strictly complies with Section 29 of the Advocates Act, 1961, functioning as an informational triage bridge rather than an unauthorized practitioner. All advocate directory listings adhere to Rule 36 of the Bar Council of India (BCI) rules regarding non-promotional publication.</w:t>
      </w:r>
    </w:p>
    <w:p>
      <w:r>
        <w:rPr>
          <w:rFonts w:ascii="Times New Roman" w:hAnsi="Times New Roman"/>
          <w:b/>
          <w:sz w:val="21"/>
        </w:rPr>
        <w:t xml:space="preserve">• Dual-Engine Failover Resilience: </w:t>
      </w:r>
      <w:r>
        <w:rPr>
          <w:rFonts w:ascii="Times New Roman" w:hAnsi="Times New Roman"/>
          <w:sz w:val="21"/>
        </w:rPr>
        <w:t>To guarantee 100% operational uptime during upstream API rate-limits (HTTP 429) or gateway timeouts (HTTP 503), the server integrates a deterministic local regex pattern-matching engine that provides instant, rule-based legal triage without returning 500 server errors.</w:t>
      </w:r>
    </w:p>
    <w:p>
      <w:r>
        <w:rPr>
          <w:rFonts w:ascii="Times New Roman" w:hAnsi="Times New Roman"/>
          <w:b/>
          <w:sz w:val="21"/>
        </w:rPr>
        <w:t xml:space="preserve">• Client-Side Session Data Ephemerality: </w:t>
      </w:r>
      <w:r>
        <w:rPr>
          <w:rFonts w:ascii="Times New Roman" w:hAnsi="Times New Roman"/>
          <w:sz w:val="21"/>
        </w:rPr>
        <w:t>In compliance with the Digital Personal Data Protection (DPDP) Act, 2023, sensitive case narratives are cached locally within browser LocalStorage, preventing permanent, unencrypted storage of private litigation facts in the cloud database.</w:t>
      </w:r>
    </w:p>
    <w:p>
      <w:r>
        <w:br w:type="page"/>
      </w:r>
    </w:p>
    <w:p>
      <w:pPr>
        <w:pStyle w:val="Heading1"/>
      </w:pPr>
      <w:r>
        <w:rPr>
          <w:rFonts w:ascii="Times New Roman" w:hAnsi="Times New Roman"/>
          <w:color w:val="0F172A"/>
          <w:sz w:val="30"/>
        </w:rPr>
        <w:t>2. Problem Statement</w:t>
      </w:r>
    </w:p>
    <w:p>
      <w:r>
        <w:rPr>
          <w:rFonts w:ascii="Times New Roman" w:hAnsi="Times New Roman"/>
          <w:sz w:val="22"/>
        </w:rPr>
        <w:t>Modern access to justice in India suffers from an acute first-mile information failure. When citizens encounter legal distress, they lack the legal literacy required to structure their grievances into actionable legal complaints. Mathematically, the cumulative procedural friction and informational asymmetry F_friction experienced by an aggrieved citizen over elapsed time t can be formalized as:</w:t>
      </w:r>
    </w:p>
    <w:p>
      <w:pPr>
        <w:jc w:val="center"/>
      </w:pPr>
      <w:r>
        <w:rPr>
          <w:rFonts w:ascii="Times New Roman" w:hAnsi="Times New Roman"/>
          <w:b/>
          <w:sz w:val="24"/>
        </w:rPr>
        <w:t>F_friction = ∑ [ α_i · L_jargon + β_i / (τ_limitation - t) + γ_i · C_intermediary ]</w:t>
      </w:r>
    </w:p>
    <w:p>
      <w:r>
        <w:rPr>
          <w:rFonts w:ascii="Times New Roman" w:hAnsi="Times New Roman"/>
          <w:sz w:val="21"/>
        </w:rPr>
        <w:t>Where L_jargon represents linguistic and statutory complexity, τ_limitation denotes the statutory limitation deadline under the Limitation Act, 1963, and C_intermediary represents the financial friction imposed by unregulated touts. When t approaches τ_limitation, procedural friction diverges to infinity, resulting in the permanent forfeiture of statutory legal remedies.</w:t>
        <w:br/>
        <w:br/>
        <w:t>This systemic crisis is characterized by four structural failure modes:</w:t>
        <w:br/>
        <w:t>1. Statutory Domain &amp; Limitation Ambiguity: Citizens cannot identify whether their dispute falls under Criminal, Civil, Family, or Property law. Inability to gauge statutory deadlines (such as the 30-day notice window under Section 138 of the Negotiable Instruments Act or bail limitation periods) leads to irreversible procedural default.</w:t>
        <w:br/>
        <w:t>2. Linguistic &amp; Jargon Exclusion: Over 90% of existing legal resources are published in dense, formal English. Semi-urban and rural litigants comfortable speaking Hindi or colloquial dialects are completely shut out, inducing severe cognitive helplessness.</w:t>
        <w:br/>
        <w:t>3. The Unregulated Intermediary Trap: Finding an advocate specializing in the relevant practice area is a lottery. Litigants face arbitrary consultation fee demands, opaque practitioner credentials, and exploitation by court touts.</w:t>
        <w:br/>
        <w:t>4. High-Stress Typing &amp; Cognitive Overload: Under acute emotional trauma (threat of arrest, domestic abuse, unlawful eviction), formulating and typing structured text is unrealistic.</w:t>
      </w:r>
    </w:p>
    <w:p>
      <w:pPr>
        <w:jc w:val="center"/>
      </w:pPr>
      <w:r>
        <w:rPr>
          <w:rFonts w:ascii="Times New Roman" w:hAnsi="Times New Roman"/>
          <w:b/>
          <w:sz w:val="21"/>
        </w:rPr>
        <w:t>Table 2.1: Comparative Analysis of Legal Discovery Paradigms</w:t>
      </w:r>
    </w:p>
    <w:tbl>
      <w:tblPr>
        <w:tblW w:type="auto" w:w="0"/>
        <w:jc w:val="center"/>
        <w:tblLook w:firstColumn="1" w:firstRow="1" w:lastColumn="0" w:lastRow="0" w:noHBand="0" w:noVBand="1" w:val="04A0"/>
      </w:tblPr>
      <w:tblGrid>
        <w:gridCol w:w="2437"/>
        <w:gridCol w:w="2437"/>
        <w:gridCol w:w="2437"/>
        <w:gridCol w:w="2437"/>
      </w:tblGrid>
      <w:tr>
        <w:tc>
          <w:tcPr>
            <w:tcW w:type="dxa" w:w="2437"/>
            <w:shd w:fill="F1F5F9"/>
            <w:tcMar>
              <w:top w:w="50" w:type="dxa"/>
              <w:bottom w:w="50" w:type="dxa"/>
              <w:left w:w="60" w:type="dxa"/>
              <w:right w:w="60" w:type="dxa"/>
            </w:tcMar>
          </w:tcPr>
          <w:p>
            <w:r>
              <w:rPr>
                <w:rFonts w:ascii="Times New Roman" w:hAnsi="Times New Roman"/>
                <w:b/>
                <w:sz w:val="20"/>
              </w:rPr>
              <w:t>Discovery Paradigm</w:t>
            </w:r>
          </w:p>
        </w:tc>
        <w:tc>
          <w:tcPr>
            <w:tcW w:type="dxa" w:w="2437"/>
            <w:shd w:fill="F1F5F9"/>
            <w:tcMar>
              <w:top w:w="50" w:type="dxa"/>
              <w:bottom w:w="50" w:type="dxa"/>
              <w:left w:w="60" w:type="dxa"/>
              <w:right w:w="60" w:type="dxa"/>
            </w:tcMar>
          </w:tcPr>
          <w:p>
            <w:r>
              <w:rPr>
                <w:rFonts w:ascii="Times New Roman" w:hAnsi="Times New Roman"/>
                <w:b/>
                <w:sz w:val="20"/>
              </w:rPr>
              <w:t>Linguistic Mode</w:t>
            </w:r>
          </w:p>
        </w:tc>
        <w:tc>
          <w:tcPr>
            <w:tcW w:type="dxa" w:w="2437"/>
            <w:shd w:fill="F1F5F9"/>
            <w:tcMar>
              <w:top w:w="50" w:type="dxa"/>
              <w:bottom w:w="50" w:type="dxa"/>
              <w:left w:w="60" w:type="dxa"/>
              <w:right w:w="60" w:type="dxa"/>
            </w:tcMar>
          </w:tcPr>
          <w:p>
            <w:r>
              <w:rPr>
                <w:rFonts w:ascii="Times New Roman" w:hAnsi="Times New Roman"/>
                <w:b/>
                <w:sz w:val="20"/>
              </w:rPr>
              <w:t>Indian Law Triage</w:t>
            </w:r>
          </w:p>
        </w:tc>
        <w:tc>
          <w:tcPr>
            <w:tcW w:type="dxa" w:w="2437"/>
            <w:shd w:fill="F1F5F9"/>
            <w:tcMar>
              <w:top w:w="50" w:type="dxa"/>
              <w:bottom w:w="50" w:type="dxa"/>
              <w:left w:w="60" w:type="dxa"/>
              <w:right w:w="60" w:type="dxa"/>
            </w:tcMar>
          </w:tcPr>
          <w:p>
            <w:r>
              <w:rPr>
                <w:rFonts w:ascii="Times New Roman" w:hAnsi="Times New Roman"/>
                <w:b/>
                <w:sz w:val="20"/>
              </w:rPr>
              <w:t>Escrow &amp; Booking</w:t>
            </w:r>
          </w:p>
        </w:tc>
      </w:tr>
      <w:tr>
        <w:tc>
          <w:tcPr>
            <w:tcW w:type="dxa" w:w="2437"/>
            <w:tcMar>
              <w:top w:w="40" w:type="dxa"/>
              <w:bottom w:w="40" w:type="dxa"/>
              <w:left w:w="60" w:type="dxa"/>
              <w:right w:w="60" w:type="dxa"/>
            </w:tcMar>
          </w:tcPr>
          <w:p>
            <w:r>
              <w:rPr>
                <w:rFonts w:ascii="Times New Roman" w:hAnsi="Times New Roman"/>
                <w:sz w:val="18"/>
              </w:rPr>
              <w:t>Traditional Legal Portals (LawRato, Vakilsearch)</w:t>
            </w:r>
          </w:p>
        </w:tc>
        <w:tc>
          <w:tcPr>
            <w:tcW w:type="dxa" w:w="2437"/>
            <w:tcMar>
              <w:top w:w="40" w:type="dxa"/>
              <w:bottom w:w="40" w:type="dxa"/>
              <w:left w:w="60" w:type="dxa"/>
              <w:right w:w="60" w:type="dxa"/>
            </w:tcMar>
          </w:tcPr>
          <w:p>
            <w:r>
              <w:rPr>
                <w:rFonts w:ascii="Times New Roman" w:hAnsi="Times New Roman"/>
                <w:sz w:val="18"/>
              </w:rPr>
              <w:t>English-heavy; text typing only</w:t>
            </w:r>
          </w:p>
        </w:tc>
        <w:tc>
          <w:tcPr>
            <w:tcW w:type="dxa" w:w="2437"/>
            <w:tcMar>
              <w:top w:w="40" w:type="dxa"/>
              <w:bottom w:w="40" w:type="dxa"/>
              <w:left w:w="60" w:type="dxa"/>
              <w:right w:w="60" w:type="dxa"/>
            </w:tcMar>
          </w:tcPr>
          <w:p>
            <w:r>
              <w:rPr>
                <w:rFonts w:ascii="Times New Roman" w:hAnsi="Times New Roman"/>
                <w:sz w:val="18"/>
              </w:rPr>
              <w:t>Static directory; no instant procedural triage</w:t>
            </w:r>
          </w:p>
        </w:tc>
        <w:tc>
          <w:tcPr>
            <w:tcW w:type="dxa" w:w="2437"/>
            <w:tcMar>
              <w:top w:w="40" w:type="dxa"/>
              <w:bottom w:w="40" w:type="dxa"/>
              <w:left w:w="60" w:type="dxa"/>
              <w:right w:w="60" w:type="dxa"/>
            </w:tcMar>
          </w:tcPr>
          <w:p>
            <w:r>
              <w:rPr>
                <w:rFonts w:ascii="Times New Roman" w:hAnsi="Times New Roman"/>
                <w:sz w:val="18"/>
              </w:rPr>
              <w:t>Third-party redirection; opaque pricing</w:t>
            </w:r>
          </w:p>
        </w:tc>
      </w:tr>
      <w:tr>
        <w:tc>
          <w:tcPr>
            <w:tcW w:type="dxa" w:w="2437"/>
            <w:tcMar>
              <w:top w:w="40" w:type="dxa"/>
              <w:bottom w:w="40" w:type="dxa"/>
              <w:left w:w="60" w:type="dxa"/>
              <w:right w:w="60" w:type="dxa"/>
            </w:tcMar>
          </w:tcPr>
          <w:p>
            <w:r>
              <w:rPr>
                <w:rFonts w:ascii="Times New Roman" w:hAnsi="Times New Roman"/>
                <w:sz w:val="18"/>
              </w:rPr>
              <w:t>Generic Conversational LLMs (ChatGPT, Claude)</w:t>
            </w:r>
          </w:p>
        </w:tc>
        <w:tc>
          <w:tcPr>
            <w:tcW w:type="dxa" w:w="2437"/>
            <w:tcMar>
              <w:top w:w="40" w:type="dxa"/>
              <w:bottom w:w="40" w:type="dxa"/>
              <w:left w:w="60" w:type="dxa"/>
              <w:right w:w="60" w:type="dxa"/>
            </w:tcMar>
          </w:tcPr>
          <w:p>
            <w:r>
              <w:rPr>
                <w:rFonts w:ascii="Times New Roman" w:hAnsi="Times New Roman"/>
                <w:sz w:val="18"/>
              </w:rPr>
              <w:t>Multilingual text prompts</w:t>
            </w:r>
          </w:p>
        </w:tc>
        <w:tc>
          <w:tcPr>
            <w:tcW w:type="dxa" w:w="2437"/>
            <w:tcMar>
              <w:top w:w="40" w:type="dxa"/>
              <w:bottom w:w="40" w:type="dxa"/>
              <w:left w:w="60" w:type="dxa"/>
              <w:right w:w="60" w:type="dxa"/>
            </w:tcMar>
          </w:tcPr>
          <w:p>
            <w:r>
              <w:rPr>
                <w:rFonts w:ascii="Times New Roman" w:hAnsi="Times New Roman"/>
                <w:sz w:val="18"/>
              </w:rPr>
              <w:t>General knowledge; high risk of non-Indian hallucination</w:t>
            </w:r>
          </w:p>
        </w:tc>
        <w:tc>
          <w:tcPr>
            <w:tcW w:type="dxa" w:w="2437"/>
            <w:tcMar>
              <w:top w:w="40" w:type="dxa"/>
              <w:bottom w:w="40" w:type="dxa"/>
              <w:left w:w="60" w:type="dxa"/>
              <w:right w:w="60" w:type="dxa"/>
            </w:tcMar>
          </w:tcPr>
          <w:p>
            <w:r>
              <w:rPr>
                <w:rFonts w:ascii="Times New Roman" w:hAnsi="Times New Roman"/>
                <w:sz w:val="18"/>
              </w:rPr>
              <w:t>Zero booking or verified advocate connection</w:t>
            </w:r>
          </w:p>
        </w:tc>
      </w:tr>
      <w:tr>
        <w:tc>
          <w:tcPr>
            <w:tcW w:type="dxa" w:w="2437"/>
            <w:tcMar>
              <w:top w:w="40" w:type="dxa"/>
              <w:bottom w:w="40" w:type="dxa"/>
              <w:left w:w="60" w:type="dxa"/>
              <w:right w:w="60" w:type="dxa"/>
            </w:tcMar>
          </w:tcPr>
          <w:p>
            <w:r>
              <w:rPr>
                <w:rFonts w:ascii="Times New Roman" w:hAnsi="Times New Roman"/>
                <w:b/>
                <w:sz w:val="18"/>
              </w:rPr>
              <w:t>Vakil Setu Legal Triage Gateway</w:t>
            </w:r>
          </w:p>
        </w:tc>
        <w:tc>
          <w:tcPr>
            <w:tcW w:type="dxa" w:w="2437"/>
            <w:tcMar>
              <w:top w:w="40" w:type="dxa"/>
              <w:bottom w:w="40" w:type="dxa"/>
              <w:left w:w="60" w:type="dxa"/>
              <w:right w:w="60" w:type="dxa"/>
            </w:tcMar>
          </w:tcPr>
          <w:p>
            <w:r>
              <w:rPr>
                <w:rFonts w:ascii="Times New Roman" w:hAnsi="Times New Roman"/>
                <w:b/>
                <w:sz w:val="18"/>
              </w:rPr>
              <w:t>Hands-free bilingual voice (hi-IN / en-IN)</w:t>
            </w:r>
          </w:p>
        </w:tc>
        <w:tc>
          <w:tcPr>
            <w:tcW w:type="dxa" w:w="2437"/>
            <w:tcMar>
              <w:top w:w="40" w:type="dxa"/>
              <w:bottom w:w="40" w:type="dxa"/>
              <w:left w:w="60" w:type="dxa"/>
              <w:right w:w="60" w:type="dxa"/>
            </w:tcMar>
          </w:tcPr>
          <w:p>
            <w:r>
              <w:rPr>
                <w:rFonts w:ascii="Times New Roman" w:hAnsi="Times New Roman"/>
                <w:b/>
                <w:sz w:val="18"/>
              </w:rPr>
              <w:t>Tuned for Indian statutes (BNS, CrPC, CPC)</w:t>
            </w:r>
          </w:p>
        </w:tc>
        <w:tc>
          <w:tcPr>
            <w:tcW w:type="dxa" w:w="2437"/>
            <w:tcMar>
              <w:top w:w="40" w:type="dxa"/>
              <w:bottom w:w="40" w:type="dxa"/>
              <w:left w:w="60" w:type="dxa"/>
              <w:right w:w="60" w:type="dxa"/>
            </w:tcMar>
          </w:tcPr>
          <w:p>
            <w:r>
              <w:rPr>
                <w:rFonts w:ascii="Times New Roman" w:hAnsi="Times New Roman"/>
                <w:b/>
                <w:sz w:val="18"/>
              </w:rPr>
              <w:t>Integrated Razorpay HMAC-SHA256 escrow</w:t>
            </w:r>
          </w:p>
        </w:tc>
      </w:tr>
    </w:tbl>
    <w:p>
      <w:r>
        <w:br w:type="page"/>
      </w:r>
    </w:p>
    <w:p>
      <w:pPr>
        <w:pStyle w:val="Heading1"/>
      </w:pPr>
      <w:r>
        <w:rPr>
          <w:rFonts w:ascii="Times New Roman" w:hAnsi="Times New Roman"/>
          <w:color w:val="0F172A"/>
          <w:sz w:val="30"/>
        </w:rPr>
        <w:t>3. Objectives of the Project</w:t>
      </w:r>
    </w:p>
    <w:p>
      <w:r>
        <w:rPr>
          <w:rFonts w:ascii="Times New Roman" w:hAnsi="Times New Roman"/>
          <w:sz w:val="22"/>
        </w:rPr>
        <w:t>The core technical objectives of the Vakil Setu project are formulated across five architectural milestones:</w:t>
      </w:r>
    </w:p>
    <w:p>
      <w:r>
        <w:rPr>
          <w:rFonts w:ascii="Times New Roman" w:hAnsi="Times New Roman"/>
          <w:b/>
          <w:sz w:val="21"/>
        </w:rPr>
        <w:t xml:space="preserve">• Objective 1 — Hands-Free In-Browser Voice Intake &amp; Locale Tagging: </w:t>
      </w:r>
      <w:r>
        <w:rPr>
          <w:rFonts w:ascii="Times New Roman" w:hAnsi="Times New Roman"/>
          <w:sz w:val="21"/>
        </w:rPr>
        <w:t>Engineer a client-side speech recognition pipeline utilizing the W3C Web Speech API that captures spoken Hindi and English with sub-200ms interim token streaming, dynamic BCP-47 locale tagging (hi-IN and en-IN), and zero cloud audio streaming costs.</w:t>
      </w:r>
    </w:p>
    <w:p>
      <w:r>
        <w:rPr>
          <w:rFonts w:ascii="Times New Roman" w:hAnsi="Times New Roman"/>
          <w:b/>
          <w:sz w:val="21"/>
        </w:rPr>
        <w:t xml:space="preserve">• Objective 2 — Dual-Engine Statutory Legal Triage &amp; Urgency Scoring: </w:t>
      </w:r>
      <w:r>
        <w:rPr>
          <w:rFonts w:ascii="Times New Roman" w:hAnsi="Times New Roman"/>
          <w:sz w:val="21"/>
        </w:rPr>
        <w:t>Construct an intelligent triage service powered by Google Gemini 2.0 / Gateway LLM with strict JSON schema constraints that categorizes spoken narratives into 4 canonical legal domains (Criminal, Civil, Family, Property), evaluates statutory urgency (Low, Medium, High, Emergency), and outputs actionable next steps.</w:t>
      </w:r>
    </w:p>
    <w:p>
      <w:r>
        <w:rPr>
          <w:rFonts w:ascii="Times New Roman" w:hAnsi="Times New Roman"/>
          <w:b/>
          <w:sz w:val="21"/>
        </w:rPr>
        <w:t xml:space="preserve">• Objective 3 — High-Availability Deterministic Failover Engine: </w:t>
      </w:r>
      <w:r>
        <w:rPr>
          <w:rFonts w:ascii="Times New Roman" w:hAnsi="Times New Roman"/>
          <w:sz w:val="21"/>
        </w:rPr>
        <w:t>Implement an embedded rule-based regex heuristics engine within the Node.js backend that intercepts failed or rate-limited LLM calls (HTTP 429/503) and provides immediate, vetted legal triage in sub-50ms with 100% service uptime.</w:t>
      </w:r>
    </w:p>
    <w:p>
      <w:r>
        <w:rPr>
          <w:rFonts w:ascii="Times New Roman" w:hAnsi="Times New Roman"/>
          <w:b/>
          <w:sz w:val="21"/>
        </w:rPr>
        <w:t xml:space="preserve">• Objective 4 — Specialization-Based Advocate Matching &amp; Directory Ingestion: </w:t>
      </w:r>
      <w:r>
        <w:rPr>
          <w:rFonts w:ascii="Times New Roman" w:hAnsi="Times New Roman"/>
          <w:sz w:val="21"/>
        </w:rPr>
        <w:t>Develop an automated Cheerio web scraping pipeline that continuously indexes practicing advocates from public legal registries into MongoDB, coupled with an algorithmic matching query that pairs litigants with verified specialists sorted by rating and experience.</w:t>
      </w:r>
    </w:p>
    <w:p>
      <w:r>
        <w:rPr>
          <w:rFonts w:ascii="Times New Roman" w:hAnsi="Times New Roman"/>
          <w:b/>
          <w:sz w:val="21"/>
        </w:rPr>
        <w:t xml:space="preserve">• Objective 5 — Cryptographic Consultation Escrow &amp; Multi-Turn Assistant: </w:t>
      </w:r>
      <w:r>
        <w:rPr>
          <w:rFonts w:ascii="Times New Roman" w:hAnsi="Times New Roman"/>
          <w:sz w:val="21"/>
        </w:rPr>
        <w:t>Integrate the Razorpay Orders API with server-side HMAC SHA-256 signature verification to ensure transparent, tamper-proof consultation booking, accompanied by a 10-turn sliding memory conversational assistant for follow-up legal queries.</w:t>
      </w:r>
    </w:p>
    <w:p>
      <w:pPr>
        <w:jc w:val="center"/>
      </w:pPr>
      <w:r>
        <w:rPr>
          <w:rFonts w:ascii="Times New Roman" w:hAnsi="Times New Roman"/>
          <w:b/>
          <w:sz w:val="21"/>
        </w:rPr>
        <w:t>Table 3.1: Objectives, Systems Mechanisms, and Verification Gates</w:t>
      </w:r>
    </w:p>
    <w:tbl>
      <w:tblPr>
        <w:tblW w:type="auto" w:w="0"/>
        <w:jc w:val="center"/>
        <w:tblLook w:firstColumn="1" w:firstRow="1" w:lastColumn="0" w:lastRow="0" w:noHBand="0" w:noVBand="1" w:val="04A0"/>
      </w:tblPr>
      <w:tblGrid>
        <w:gridCol w:w="2437"/>
        <w:gridCol w:w="2437"/>
        <w:gridCol w:w="2437"/>
        <w:gridCol w:w="2437"/>
      </w:tblGrid>
      <w:tr>
        <w:tc>
          <w:tcPr>
            <w:tcW w:type="dxa" w:w="2437"/>
            <w:shd w:fill="F1F5F9"/>
            <w:tcMar>
              <w:top w:w="50" w:type="dxa"/>
              <w:bottom w:w="50" w:type="dxa"/>
              <w:left w:w="60" w:type="dxa"/>
              <w:right w:w="60" w:type="dxa"/>
            </w:tcMar>
          </w:tcPr>
          <w:p>
            <w:r>
              <w:rPr>
                <w:rFonts w:ascii="Times New Roman" w:hAnsi="Times New Roman"/>
                <w:b/>
                <w:sz w:val="20"/>
              </w:rPr>
              <w:t>Obj.</w:t>
            </w:r>
          </w:p>
        </w:tc>
        <w:tc>
          <w:tcPr>
            <w:tcW w:type="dxa" w:w="2437"/>
            <w:shd w:fill="F1F5F9"/>
            <w:tcMar>
              <w:top w:w="50" w:type="dxa"/>
              <w:bottom w:w="50" w:type="dxa"/>
              <w:left w:w="60" w:type="dxa"/>
              <w:right w:w="60" w:type="dxa"/>
            </w:tcMar>
          </w:tcPr>
          <w:p>
            <w:r>
              <w:rPr>
                <w:rFonts w:ascii="Times New Roman" w:hAnsi="Times New Roman"/>
                <w:b/>
                <w:sz w:val="20"/>
              </w:rPr>
              <w:t>Architectural Focus</w:t>
            </w:r>
          </w:p>
        </w:tc>
        <w:tc>
          <w:tcPr>
            <w:tcW w:type="dxa" w:w="2437"/>
            <w:shd w:fill="F1F5F9"/>
            <w:tcMar>
              <w:top w:w="50" w:type="dxa"/>
              <w:bottom w:w="50" w:type="dxa"/>
              <w:left w:w="60" w:type="dxa"/>
              <w:right w:w="60" w:type="dxa"/>
            </w:tcMar>
          </w:tcPr>
          <w:p>
            <w:r>
              <w:rPr>
                <w:rFonts w:ascii="Times New Roman" w:hAnsi="Times New Roman"/>
                <w:b/>
                <w:sz w:val="20"/>
              </w:rPr>
              <w:t>Technical Implementation</w:t>
            </w:r>
          </w:p>
        </w:tc>
        <w:tc>
          <w:tcPr>
            <w:tcW w:type="dxa" w:w="2437"/>
            <w:shd w:fill="F1F5F9"/>
            <w:tcMar>
              <w:top w:w="50" w:type="dxa"/>
              <w:bottom w:w="50" w:type="dxa"/>
              <w:left w:w="60" w:type="dxa"/>
              <w:right w:w="60" w:type="dxa"/>
            </w:tcMar>
          </w:tcPr>
          <w:p>
            <w:r>
              <w:rPr>
                <w:rFonts w:ascii="Times New Roman" w:hAnsi="Times New Roman"/>
                <w:b/>
                <w:sz w:val="20"/>
              </w:rPr>
              <w:t>Target Metric / Gate</w:t>
            </w:r>
          </w:p>
        </w:tc>
      </w:tr>
      <w:tr>
        <w:tc>
          <w:tcPr>
            <w:tcW w:type="dxa" w:w="2437"/>
            <w:tcMar>
              <w:top w:w="40" w:type="dxa"/>
              <w:bottom w:w="40" w:type="dxa"/>
              <w:left w:w="60" w:type="dxa"/>
              <w:right w:w="60" w:type="dxa"/>
            </w:tcMar>
          </w:tcPr>
          <w:p>
            <w:r>
              <w:rPr>
                <w:rFonts w:ascii="Times New Roman" w:hAnsi="Times New Roman"/>
                <w:sz w:val="18"/>
              </w:rPr>
              <w:t>Obj 1</w:t>
            </w:r>
          </w:p>
        </w:tc>
        <w:tc>
          <w:tcPr>
            <w:tcW w:type="dxa" w:w="2437"/>
            <w:tcMar>
              <w:top w:w="40" w:type="dxa"/>
              <w:bottom w:w="40" w:type="dxa"/>
              <w:left w:w="60" w:type="dxa"/>
              <w:right w:w="60" w:type="dxa"/>
            </w:tcMar>
          </w:tcPr>
          <w:p>
            <w:r>
              <w:rPr>
                <w:rFonts w:ascii="Times New Roman" w:hAnsi="Times New Roman"/>
                <w:sz w:val="18"/>
              </w:rPr>
              <w:t>Voice Ingestion</w:t>
            </w:r>
          </w:p>
        </w:tc>
        <w:tc>
          <w:tcPr>
            <w:tcW w:type="dxa" w:w="2437"/>
            <w:tcMar>
              <w:top w:w="40" w:type="dxa"/>
              <w:bottom w:w="40" w:type="dxa"/>
              <w:left w:w="60" w:type="dxa"/>
              <w:right w:w="60" w:type="dxa"/>
            </w:tcMar>
          </w:tcPr>
          <w:p>
            <w:r>
              <w:rPr>
                <w:rFonts w:ascii="Times New Roman" w:hAnsi="Times New Roman"/>
                <w:sz w:val="18"/>
              </w:rPr>
              <w:t>W3C Web Speech API (hi-IN / en-IN)</w:t>
            </w:r>
          </w:p>
        </w:tc>
        <w:tc>
          <w:tcPr>
            <w:tcW w:type="dxa" w:w="2437"/>
            <w:tcMar>
              <w:top w:w="40" w:type="dxa"/>
              <w:bottom w:w="40" w:type="dxa"/>
              <w:left w:w="60" w:type="dxa"/>
              <w:right w:w="60" w:type="dxa"/>
            </w:tcMar>
          </w:tcPr>
          <w:p>
            <w:r>
              <w:rPr>
                <w:rFonts w:ascii="Times New Roman" w:hAnsi="Times New Roman"/>
                <w:sz w:val="18"/>
              </w:rPr>
              <w:t>Sub-200ms interim token latency; zero cloud audio cost</w:t>
            </w:r>
          </w:p>
        </w:tc>
      </w:tr>
      <w:tr>
        <w:tc>
          <w:tcPr>
            <w:tcW w:type="dxa" w:w="2437"/>
            <w:tcMar>
              <w:top w:w="40" w:type="dxa"/>
              <w:bottom w:w="40" w:type="dxa"/>
              <w:left w:w="60" w:type="dxa"/>
              <w:right w:w="60" w:type="dxa"/>
            </w:tcMar>
          </w:tcPr>
          <w:p>
            <w:r>
              <w:rPr>
                <w:rFonts w:ascii="Times New Roman" w:hAnsi="Times New Roman"/>
                <w:sz w:val="18"/>
              </w:rPr>
              <w:t>Obj 2</w:t>
            </w:r>
          </w:p>
        </w:tc>
        <w:tc>
          <w:tcPr>
            <w:tcW w:type="dxa" w:w="2437"/>
            <w:tcMar>
              <w:top w:w="40" w:type="dxa"/>
              <w:bottom w:w="40" w:type="dxa"/>
              <w:left w:w="60" w:type="dxa"/>
              <w:right w:w="60" w:type="dxa"/>
            </w:tcMar>
          </w:tcPr>
          <w:p>
            <w:r>
              <w:rPr>
                <w:rFonts w:ascii="Times New Roman" w:hAnsi="Times New Roman"/>
                <w:sz w:val="18"/>
              </w:rPr>
              <w:t>AI Statutory Triage</w:t>
            </w:r>
          </w:p>
        </w:tc>
        <w:tc>
          <w:tcPr>
            <w:tcW w:type="dxa" w:w="2437"/>
            <w:tcMar>
              <w:top w:w="40" w:type="dxa"/>
              <w:bottom w:w="40" w:type="dxa"/>
              <w:left w:w="60" w:type="dxa"/>
              <w:right w:w="60" w:type="dxa"/>
            </w:tcMar>
          </w:tcPr>
          <w:p>
            <w:r>
              <w:rPr>
                <w:rFonts w:ascii="Times New Roman" w:hAnsi="Times New Roman"/>
                <w:sz w:val="18"/>
              </w:rPr>
              <w:t>Prompt engineering with strict JSON contract</w:t>
            </w:r>
          </w:p>
        </w:tc>
        <w:tc>
          <w:tcPr>
            <w:tcW w:type="dxa" w:w="2437"/>
            <w:tcMar>
              <w:top w:w="40" w:type="dxa"/>
              <w:bottom w:w="40" w:type="dxa"/>
              <w:left w:w="60" w:type="dxa"/>
              <w:right w:w="60" w:type="dxa"/>
            </w:tcMar>
          </w:tcPr>
          <w:p>
            <w:r>
              <w:rPr>
                <w:rFonts w:ascii="Times New Roman" w:hAnsi="Times New Roman"/>
                <w:sz w:val="18"/>
              </w:rPr>
              <w:t>100% schema conformity; domain precision over 90%</w:t>
            </w:r>
          </w:p>
        </w:tc>
      </w:tr>
      <w:tr>
        <w:tc>
          <w:tcPr>
            <w:tcW w:type="dxa" w:w="2437"/>
            <w:tcMar>
              <w:top w:w="40" w:type="dxa"/>
              <w:bottom w:w="40" w:type="dxa"/>
              <w:left w:w="60" w:type="dxa"/>
              <w:right w:w="60" w:type="dxa"/>
            </w:tcMar>
          </w:tcPr>
          <w:p>
            <w:r>
              <w:rPr>
                <w:rFonts w:ascii="Times New Roman" w:hAnsi="Times New Roman"/>
                <w:sz w:val="18"/>
              </w:rPr>
              <w:t>Obj 3</w:t>
            </w:r>
          </w:p>
        </w:tc>
        <w:tc>
          <w:tcPr>
            <w:tcW w:type="dxa" w:w="2437"/>
            <w:tcMar>
              <w:top w:w="40" w:type="dxa"/>
              <w:bottom w:w="40" w:type="dxa"/>
              <w:left w:w="60" w:type="dxa"/>
              <w:right w:w="60" w:type="dxa"/>
            </w:tcMar>
          </w:tcPr>
          <w:p>
            <w:r>
              <w:rPr>
                <w:rFonts w:ascii="Times New Roman" w:hAnsi="Times New Roman"/>
                <w:sz w:val="18"/>
              </w:rPr>
              <w:t>Failover Engine</w:t>
            </w:r>
          </w:p>
        </w:tc>
        <w:tc>
          <w:tcPr>
            <w:tcW w:type="dxa" w:w="2437"/>
            <w:tcMar>
              <w:top w:w="40" w:type="dxa"/>
              <w:bottom w:w="40" w:type="dxa"/>
              <w:left w:w="60" w:type="dxa"/>
              <w:right w:w="60" w:type="dxa"/>
            </w:tcMar>
          </w:tcPr>
          <w:p>
            <w:r>
              <w:rPr>
                <w:rFonts w:ascii="Times New Roman" w:hAnsi="Times New Roman"/>
                <w:sz w:val="18"/>
              </w:rPr>
              <w:t>Bilingual regex pattern-matching engine</w:t>
            </w:r>
          </w:p>
        </w:tc>
        <w:tc>
          <w:tcPr>
            <w:tcW w:type="dxa" w:w="2437"/>
            <w:tcMar>
              <w:top w:w="40" w:type="dxa"/>
              <w:bottom w:w="40" w:type="dxa"/>
              <w:left w:w="60" w:type="dxa"/>
              <w:right w:w="60" w:type="dxa"/>
            </w:tcMar>
          </w:tcPr>
          <w:p>
            <w:r>
              <w:rPr>
                <w:rFonts w:ascii="Times New Roman" w:hAnsi="Times New Roman"/>
                <w:sz w:val="18"/>
              </w:rPr>
              <w:t>Sub-50ms execution; zero 500 errors on API timeout</w:t>
            </w:r>
          </w:p>
        </w:tc>
      </w:tr>
      <w:tr>
        <w:tc>
          <w:tcPr>
            <w:tcW w:type="dxa" w:w="2437"/>
            <w:tcMar>
              <w:top w:w="40" w:type="dxa"/>
              <w:bottom w:w="40" w:type="dxa"/>
              <w:left w:w="60" w:type="dxa"/>
              <w:right w:w="60" w:type="dxa"/>
            </w:tcMar>
          </w:tcPr>
          <w:p>
            <w:r>
              <w:rPr>
                <w:rFonts w:ascii="Times New Roman" w:hAnsi="Times New Roman"/>
                <w:sz w:val="18"/>
              </w:rPr>
              <w:t>Obj 4</w:t>
            </w:r>
          </w:p>
        </w:tc>
        <w:tc>
          <w:tcPr>
            <w:tcW w:type="dxa" w:w="2437"/>
            <w:tcMar>
              <w:top w:w="40" w:type="dxa"/>
              <w:bottom w:w="40" w:type="dxa"/>
              <w:left w:w="60" w:type="dxa"/>
              <w:right w:w="60" w:type="dxa"/>
            </w:tcMar>
          </w:tcPr>
          <w:p>
            <w:r>
              <w:rPr>
                <w:rFonts w:ascii="Times New Roman" w:hAnsi="Times New Roman"/>
                <w:sz w:val="18"/>
              </w:rPr>
              <w:t>Advocate Ingestion</w:t>
            </w:r>
          </w:p>
        </w:tc>
        <w:tc>
          <w:tcPr>
            <w:tcW w:type="dxa" w:w="2437"/>
            <w:tcMar>
              <w:top w:w="40" w:type="dxa"/>
              <w:bottom w:w="40" w:type="dxa"/>
              <w:left w:w="60" w:type="dxa"/>
              <w:right w:w="60" w:type="dxa"/>
            </w:tcMar>
          </w:tcPr>
          <w:p>
            <w:r>
              <w:rPr>
                <w:rFonts w:ascii="Times New Roman" w:hAnsi="Times New Roman"/>
                <w:sz w:val="18"/>
              </w:rPr>
              <w:t>Cheerio crawler + MongoDB compound indexing</w:t>
            </w:r>
          </w:p>
        </w:tc>
        <w:tc>
          <w:tcPr>
            <w:tcW w:type="dxa" w:w="2437"/>
            <w:tcMar>
              <w:top w:w="40" w:type="dxa"/>
              <w:bottom w:w="40" w:type="dxa"/>
              <w:left w:w="60" w:type="dxa"/>
              <w:right w:w="60" w:type="dxa"/>
            </w:tcMar>
          </w:tcPr>
          <w:p>
            <w:r>
              <w:rPr>
                <w:rFonts w:ascii="Times New Roman" w:hAnsi="Times New Roman"/>
                <w:sz w:val="18"/>
              </w:rPr>
              <w:t>Atomic upserts; sub-100ms domain query resolution</w:t>
            </w:r>
          </w:p>
        </w:tc>
      </w:tr>
      <w:tr>
        <w:tc>
          <w:tcPr>
            <w:tcW w:type="dxa" w:w="2437"/>
            <w:tcMar>
              <w:top w:w="40" w:type="dxa"/>
              <w:bottom w:w="40" w:type="dxa"/>
              <w:left w:w="60" w:type="dxa"/>
              <w:right w:w="60" w:type="dxa"/>
            </w:tcMar>
          </w:tcPr>
          <w:p>
            <w:r>
              <w:rPr>
                <w:rFonts w:ascii="Times New Roman" w:hAnsi="Times New Roman"/>
                <w:sz w:val="18"/>
              </w:rPr>
              <w:t>Obj 5</w:t>
            </w:r>
          </w:p>
        </w:tc>
        <w:tc>
          <w:tcPr>
            <w:tcW w:type="dxa" w:w="2437"/>
            <w:tcMar>
              <w:top w:w="40" w:type="dxa"/>
              <w:bottom w:w="40" w:type="dxa"/>
              <w:left w:w="60" w:type="dxa"/>
              <w:right w:w="60" w:type="dxa"/>
            </w:tcMar>
          </w:tcPr>
          <w:p>
            <w:r>
              <w:rPr>
                <w:rFonts w:ascii="Times New Roman" w:hAnsi="Times New Roman"/>
                <w:sz w:val="18"/>
              </w:rPr>
              <w:t>Escrow Booking</w:t>
            </w:r>
          </w:p>
        </w:tc>
        <w:tc>
          <w:tcPr>
            <w:tcW w:type="dxa" w:w="2437"/>
            <w:tcMar>
              <w:top w:w="40" w:type="dxa"/>
              <w:bottom w:w="40" w:type="dxa"/>
              <w:left w:w="60" w:type="dxa"/>
              <w:right w:w="60" w:type="dxa"/>
            </w:tcMar>
          </w:tcPr>
          <w:p>
            <w:r>
              <w:rPr>
                <w:rFonts w:ascii="Times New Roman" w:hAnsi="Times New Roman"/>
                <w:sz w:val="18"/>
              </w:rPr>
              <w:t>Razorpay API + Crypto HMAC-SHA256</w:t>
            </w:r>
          </w:p>
        </w:tc>
        <w:tc>
          <w:tcPr>
            <w:tcW w:type="dxa" w:w="2437"/>
            <w:tcMar>
              <w:top w:w="40" w:type="dxa"/>
              <w:bottom w:w="40" w:type="dxa"/>
              <w:left w:w="60" w:type="dxa"/>
              <w:right w:w="60" w:type="dxa"/>
            </w:tcMar>
          </w:tcPr>
          <w:p>
            <w:r>
              <w:rPr>
                <w:rFonts w:ascii="Times New Roman" w:hAnsi="Times New Roman"/>
                <w:sz w:val="18"/>
              </w:rPr>
              <w:t>100% tamper-proof signature verification; multi-turn chat</w:t>
            </w:r>
          </w:p>
        </w:tc>
      </w:tr>
    </w:tbl>
    <w:p>
      <w:r>
        <w:br w:type="page"/>
      </w:r>
    </w:p>
    <w:p>
      <w:pPr>
        <w:pStyle w:val="Heading1"/>
      </w:pPr>
      <w:r>
        <w:rPr>
          <w:rFonts w:ascii="Times New Roman" w:hAnsi="Times New Roman"/>
          <w:color w:val="0F172A"/>
          <w:sz w:val="30"/>
        </w:rPr>
        <w:t>4. Proposed Solution / Methodology</w:t>
      </w:r>
    </w:p>
    <w:p>
      <w:r>
        <w:rPr>
          <w:rFonts w:ascii="Times New Roman" w:hAnsi="Times New Roman"/>
          <w:sz w:val="22"/>
        </w:rPr>
        <w:t>Vakil Setu is architected as an asynchronous, decoupled five-tier legal gateway. The client application runs as a responsive React 18 Single Page Application interfacing with an Express.js API gateway. Rather than routing heavy raw audio to cloud servers, audio transcription occurs locally on the client's device, transmitting lightweight text payloads to the backend intelligence pipeline.</w:t>
      </w:r>
    </w:p>
    <w:p>
      <w:pPr>
        <w:jc w:val="center"/>
      </w:pPr>
      <w:r>
        <w:drawing>
          <wp:inline xmlns:a="http://schemas.openxmlformats.org/drawingml/2006/main" xmlns:pic="http://schemas.openxmlformats.org/drawingml/2006/picture">
            <wp:extent cx="5943600" cy="3343275"/>
            <wp:docPr id="2" name="Picture 2"/>
            <wp:cNvGraphicFramePr>
              <a:graphicFrameLocks noChangeAspect="1"/>
            </wp:cNvGraphicFramePr>
            <a:graphic>
              <a:graphicData uri="http://schemas.openxmlformats.org/drawingml/2006/picture">
                <pic:pic>
                  <pic:nvPicPr>
                    <pic:cNvPr id="0" name="vakil_setu_architecture.png"/>
                    <pic:cNvPicPr/>
                  </pic:nvPicPr>
                  <pic:blipFill>
                    <a:blip r:embed="rId11"/>
                    <a:stretch>
                      <a:fillRect/>
                    </a:stretch>
                  </pic:blipFill>
                  <pic:spPr>
                    <a:xfrm>
                      <a:off x="0" y="0"/>
                      <a:ext cx="5943600" cy="3343275"/>
                    </a:xfrm>
                    <a:prstGeom prst="rect"/>
                  </pic:spPr>
                </pic:pic>
              </a:graphicData>
            </a:graphic>
          </wp:inline>
        </w:drawing>
      </w:r>
    </w:p>
    <w:p>
      <w:pPr>
        <w:jc w:val="center"/>
      </w:pPr>
      <w:r>
        <w:rPr>
          <w:rFonts w:ascii="Times New Roman" w:hAnsi="Times New Roman"/>
          <w:i/>
          <w:sz w:val="19"/>
        </w:rPr>
        <w:t>Figure 4.1: Decoupled Five-Tier Execution Topology of the Vakil Setu Legal Triage Gateway</w:t>
      </w:r>
    </w:p>
    <w:p>
      <w:r>
        <w:rPr>
          <w:rFonts w:ascii="Times New Roman" w:hAnsi="Times New Roman"/>
          <w:sz w:val="22"/>
        </w:rPr>
        <w:t>The internal processing pipeline operates across four decoupled systems modules:</w:t>
      </w:r>
    </w:p>
    <w:p>
      <w:r>
        <w:rPr>
          <w:rFonts w:ascii="Times New Roman" w:hAnsi="Times New Roman"/>
          <w:b/>
          <w:sz w:val="20"/>
        </w:rPr>
        <w:t xml:space="preserve">• Stage 1 — Voice Ingestion &amp; Live Interim Streaming: </w:t>
      </w:r>
      <w:r>
        <w:rPr>
          <w:rFonts w:ascii="Times New Roman" w:hAnsi="Times New Roman"/>
          <w:sz w:val="20"/>
        </w:rPr>
        <w:t>The user speaks their grievance into the browser. The native webkitSpeechRecognition engine captures the microphone stream, dynamically tagging the language locale (hi-IN or en-IN) and rendering intermediate transcription tokens character-by-character into a draft preview bubble.</w:t>
      </w:r>
    </w:p>
    <w:p>
      <w:r>
        <w:rPr>
          <w:rFonts w:ascii="Times New Roman" w:hAnsi="Times New Roman"/>
          <w:b/>
          <w:sz w:val="20"/>
        </w:rPr>
        <w:t xml:space="preserve">• Stage 2 — Dual-Engine Legal Triage &amp; Prompt Schema Enforcement: </w:t>
      </w:r>
      <w:r>
        <w:rPr>
          <w:rFonts w:ascii="Times New Roman" w:hAnsi="Times New Roman"/>
          <w:sz w:val="20"/>
        </w:rPr>
        <w:t>The narrative is transmitted via HTTPS REST to /api/ai/triage. The primary engine invokes Google Gemini 2.0 with a strict JSON contract enforcing Indian jurisprudence. If an API timeout, rate-limit (HTTP 429), or network drop occurs, the server seamlessly falls back to the local deterministic regex engine.</w:t>
      </w:r>
    </w:p>
    <w:p>
      <w:r>
        <w:rPr>
          <w:rFonts w:ascii="Times New Roman" w:hAnsi="Times New Roman"/>
          <w:b/>
          <w:sz w:val="20"/>
        </w:rPr>
        <w:t xml:space="preserve">• Stage 3 — Auditory Feedback &amp; Specialization-Based Advocate Matching: </w:t>
      </w:r>
      <w:r>
        <w:rPr>
          <w:rFonts w:ascii="Times New Roman" w:hAnsi="Times New Roman"/>
          <w:sz w:val="20"/>
        </w:rPr>
        <w:t>The legal summary and concrete steps are vocalized back to the user via native speech synthesis in regional accents. Concurrently, the backend queries MongoDB for verified advocates matching the identified domain, sorted by rating.</w:t>
      </w:r>
    </w:p>
    <w:p>
      <w:r>
        <w:rPr>
          <w:rFonts w:ascii="Times New Roman" w:hAnsi="Times New Roman"/>
          <w:b/>
          <w:sz w:val="20"/>
        </w:rPr>
        <w:t xml:space="preserve">• Stage 4 — Cryptographic Consultation Escrow &amp; Multi-Turn Assistant: </w:t>
      </w:r>
      <w:r>
        <w:rPr>
          <w:rFonts w:ascii="Times New Roman" w:hAnsi="Times New Roman"/>
          <w:sz w:val="20"/>
        </w:rPr>
        <w:t>The litigant selects a consultation appointment slot. The backend generates a Razorpay Order and verifies the transaction using server-side HMAC SHA-256 signatures, while a multi-turn assistant maintains the last 10 dialogue turns for follow-up legal queries.</w:t>
      </w:r>
    </w:p>
    <w:p>
      <w:r>
        <w:br w:type="page"/>
      </w:r>
    </w:p>
    <w:p>
      <w:pPr>
        <w:pStyle w:val="Heading1"/>
      </w:pPr>
      <w:r>
        <w:rPr>
          <w:rFonts w:ascii="Times New Roman" w:hAnsi="Times New Roman"/>
          <w:color w:val="0F172A"/>
          <w:sz w:val="30"/>
        </w:rPr>
        <w:t>5. Key Technologies and Tools</w:t>
      </w:r>
    </w:p>
    <w:p>
      <w:r>
        <w:rPr>
          <w:rFonts w:ascii="Times New Roman" w:hAnsi="Times New Roman"/>
          <w:sz w:val="22"/>
        </w:rPr>
        <w:t>The technical implementation of Vakil Setu is built upon an enterprise-grade, open-source stack designed to ensure sub-second response times, zero server audio processing overhead, and robust fault-tolerance:</w:t>
      </w:r>
    </w:p>
    <w:tbl>
      <w:tblPr>
        <w:tblW w:type="auto" w:w="0"/>
        <w:jc w:val="center"/>
        <w:tblLook w:firstColumn="1" w:firstRow="1" w:lastColumn="0" w:lastRow="0" w:noHBand="0" w:noVBand="1" w:val="04A0"/>
      </w:tblPr>
      <w:tblGrid>
        <w:gridCol w:w="3250"/>
        <w:gridCol w:w="3250"/>
        <w:gridCol w:w="3250"/>
      </w:tblGrid>
      <w:tr>
        <w:tc>
          <w:tcPr>
            <w:tcW w:type="dxa" w:w="3250"/>
            <w:shd w:fill="F1F5F9"/>
            <w:tcMar>
              <w:top w:w="50" w:type="dxa"/>
              <w:bottom w:w="50" w:type="dxa"/>
              <w:left w:w="60" w:type="dxa"/>
              <w:right w:w="60" w:type="dxa"/>
            </w:tcMar>
          </w:tcPr>
          <w:p>
            <w:r>
              <w:rPr>
                <w:rFonts w:ascii="Times New Roman" w:hAnsi="Times New Roman"/>
                <w:b/>
                <w:sz w:val="20"/>
              </w:rPr>
              <w:t>Subsystem</w:t>
            </w:r>
          </w:p>
        </w:tc>
        <w:tc>
          <w:tcPr>
            <w:tcW w:type="dxa" w:w="3250"/>
            <w:shd w:fill="F1F5F9"/>
            <w:tcMar>
              <w:top w:w="50" w:type="dxa"/>
              <w:bottom w:w="50" w:type="dxa"/>
              <w:left w:w="60" w:type="dxa"/>
              <w:right w:w="60" w:type="dxa"/>
            </w:tcMar>
          </w:tcPr>
          <w:p>
            <w:r>
              <w:rPr>
                <w:rFonts w:ascii="Times New Roman" w:hAnsi="Times New Roman"/>
                <w:b/>
                <w:sz w:val="20"/>
              </w:rPr>
              <w:t>Technology / Stack</w:t>
            </w:r>
          </w:p>
        </w:tc>
        <w:tc>
          <w:tcPr>
            <w:tcW w:type="dxa" w:w="3250"/>
            <w:shd w:fill="F1F5F9"/>
            <w:tcMar>
              <w:top w:w="50" w:type="dxa"/>
              <w:bottom w:w="50" w:type="dxa"/>
              <w:left w:w="60" w:type="dxa"/>
              <w:right w:w="60" w:type="dxa"/>
            </w:tcMar>
          </w:tcPr>
          <w:p>
            <w:r>
              <w:rPr>
                <w:rFonts w:ascii="Times New Roman" w:hAnsi="Times New Roman"/>
                <w:b/>
                <w:sz w:val="20"/>
              </w:rPr>
              <w:t>Systems Role &amp; Architectural Justification</w:t>
            </w:r>
          </w:p>
        </w:tc>
      </w:tr>
      <w:tr>
        <w:tc>
          <w:tcPr>
            <w:tcW w:type="dxa" w:w="3250"/>
            <w:tcMar>
              <w:top w:w="40" w:type="dxa"/>
              <w:bottom w:w="40" w:type="dxa"/>
              <w:left w:w="60" w:type="dxa"/>
              <w:right w:w="60" w:type="dxa"/>
            </w:tcMar>
          </w:tcPr>
          <w:p>
            <w:r>
              <w:rPr>
                <w:rFonts w:ascii="Times New Roman" w:hAnsi="Times New Roman"/>
                <w:b/>
                <w:sz w:val="18"/>
              </w:rPr>
              <w:t>Presentation Layer</w:t>
            </w:r>
          </w:p>
        </w:tc>
        <w:tc>
          <w:tcPr>
            <w:tcW w:type="dxa" w:w="3250"/>
            <w:tcMar>
              <w:top w:w="40" w:type="dxa"/>
              <w:bottom w:w="40" w:type="dxa"/>
              <w:left w:w="60" w:type="dxa"/>
              <w:right w:w="60" w:type="dxa"/>
            </w:tcMar>
          </w:tcPr>
          <w:p>
            <w:r>
              <w:rPr>
                <w:rFonts w:ascii="Times New Roman" w:hAnsi="Times New Roman"/>
                <w:sz w:val="18"/>
              </w:rPr>
              <w:t>React 18 &amp; Vite</w:t>
            </w:r>
          </w:p>
        </w:tc>
        <w:tc>
          <w:tcPr>
            <w:tcW w:type="dxa" w:w="3250"/>
            <w:tcMar>
              <w:top w:w="40" w:type="dxa"/>
              <w:bottom w:w="40" w:type="dxa"/>
              <w:left w:w="60" w:type="dxa"/>
              <w:right w:w="60" w:type="dxa"/>
            </w:tcMar>
          </w:tcPr>
          <w:p>
            <w:r>
              <w:rPr>
                <w:rFonts w:ascii="Times New Roman" w:hAnsi="Times New Roman"/>
                <w:sz w:val="18"/>
              </w:rPr>
              <w:t>Fast Single Page Application (SPA) offering component modularity and optimized DOM hydration.</w:t>
            </w:r>
          </w:p>
        </w:tc>
      </w:tr>
      <w:tr>
        <w:tc>
          <w:tcPr>
            <w:tcW w:type="dxa" w:w="3250"/>
            <w:tcMar>
              <w:top w:w="40" w:type="dxa"/>
              <w:bottom w:w="40" w:type="dxa"/>
              <w:left w:w="60" w:type="dxa"/>
              <w:right w:w="60" w:type="dxa"/>
            </w:tcMar>
          </w:tcPr>
          <w:p>
            <w:r>
              <w:rPr>
                <w:rFonts w:ascii="Times New Roman" w:hAnsi="Times New Roman"/>
                <w:b/>
                <w:sz w:val="18"/>
              </w:rPr>
              <w:t>Voice Ingestion / TTS</w:t>
            </w:r>
          </w:p>
        </w:tc>
        <w:tc>
          <w:tcPr>
            <w:tcW w:type="dxa" w:w="3250"/>
            <w:tcMar>
              <w:top w:w="40" w:type="dxa"/>
              <w:bottom w:w="40" w:type="dxa"/>
              <w:left w:w="60" w:type="dxa"/>
              <w:right w:w="60" w:type="dxa"/>
            </w:tcMar>
          </w:tcPr>
          <w:p>
            <w:r>
              <w:rPr>
                <w:rFonts w:ascii="Times New Roman" w:hAnsi="Times New Roman"/>
                <w:sz w:val="18"/>
              </w:rPr>
              <w:t>W3C Web Speech API</w:t>
            </w:r>
          </w:p>
        </w:tc>
        <w:tc>
          <w:tcPr>
            <w:tcW w:type="dxa" w:w="3250"/>
            <w:tcMar>
              <w:top w:w="40" w:type="dxa"/>
              <w:bottom w:w="40" w:type="dxa"/>
              <w:left w:w="60" w:type="dxa"/>
              <w:right w:w="60" w:type="dxa"/>
            </w:tcMar>
          </w:tcPr>
          <w:p>
            <w:r>
              <w:rPr>
                <w:rFonts w:ascii="Times New Roman" w:hAnsi="Times New Roman"/>
                <w:sz w:val="18"/>
              </w:rPr>
              <w:t>Browser-native STT and TTS engines; eliminates cloud audio upload latency and streaming costs.</w:t>
            </w:r>
          </w:p>
        </w:tc>
      </w:tr>
      <w:tr>
        <w:tc>
          <w:tcPr>
            <w:tcW w:type="dxa" w:w="3250"/>
            <w:tcMar>
              <w:top w:w="40" w:type="dxa"/>
              <w:bottom w:w="40" w:type="dxa"/>
              <w:left w:w="60" w:type="dxa"/>
              <w:right w:w="60" w:type="dxa"/>
            </w:tcMar>
          </w:tcPr>
          <w:p>
            <w:r>
              <w:rPr>
                <w:rFonts w:ascii="Times New Roman" w:hAnsi="Times New Roman"/>
                <w:b/>
                <w:sz w:val="18"/>
              </w:rPr>
              <w:t>API Gateway &amp; Server</w:t>
            </w:r>
          </w:p>
        </w:tc>
        <w:tc>
          <w:tcPr>
            <w:tcW w:type="dxa" w:w="3250"/>
            <w:tcMar>
              <w:top w:w="40" w:type="dxa"/>
              <w:bottom w:w="40" w:type="dxa"/>
              <w:left w:w="60" w:type="dxa"/>
              <w:right w:w="60" w:type="dxa"/>
            </w:tcMar>
          </w:tcPr>
          <w:p>
            <w:r>
              <w:rPr>
                <w:rFonts w:ascii="Times New Roman" w:hAnsi="Times New Roman"/>
                <w:sz w:val="18"/>
              </w:rPr>
              <w:t>Node.js (v20+) &amp; Express</w:t>
            </w:r>
          </w:p>
        </w:tc>
        <w:tc>
          <w:tcPr>
            <w:tcW w:type="dxa" w:w="3250"/>
            <w:tcMar>
              <w:top w:w="40" w:type="dxa"/>
              <w:bottom w:w="40" w:type="dxa"/>
              <w:left w:w="60" w:type="dxa"/>
              <w:right w:w="60" w:type="dxa"/>
            </w:tcMar>
          </w:tcPr>
          <w:p>
            <w:r>
              <w:rPr>
                <w:rFonts w:ascii="Times New Roman" w:hAnsi="Times New Roman"/>
                <w:sz w:val="18"/>
              </w:rPr>
              <w:t>Asynchronous, non-blocking I/O event loop handling high-concurrency triage and webhook dispatch.</w:t>
            </w:r>
          </w:p>
        </w:tc>
      </w:tr>
      <w:tr>
        <w:tc>
          <w:tcPr>
            <w:tcW w:type="dxa" w:w="3250"/>
            <w:tcMar>
              <w:top w:w="40" w:type="dxa"/>
              <w:bottom w:w="40" w:type="dxa"/>
              <w:left w:w="60" w:type="dxa"/>
              <w:right w:w="60" w:type="dxa"/>
            </w:tcMar>
          </w:tcPr>
          <w:p>
            <w:r>
              <w:rPr>
                <w:rFonts w:ascii="Times New Roman" w:hAnsi="Times New Roman"/>
                <w:b/>
                <w:sz w:val="18"/>
              </w:rPr>
              <w:t>Primary AI Engine</w:t>
            </w:r>
          </w:p>
        </w:tc>
        <w:tc>
          <w:tcPr>
            <w:tcW w:type="dxa" w:w="3250"/>
            <w:tcMar>
              <w:top w:w="40" w:type="dxa"/>
              <w:bottom w:w="40" w:type="dxa"/>
              <w:left w:w="60" w:type="dxa"/>
              <w:right w:w="60" w:type="dxa"/>
            </w:tcMar>
          </w:tcPr>
          <w:p>
            <w:r>
              <w:rPr>
                <w:rFonts w:ascii="Times New Roman" w:hAnsi="Times New Roman"/>
                <w:sz w:val="18"/>
              </w:rPr>
              <w:t>Google Gemini 2.0 / LLM</w:t>
            </w:r>
          </w:p>
        </w:tc>
        <w:tc>
          <w:tcPr>
            <w:tcW w:type="dxa" w:w="3250"/>
            <w:tcMar>
              <w:top w:w="40" w:type="dxa"/>
              <w:bottom w:w="40" w:type="dxa"/>
              <w:left w:w="60" w:type="dxa"/>
              <w:right w:w="60" w:type="dxa"/>
            </w:tcMar>
          </w:tcPr>
          <w:p>
            <w:r>
              <w:rPr>
                <w:rFonts w:ascii="Times New Roman" w:hAnsi="Times New Roman"/>
                <w:sz w:val="18"/>
              </w:rPr>
              <w:t>Frontier generative language model operating with strict JSON schema constraints for Indian law.</w:t>
            </w:r>
          </w:p>
        </w:tc>
      </w:tr>
      <w:tr>
        <w:tc>
          <w:tcPr>
            <w:tcW w:type="dxa" w:w="3250"/>
            <w:tcMar>
              <w:top w:w="40" w:type="dxa"/>
              <w:bottom w:w="40" w:type="dxa"/>
              <w:left w:w="60" w:type="dxa"/>
              <w:right w:w="60" w:type="dxa"/>
            </w:tcMar>
          </w:tcPr>
          <w:p>
            <w:r>
              <w:rPr>
                <w:rFonts w:ascii="Times New Roman" w:hAnsi="Times New Roman"/>
                <w:b/>
                <w:sz w:val="18"/>
              </w:rPr>
              <w:t>Failover Engine</w:t>
            </w:r>
          </w:p>
        </w:tc>
        <w:tc>
          <w:tcPr>
            <w:tcW w:type="dxa" w:w="3250"/>
            <w:tcMar>
              <w:top w:w="40" w:type="dxa"/>
              <w:bottom w:w="40" w:type="dxa"/>
              <w:left w:w="60" w:type="dxa"/>
              <w:right w:w="60" w:type="dxa"/>
            </w:tcMar>
          </w:tcPr>
          <w:p>
            <w:r>
              <w:rPr>
                <w:rFonts w:ascii="Times New Roman" w:hAnsi="Times New Roman"/>
                <w:sz w:val="18"/>
              </w:rPr>
              <w:t>Bilingual Regex Matcher</w:t>
            </w:r>
          </w:p>
        </w:tc>
        <w:tc>
          <w:tcPr>
            <w:tcW w:type="dxa" w:w="3250"/>
            <w:tcMar>
              <w:top w:w="40" w:type="dxa"/>
              <w:bottom w:w="40" w:type="dxa"/>
              <w:left w:w="60" w:type="dxa"/>
              <w:right w:w="60" w:type="dxa"/>
            </w:tcMar>
          </w:tcPr>
          <w:p>
            <w:r>
              <w:rPr>
                <w:rFonts w:ascii="Times New Roman" w:hAnsi="Times New Roman"/>
                <w:sz w:val="18"/>
              </w:rPr>
              <w:t>Local deterministic pattern matcher providing sub-50ms failover triage during cloud API downtime.</w:t>
            </w:r>
          </w:p>
        </w:tc>
      </w:tr>
      <w:tr>
        <w:tc>
          <w:tcPr>
            <w:tcW w:type="dxa" w:w="3250"/>
            <w:tcMar>
              <w:top w:w="40" w:type="dxa"/>
              <w:bottom w:w="40" w:type="dxa"/>
              <w:left w:w="60" w:type="dxa"/>
              <w:right w:w="60" w:type="dxa"/>
            </w:tcMar>
          </w:tcPr>
          <w:p>
            <w:r>
              <w:rPr>
                <w:rFonts w:ascii="Times New Roman" w:hAnsi="Times New Roman"/>
                <w:b/>
                <w:sz w:val="18"/>
              </w:rPr>
              <w:t>Persistence Layer</w:t>
            </w:r>
          </w:p>
        </w:tc>
        <w:tc>
          <w:tcPr>
            <w:tcW w:type="dxa" w:w="3250"/>
            <w:tcMar>
              <w:top w:w="40" w:type="dxa"/>
              <w:bottom w:w="40" w:type="dxa"/>
              <w:left w:w="60" w:type="dxa"/>
              <w:right w:w="60" w:type="dxa"/>
            </w:tcMar>
          </w:tcPr>
          <w:p>
            <w:r>
              <w:rPr>
                <w:rFonts w:ascii="Times New Roman" w:hAnsi="Times New Roman"/>
                <w:sz w:val="18"/>
              </w:rPr>
              <w:t>MongoDB Atlas &amp; Mongoose</w:t>
            </w:r>
          </w:p>
        </w:tc>
        <w:tc>
          <w:tcPr>
            <w:tcW w:type="dxa" w:w="3250"/>
            <w:tcMar>
              <w:top w:w="40" w:type="dxa"/>
              <w:bottom w:w="40" w:type="dxa"/>
              <w:left w:w="60" w:type="dxa"/>
              <w:right w:w="60" w:type="dxa"/>
            </w:tcMar>
          </w:tcPr>
          <w:p>
            <w:r>
              <w:rPr>
                <w:rFonts w:ascii="Times New Roman" w:hAnsi="Times New Roman"/>
                <w:sz w:val="18"/>
              </w:rPr>
              <w:t>Document database indexing polymorphic advocate profiles, booking ledgers, and user sessions.</w:t>
            </w:r>
          </w:p>
        </w:tc>
      </w:tr>
      <w:tr>
        <w:tc>
          <w:tcPr>
            <w:tcW w:type="dxa" w:w="3250"/>
            <w:tcMar>
              <w:top w:w="40" w:type="dxa"/>
              <w:bottom w:w="40" w:type="dxa"/>
              <w:left w:w="60" w:type="dxa"/>
              <w:right w:w="60" w:type="dxa"/>
            </w:tcMar>
          </w:tcPr>
          <w:p>
            <w:r>
              <w:rPr>
                <w:rFonts w:ascii="Times New Roman" w:hAnsi="Times New Roman"/>
                <w:b/>
                <w:sz w:val="18"/>
              </w:rPr>
              <w:t>Directory Crawler</w:t>
            </w:r>
          </w:p>
        </w:tc>
        <w:tc>
          <w:tcPr>
            <w:tcW w:type="dxa" w:w="3250"/>
            <w:tcMar>
              <w:top w:w="40" w:type="dxa"/>
              <w:bottom w:w="40" w:type="dxa"/>
              <w:left w:w="60" w:type="dxa"/>
              <w:right w:w="60" w:type="dxa"/>
            </w:tcMar>
          </w:tcPr>
          <w:p>
            <w:r>
              <w:rPr>
                <w:rFonts w:ascii="Times New Roman" w:hAnsi="Times New Roman"/>
                <w:sz w:val="18"/>
              </w:rPr>
              <w:t>Cheerio &amp; Fetch API</w:t>
            </w:r>
          </w:p>
        </w:tc>
        <w:tc>
          <w:tcPr>
            <w:tcW w:type="dxa" w:w="3250"/>
            <w:tcMar>
              <w:top w:w="40" w:type="dxa"/>
              <w:bottom w:w="40" w:type="dxa"/>
              <w:left w:w="60" w:type="dxa"/>
              <w:right w:w="60" w:type="dxa"/>
            </w:tcMar>
          </w:tcPr>
          <w:p>
            <w:r>
              <w:rPr>
                <w:rFonts w:ascii="Times New Roman" w:hAnsi="Times New Roman"/>
                <w:sz w:val="18"/>
              </w:rPr>
              <w:t>Headless DOM and schema.org JSON-LD parser aggregating public advocate listings (LawRato).</w:t>
            </w:r>
          </w:p>
        </w:tc>
      </w:tr>
      <w:tr>
        <w:tc>
          <w:tcPr>
            <w:tcW w:type="dxa" w:w="3250"/>
            <w:tcMar>
              <w:top w:w="40" w:type="dxa"/>
              <w:bottom w:w="40" w:type="dxa"/>
              <w:left w:w="60" w:type="dxa"/>
              <w:right w:w="60" w:type="dxa"/>
            </w:tcMar>
          </w:tcPr>
          <w:p>
            <w:r>
              <w:rPr>
                <w:rFonts w:ascii="Times New Roman" w:hAnsi="Times New Roman"/>
                <w:b/>
                <w:sz w:val="18"/>
              </w:rPr>
              <w:t>Financial Escrow</w:t>
            </w:r>
          </w:p>
        </w:tc>
        <w:tc>
          <w:tcPr>
            <w:tcW w:type="dxa" w:w="3250"/>
            <w:tcMar>
              <w:top w:w="40" w:type="dxa"/>
              <w:bottom w:w="40" w:type="dxa"/>
              <w:left w:w="60" w:type="dxa"/>
              <w:right w:w="60" w:type="dxa"/>
            </w:tcMar>
          </w:tcPr>
          <w:p>
            <w:r>
              <w:rPr>
                <w:rFonts w:ascii="Times New Roman" w:hAnsi="Times New Roman"/>
                <w:sz w:val="18"/>
              </w:rPr>
              <w:t>Razorpay API &amp; Crypto</w:t>
            </w:r>
          </w:p>
        </w:tc>
        <w:tc>
          <w:tcPr>
            <w:tcW w:type="dxa" w:w="3250"/>
            <w:tcMar>
              <w:top w:w="40" w:type="dxa"/>
              <w:bottom w:w="40" w:type="dxa"/>
              <w:left w:w="60" w:type="dxa"/>
              <w:right w:w="60" w:type="dxa"/>
            </w:tcMar>
          </w:tcPr>
          <w:p>
            <w:r>
              <w:rPr>
                <w:rFonts w:ascii="Times New Roman" w:hAnsi="Times New Roman"/>
                <w:sz w:val="18"/>
              </w:rPr>
              <w:t>Payment order generation and server-side HMAC SHA-256 cryptographic signature verification.</w:t>
            </w:r>
          </w:p>
        </w:tc>
      </w:tr>
      <w:tr>
        <w:tc>
          <w:tcPr>
            <w:tcW w:type="dxa" w:w="3250"/>
            <w:tcMar>
              <w:top w:w="40" w:type="dxa"/>
              <w:bottom w:w="40" w:type="dxa"/>
              <w:left w:w="60" w:type="dxa"/>
              <w:right w:w="60" w:type="dxa"/>
            </w:tcMar>
          </w:tcPr>
          <w:p>
            <w:r>
              <w:rPr>
                <w:rFonts w:ascii="Times New Roman" w:hAnsi="Times New Roman"/>
                <w:b/>
                <w:sz w:val="18"/>
              </w:rPr>
              <w:t>Session Persistence</w:t>
            </w:r>
          </w:p>
        </w:tc>
        <w:tc>
          <w:tcPr>
            <w:tcW w:type="dxa" w:w="3250"/>
            <w:tcMar>
              <w:top w:w="40" w:type="dxa"/>
              <w:bottom w:w="40" w:type="dxa"/>
              <w:left w:w="60" w:type="dxa"/>
              <w:right w:w="60" w:type="dxa"/>
            </w:tcMar>
          </w:tcPr>
          <w:p>
            <w:r>
              <w:rPr>
                <w:rFonts w:ascii="Times New Roman" w:hAnsi="Times New Roman"/>
                <w:sz w:val="18"/>
              </w:rPr>
              <w:t>AppContext &amp; LocalStorage</w:t>
            </w:r>
          </w:p>
        </w:tc>
        <w:tc>
          <w:tcPr>
            <w:tcW w:type="dxa" w:w="3250"/>
            <w:tcMar>
              <w:top w:w="40" w:type="dxa"/>
              <w:bottom w:w="40" w:type="dxa"/>
              <w:left w:w="60" w:type="dxa"/>
              <w:right w:w="60" w:type="dxa"/>
            </w:tcMar>
          </w:tcPr>
          <w:p>
            <w:r>
              <w:rPr>
                <w:rFonts w:ascii="Times New Roman" w:hAnsi="Times New Roman"/>
                <w:sz w:val="18"/>
              </w:rPr>
              <w:t>Client-side session caching complying with DPDP Act 2023 by preventing unencrypted cloud data leaks.</w:t>
            </w:r>
          </w:p>
        </w:tc>
      </w:tr>
    </w:tbl>
    <w:p>
      <w:r>
        <w:rPr>
          <w:rFonts w:ascii="Times New Roman" w:hAnsi="Times New Roman"/>
          <w:b/>
          <w:sz w:val="26"/>
        </w:rPr>
        <w:t>Hardware &amp; Deployment Environment Specifications</w:t>
      </w:r>
    </w:p>
    <w:p>
      <w:r>
        <w:rPr>
          <w:rFonts w:ascii="Times New Roman" w:hAnsi="Times New Roman"/>
          <w:b/>
          <w:sz w:val="20"/>
        </w:rPr>
        <w:t xml:space="preserve">• Host Operating System: </w:t>
      </w:r>
      <w:r>
        <w:rPr>
          <w:rFonts w:ascii="Times New Roman" w:hAnsi="Times New Roman"/>
          <w:sz w:val="20"/>
        </w:rPr>
        <w:t>Cross-platform deployment on Linux (Ubuntu 22.04 LTS / Debian 12) or Windows 11.</w:t>
      </w:r>
    </w:p>
    <w:p>
      <w:r>
        <w:rPr>
          <w:rFonts w:ascii="Times New Roman" w:hAnsi="Times New Roman"/>
          <w:b/>
          <w:sz w:val="20"/>
        </w:rPr>
        <w:t xml:space="preserve">• Compute &amp; Memory Resources: </w:t>
      </w:r>
      <w:r>
        <w:rPr>
          <w:rFonts w:ascii="Times New Roman" w:hAnsi="Times New Roman"/>
          <w:sz w:val="20"/>
        </w:rPr>
        <w:t>Standard lightweight virtual machine (2 vCPUs, 4 GB RAM; zero dedicated GPU compute required).</w:t>
      </w:r>
    </w:p>
    <w:p>
      <w:r>
        <w:rPr>
          <w:rFonts w:ascii="Times New Roman" w:hAnsi="Times New Roman"/>
          <w:b/>
          <w:sz w:val="20"/>
        </w:rPr>
        <w:t xml:space="preserve">• Network Topology: </w:t>
      </w:r>
      <w:r>
        <w:rPr>
          <w:rFonts w:ascii="Times New Roman" w:hAnsi="Times New Roman"/>
          <w:sz w:val="20"/>
        </w:rPr>
        <w:t>HTTPS / TLS 1.3 reverse-proxied via Nginx; stateless RESTful API communicating over standard TCP ports (5000/443).</w:t>
      </w:r>
    </w:p>
    <w:p>
      <w:r>
        <w:rPr>
          <w:rFonts w:ascii="Times New Roman" w:hAnsi="Times New Roman"/>
          <w:b/>
          <w:sz w:val="20"/>
        </w:rPr>
        <w:t xml:space="preserve">• Client System Requirements: </w:t>
      </w:r>
      <w:r>
        <w:rPr>
          <w:rFonts w:ascii="Times New Roman" w:hAnsi="Times New Roman"/>
          <w:sz w:val="20"/>
        </w:rPr>
        <w:t>Any modern desktop or mobile browser supporting the W3C Web Speech API (Google Chrome 90+, Microsoft Edge 90+, Safari 14.1+).</w:t>
      </w:r>
    </w:p>
    <w:p>
      <w:r>
        <w:br w:type="page"/>
      </w:r>
    </w:p>
    <w:p>
      <w:pPr>
        <w:pStyle w:val="Heading1"/>
      </w:pPr>
      <w:r>
        <w:rPr>
          <w:rFonts w:ascii="Times New Roman" w:hAnsi="Times New Roman"/>
          <w:color w:val="0F172A"/>
          <w:sz w:val="30"/>
        </w:rPr>
        <w:t>6. V.E.T.S Justification</w:t>
      </w:r>
    </w:p>
    <w:p>
      <w:r>
        <w:rPr>
          <w:rFonts w:ascii="Times New Roman" w:hAnsi="Times New Roman"/>
          <w:sz w:val="22"/>
        </w:rPr>
        <w:t>The Vakil Setu project is systematically validated against the institutional V.E.T.S evaluation framework:</w:t>
      </w:r>
    </w:p>
    <w:p>
      <w:r>
        <w:rPr>
          <w:rFonts w:ascii="Times New Roman" w:hAnsi="Times New Roman"/>
          <w:b/>
          <w:sz w:val="21"/>
        </w:rPr>
        <w:t xml:space="preserve">V — Viability: </w:t>
      </w:r>
      <w:r>
        <w:rPr>
          <w:rFonts w:ascii="Times New Roman" w:hAnsi="Times New Roman"/>
          <w:sz w:val="21"/>
        </w:rPr>
        <w:t>The project is thoroughly feasible within the standard 12-week academic timeline. Development utilizes commodity workstation hardware without requiring expensive multi-GPU clusters. All core technologies—including React 18, Node.js, the W3C Web Speech API, MongoDB Atlas, and the Razorpay Checkout SDK—are production-stable, well-documented, and freely accessible. The system architecture directly leverages the candidate's core competencies in full-stack web engineering, API integration, and asynchronous distributed systems.</w:t>
      </w:r>
    </w:p>
    <w:p>
      <w:r>
        <w:rPr>
          <w:rFonts w:ascii="Times New Roman" w:hAnsi="Times New Roman"/>
          <w:b/>
          <w:sz w:val="21"/>
        </w:rPr>
        <w:t xml:space="preserve">E — Engineering Depth: </w:t>
      </w:r>
      <w:r>
        <w:rPr>
          <w:rFonts w:ascii="Times New Roman" w:hAnsi="Times New Roman"/>
          <w:sz w:val="21"/>
        </w:rPr>
        <w:t>Vakil Setu represents substantial systems engineering that goes far beyond trivial CRUD applications or basic AI wrappers. Key engineering challenges successfully solved include:</w:t>
        <w:br/>
        <w:t>1. Client-side audio stream lifecycle management with real-time interim token rendering and BCP-47 locale tagging.</w:t>
        <w:br/>
        <w:t>2. Dual-engine AI orchestration featuring structured JSON schema prompt enforcement and deterministic regex failover.</w:t>
        <w:br/>
        <w:t>3. Autonomous web scraping and data normalization pipeline using Cheerio to crawl, deduplicate, and upsert public lawyer profiles.</w:t>
        <w:br/>
        <w:t>4. Cryptographic payment escrow verification using server-side HMAC SHA-256 hash recalculation.</w:t>
        <w:br/>
        <w:t>5. Client-side session state hydration and multi-turn sliding context preservation adhering to data minimization standards.</w:t>
      </w:r>
    </w:p>
    <w:p>
      <w:r>
        <w:rPr>
          <w:rFonts w:ascii="Times New Roman" w:hAnsi="Times New Roman"/>
          <w:b/>
          <w:sz w:val="21"/>
        </w:rPr>
        <w:t xml:space="preserve">T — Trend / Statutory Alignment: </w:t>
      </w:r>
      <w:r>
        <w:rPr>
          <w:rFonts w:ascii="Times New Roman" w:hAnsi="Times New Roman"/>
          <w:sz w:val="21"/>
        </w:rPr>
        <w:t>The project directly aligns with contemporary 2026 technological and national policy priorities:</w:t>
        <w:br/>
        <w:t>• Digital India and the Ministry of Law and Justice's Tele-Law mission to mainstream access to justice across Gram Panchayats.</w:t>
        <w:br/>
        <w:t>• Modern Indic language computing initiatives (such as Bhashini) delivering multilingual public services.</w:t>
        <w:br/>
        <w:t>• Full compliance with Section 29 of the Advocates Act, 1961, Rule 36 of Bar Council of India advertising norms, and the Digital Personal Data Protection (DPDP) Act, 2023.</w:t>
      </w:r>
    </w:p>
    <w:p>
      <w:r>
        <w:rPr>
          <w:rFonts w:ascii="Times New Roman" w:hAnsi="Times New Roman"/>
          <w:b/>
          <w:sz w:val="21"/>
        </w:rPr>
        <w:t xml:space="preserve">S — Social / Industry Impact: </w:t>
      </w:r>
      <w:r>
        <w:rPr>
          <w:rFonts w:ascii="Times New Roman" w:hAnsi="Times New Roman"/>
          <w:sz w:val="21"/>
        </w:rPr>
        <w:t>In India, the lack of timely legal guidance exacerbates poverty, domestic distress, and unlawful exploitation. By providing free, hands-free bilingual legal triage in spoken Hindi and English, Vakil Setu empowers everyday citizens to understand their rights, preserves critical evidence before statutory limitation periods expire under the Limitation Act 1963, and connects underprivileged citizens to statutory free legal aid (NALSA/DLSA).</w:t>
      </w:r>
    </w:p>
    <w:p>
      <w:r>
        <w:br w:type="page"/>
      </w:r>
    </w:p>
    <w:p>
      <w:pPr>
        <w:pStyle w:val="Heading1"/>
      </w:pPr>
      <w:r>
        <w:rPr>
          <w:rFonts w:ascii="Times New Roman" w:hAnsi="Times New Roman"/>
          <w:color w:val="0F172A"/>
          <w:sz w:val="30"/>
        </w:rPr>
        <w:t>7. Expected Outcomes</w:t>
      </w:r>
    </w:p>
    <w:p>
      <w:r>
        <w:rPr>
          <w:rFonts w:ascii="Times New Roman" w:hAnsi="Times New Roman"/>
          <w:sz w:val="22"/>
        </w:rPr>
        <w:t>Upon successful completion of the project, the following concrete deliverables will be produced:</w:t>
      </w:r>
    </w:p>
    <w:p>
      <w:r>
        <w:rPr>
          <w:rFonts w:ascii="Times New Roman" w:hAnsi="Times New Roman"/>
          <w:b/>
          <w:sz w:val="21"/>
        </w:rPr>
        <w:t xml:space="preserve">1. Vakil Setu Web Application Prototype: </w:t>
      </w:r>
      <w:r>
        <w:rPr>
          <w:rFonts w:ascii="Times New Roman" w:hAnsi="Times New Roman"/>
          <w:sz w:val="21"/>
        </w:rPr>
        <w:t>A fully functional, responsive Single Page Application supporting voice dictation in Hindi and English, dynamic case analysis dashboards, advocate discovery, and appointment booking.</w:t>
      </w:r>
    </w:p>
    <w:p>
      <w:r>
        <w:rPr>
          <w:rFonts w:ascii="Times New Roman" w:hAnsi="Times New Roman"/>
          <w:b/>
          <w:sz w:val="21"/>
        </w:rPr>
        <w:t xml:space="preserve">2. Dual-Engine Legal Triage Service: </w:t>
      </w:r>
      <w:r>
        <w:rPr>
          <w:rFonts w:ascii="Times New Roman" w:hAnsi="Times New Roman"/>
          <w:sz w:val="21"/>
        </w:rPr>
        <w:t>A fault-tolerant Node.js microservice (/api/ai/triage) providing structured legal domain categorization, urgency estimation, and plain-language action recommendations with sub-50ms regex failover.</w:t>
      </w:r>
    </w:p>
    <w:p>
      <w:r>
        <w:rPr>
          <w:rFonts w:ascii="Times New Roman" w:hAnsi="Times New Roman"/>
          <w:b/>
          <w:sz w:val="21"/>
        </w:rPr>
        <w:t xml:space="preserve">3. Autonomous Directory Ingestion Engine: </w:t>
      </w:r>
      <w:r>
        <w:rPr>
          <w:rFonts w:ascii="Times New Roman" w:hAnsi="Times New Roman"/>
          <w:sz w:val="21"/>
        </w:rPr>
        <w:t>A production-ready Cheerio web scraping pipeline that extracts, normalizes, and upserts public lawyer profiles into MongoDB with domain taxonomy mapping.</w:t>
      </w:r>
    </w:p>
    <w:p>
      <w:r>
        <w:rPr>
          <w:rFonts w:ascii="Times New Roman" w:hAnsi="Times New Roman"/>
          <w:b/>
          <w:sz w:val="21"/>
        </w:rPr>
        <w:t xml:space="preserve">4. Cryptographic Escrow &amp; Booking Gateway: </w:t>
      </w:r>
      <w:r>
        <w:rPr>
          <w:rFonts w:ascii="Times New Roman" w:hAnsi="Times New Roman"/>
          <w:sz w:val="21"/>
        </w:rPr>
        <w:t>A secure transaction gateway supporting Razorpay order creation, HMAC SHA-256 signature verification, and automated regulatory refunds.</w:t>
      </w:r>
    </w:p>
    <w:p>
      <w:r>
        <w:rPr>
          <w:rFonts w:ascii="Times New Roman" w:hAnsi="Times New Roman"/>
          <w:b/>
          <w:sz w:val="21"/>
        </w:rPr>
        <w:t xml:space="preserve">5. Statutory Emergency SOS &amp; Arrest Rights Hub: </w:t>
      </w:r>
      <w:r>
        <w:rPr>
          <w:rFonts w:ascii="Times New Roman" w:hAnsi="Times New Roman"/>
          <w:sz w:val="21"/>
        </w:rPr>
        <w:t>A dedicated crisis intervention module providing direct 1-tap call triggers to 112, 1091, and 15100 (NALSA), alongside a verified checklist of statutory rights under Section 35 of the Bharatiya Nagarik Suraksha Sanhita (BNSS).</w:t>
      </w:r>
    </w:p>
    <w:p>
      <w:r>
        <w:rPr>
          <w:rFonts w:ascii="Times New Roman" w:hAnsi="Times New Roman"/>
          <w:b/>
          <w:sz w:val="21"/>
        </w:rPr>
        <w:t xml:space="preserve">6. Empirical Triage Evaluation Report: </w:t>
      </w:r>
      <w:r>
        <w:rPr>
          <w:rFonts w:ascii="Times New Roman" w:hAnsi="Times New Roman"/>
          <w:sz w:val="21"/>
        </w:rPr>
        <w:t>A comprehensive experimental evaluation validating triage accuracy across 100 sample legal dispute narratives spanning Criminal, Civil, Family, and Property law.</w:t>
      </w:r>
    </w:p>
    <w:p>
      <w:r>
        <w:rPr>
          <w:rFonts w:ascii="Times New Roman" w:hAnsi="Times New Roman"/>
          <w:b/>
          <w:sz w:val="26"/>
        </w:rPr>
        <w:t>Verification &amp; Demonstration Setup</w:t>
      </w:r>
    </w:p>
    <w:p>
      <w:r>
        <w:rPr>
          <w:rFonts w:ascii="Times New Roman" w:hAnsi="Times New Roman"/>
          <w:sz w:val="21"/>
        </w:rPr>
        <w:t>The final prototype will be demonstrated in a live side-by-side browser and terminal environment evaluating 5 representative real-world legal dispute scenarios (landlord tenant dispute, cheque bounce notice, domestic violence complaint, unlawful police detention, and property title contest):</w:t>
        <w:br/>
        <w:t>• Baseline Scenario: An unassisted litigant navigating a traditional English legal portal or generic chatbot, displaying high cognitive burden and legal hallucinations.</w:t>
        <w:br/>
        <w:t>• Vakil Setu Scenario: Identical dispute dictated via Hindi voice, demonstrating real-time transcription, sub-3s statutory triage, spoken audio summary, verified advocate matching, and simulated Razorpay escrow booking.</w:t>
      </w:r>
    </w:p>
    <w:p>
      <w:r>
        <w:br w:type="page"/>
      </w:r>
    </w:p>
    <w:p>
      <w:pPr>
        <w:pStyle w:val="Heading1"/>
      </w:pPr>
      <w:r>
        <w:rPr>
          <w:rFonts w:ascii="Times New Roman" w:hAnsi="Times New Roman"/>
          <w:color w:val="0F172A"/>
          <w:sz w:val="30"/>
        </w:rPr>
        <w:t>8. Implementation Timeline</w:t>
      </w:r>
    </w:p>
    <w:p>
      <w:r>
        <w:rPr>
          <w:rFonts w:ascii="Times New Roman" w:hAnsi="Times New Roman"/>
          <w:sz w:val="22"/>
        </w:rPr>
        <w:t>The project development lifecycle is structured across five sequential phases spanning a 12-week schedule:</w:t>
      </w:r>
    </w:p>
    <w:tbl>
      <w:tblPr>
        <w:tblW w:type="auto" w:w="0"/>
        <w:jc w:val="center"/>
        <w:tblLook w:firstColumn="1" w:firstRow="1" w:lastColumn="0" w:lastRow="0" w:noHBand="0" w:noVBand="1" w:val="04A0"/>
      </w:tblPr>
      <w:tblGrid>
        <w:gridCol w:w="2437"/>
        <w:gridCol w:w="2437"/>
        <w:gridCol w:w="2437"/>
        <w:gridCol w:w="2437"/>
      </w:tblGrid>
      <w:tr>
        <w:tc>
          <w:tcPr>
            <w:tcW w:type="dxa" w:w="2437"/>
            <w:shd w:fill="F1F5F9"/>
            <w:tcMar>
              <w:top w:w="50" w:type="dxa"/>
              <w:bottom w:w="50" w:type="dxa"/>
              <w:left w:w="60" w:type="dxa"/>
              <w:right w:w="60" w:type="dxa"/>
            </w:tcMar>
          </w:tcPr>
          <w:p>
            <w:r>
              <w:rPr>
                <w:rFonts w:ascii="Times New Roman" w:hAnsi="Times New Roman"/>
                <w:b/>
                <w:sz w:val="20"/>
              </w:rPr>
              <w:t>Phase</w:t>
            </w:r>
          </w:p>
        </w:tc>
        <w:tc>
          <w:tcPr>
            <w:tcW w:type="dxa" w:w="2437"/>
            <w:shd w:fill="F1F5F9"/>
            <w:tcMar>
              <w:top w:w="50" w:type="dxa"/>
              <w:bottom w:w="50" w:type="dxa"/>
              <w:left w:w="60" w:type="dxa"/>
              <w:right w:w="60" w:type="dxa"/>
            </w:tcMar>
          </w:tcPr>
          <w:p>
            <w:r>
              <w:rPr>
                <w:rFonts w:ascii="Times New Roman" w:hAnsi="Times New Roman"/>
                <w:b/>
                <w:sz w:val="20"/>
              </w:rPr>
              <w:t>Stage</w:t>
            </w:r>
          </w:p>
        </w:tc>
        <w:tc>
          <w:tcPr>
            <w:tcW w:type="dxa" w:w="2437"/>
            <w:shd w:fill="F1F5F9"/>
            <w:tcMar>
              <w:top w:w="50" w:type="dxa"/>
              <w:bottom w:w="50" w:type="dxa"/>
              <w:left w:w="60" w:type="dxa"/>
              <w:right w:w="60" w:type="dxa"/>
            </w:tcMar>
          </w:tcPr>
          <w:p>
            <w:r>
              <w:rPr>
                <w:rFonts w:ascii="Times New Roman" w:hAnsi="Times New Roman"/>
                <w:b/>
                <w:sz w:val="20"/>
              </w:rPr>
              <w:t>Key Activities &amp; Deliverables</w:t>
            </w:r>
          </w:p>
        </w:tc>
        <w:tc>
          <w:tcPr>
            <w:tcW w:type="dxa" w:w="2437"/>
            <w:shd w:fill="F1F5F9"/>
            <w:tcMar>
              <w:top w:w="50" w:type="dxa"/>
              <w:bottom w:w="50" w:type="dxa"/>
              <w:left w:w="60" w:type="dxa"/>
              <w:right w:w="60" w:type="dxa"/>
            </w:tcMar>
          </w:tcPr>
          <w:p>
            <w:r>
              <w:rPr>
                <w:rFonts w:ascii="Times New Roman" w:hAnsi="Times New Roman"/>
                <w:b/>
                <w:sz w:val="20"/>
              </w:rPr>
              <w:t>Duration</w:t>
            </w:r>
          </w:p>
        </w:tc>
      </w:tr>
      <w:tr>
        <w:tc>
          <w:tcPr>
            <w:tcW w:type="dxa" w:w="2437"/>
            <w:tcMar>
              <w:top w:w="40" w:type="dxa"/>
              <w:bottom w:w="40" w:type="dxa"/>
              <w:left w:w="60" w:type="dxa"/>
              <w:right w:w="60" w:type="dxa"/>
            </w:tcMar>
          </w:tcPr>
          <w:p>
            <w:r>
              <w:rPr>
                <w:rFonts w:ascii="Times New Roman" w:hAnsi="Times New Roman"/>
                <w:b/>
                <w:sz w:val="18"/>
              </w:rPr>
              <w:t>Phase 1</w:t>
            </w:r>
          </w:p>
        </w:tc>
        <w:tc>
          <w:tcPr>
            <w:tcW w:type="dxa" w:w="2437"/>
            <w:tcMar>
              <w:top w:w="40" w:type="dxa"/>
              <w:bottom w:w="40" w:type="dxa"/>
              <w:left w:w="60" w:type="dxa"/>
              <w:right w:w="60" w:type="dxa"/>
            </w:tcMar>
          </w:tcPr>
          <w:p>
            <w:r>
              <w:rPr>
                <w:rFonts w:ascii="Times New Roman" w:hAnsi="Times New Roman"/>
                <w:sz w:val="18"/>
              </w:rPr>
              <w:t>Requirement Study &amp; Legal Taxonomy</w:t>
            </w:r>
          </w:p>
        </w:tc>
        <w:tc>
          <w:tcPr>
            <w:tcW w:type="dxa" w:w="2437"/>
            <w:tcMar>
              <w:top w:w="40" w:type="dxa"/>
              <w:bottom w:w="40" w:type="dxa"/>
              <w:left w:w="60" w:type="dxa"/>
              <w:right w:w="60" w:type="dxa"/>
            </w:tcMar>
          </w:tcPr>
          <w:p>
            <w:r>
              <w:rPr>
                <w:rFonts w:ascii="Times New Roman" w:hAnsi="Times New Roman"/>
                <w:sz w:val="18"/>
              </w:rPr>
              <w:t>Cataloging Indian statutory domains (BNS, CrPC, CPC); formalizing JSON schema contracts and speech recognition pipeline specifications.</w:t>
            </w:r>
          </w:p>
        </w:tc>
        <w:tc>
          <w:tcPr>
            <w:tcW w:type="dxa" w:w="2437"/>
            <w:tcMar>
              <w:top w:w="40" w:type="dxa"/>
              <w:bottom w:w="40" w:type="dxa"/>
              <w:left w:w="60" w:type="dxa"/>
              <w:right w:w="60" w:type="dxa"/>
            </w:tcMar>
          </w:tcPr>
          <w:p>
            <w:r>
              <w:rPr>
                <w:rFonts w:ascii="Times New Roman" w:hAnsi="Times New Roman"/>
                <w:sz w:val="18"/>
              </w:rPr>
              <w:t>Weeks 1–2</w:t>
            </w:r>
          </w:p>
        </w:tc>
      </w:tr>
      <w:tr>
        <w:tc>
          <w:tcPr>
            <w:tcW w:type="dxa" w:w="2437"/>
            <w:tcMar>
              <w:top w:w="40" w:type="dxa"/>
              <w:bottom w:w="40" w:type="dxa"/>
              <w:left w:w="60" w:type="dxa"/>
              <w:right w:w="60" w:type="dxa"/>
            </w:tcMar>
          </w:tcPr>
          <w:p>
            <w:r>
              <w:rPr>
                <w:rFonts w:ascii="Times New Roman" w:hAnsi="Times New Roman"/>
                <w:b/>
                <w:sz w:val="18"/>
              </w:rPr>
              <w:t>Phase 2</w:t>
            </w:r>
          </w:p>
        </w:tc>
        <w:tc>
          <w:tcPr>
            <w:tcW w:type="dxa" w:w="2437"/>
            <w:tcMar>
              <w:top w:w="40" w:type="dxa"/>
              <w:bottom w:w="40" w:type="dxa"/>
              <w:left w:w="60" w:type="dxa"/>
              <w:right w:w="60" w:type="dxa"/>
            </w:tcMar>
          </w:tcPr>
          <w:p>
            <w:r>
              <w:rPr>
                <w:rFonts w:ascii="Times New Roman" w:hAnsi="Times New Roman"/>
                <w:sz w:val="18"/>
              </w:rPr>
              <w:t>Core Gateway &amp; Voice Pipeline</w:t>
            </w:r>
          </w:p>
        </w:tc>
        <w:tc>
          <w:tcPr>
            <w:tcW w:type="dxa" w:w="2437"/>
            <w:tcMar>
              <w:top w:w="40" w:type="dxa"/>
              <w:bottom w:w="40" w:type="dxa"/>
              <w:left w:w="60" w:type="dxa"/>
              <w:right w:w="60" w:type="dxa"/>
            </w:tcMar>
          </w:tcPr>
          <w:p>
            <w:r>
              <w:rPr>
                <w:rFonts w:ascii="Times New Roman" w:hAnsi="Times New Roman"/>
                <w:sz w:val="18"/>
              </w:rPr>
              <w:t>Scaffolding React 18 SPA and Express API gateway; implementing Web Speech STT/TTS and BCP-47 locale tagging.</w:t>
            </w:r>
          </w:p>
        </w:tc>
        <w:tc>
          <w:tcPr>
            <w:tcW w:type="dxa" w:w="2437"/>
            <w:tcMar>
              <w:top w:w="40" w:type="dxa"/>
              <w:bottom w:w="40" w:type="dxa"/>
              <w:left w:w="60" w:type="dxa"/>
              <w:right w:w="60" w:type="dxa"/>
            </w:tcMar>
          </w:tcPr>
          <w:p>
            <w:r>
              <w:rPr>
                <w:rFonts w:ascii="Times New Roman" w:hAnsi="Times New Roman"/>
                <w:sz w:val="18"/>
              </w:rPr>
              <w:t>Weeks 3–4</w:t>
            </w:r>
          </w:p>
        </w:tc>
      </w:tr>
      <w:tr>
        <w:tc>
          <w:tcPr>
            <w:tcW w:type="dxa" w:w="2437"/>
            <w:tcMar>
              <w:top w:w="40" w:type="dxa"/>
              <w:bottom w:w="40" w:type="dxa"/>
              <w:left w:w="60" w:type="dxa"/>
              <w:right w:w="60" w:type="dxa"/>
            </w:tcMar>
          </w:tcPr>
          <w:p>
            <w:r>
              <w:rPr>
                <w:rFonts w:ascii="Times New Roman" w:hAnsi="Times New Roman"/>
                <w:b/>
                <w:sz w:val="18"/>
              </w:rPr>
              <w:t>Phase 3</w:t>
            </w:r>
          </w:p>
        </w:tc>
        <w:tc>
          <w:tcPr>
            <w:tcW w:type="dxa" w:w="2437"/>
            <w:tcMar>
              <w:top w:w="40" w:type="dxa"/>
              <w:bottom w:w="40" w:type="dxa"/>
              <w:left w:w="60" w:type="dxa"/>
              <w:right w:w="60" w:type="dxa"/>
            </w:tcMar>
          </w:tcPr>
          <w:p>
            <w:r>
              <w:rPr>
                <w:rFonts w:ascii="Times New Roman" w:hAnsi="Times New Roman"/>
                <w:sz w:val="18"/>
              </w:rPr>
              <w:t>Dual-Engine Triage &amp; Scraper</w:t>
            </w:r>
          </w:p>
        </w:tc>
        <w:tc>
          <w:tcPr>
            <w:tcW w:type="dxa" w:w="2437"/>
            <w:tcMar>
              <w:top w:w="40" w:type="dxa"/>
              <w:bottom w:w="40" w:type="dxa"/>
              <w:left w:w="60" w:type="dxa"/>
              <w:right w:w="60" w:type="dxa"/>
            </w:tcMar>
          </w:tcPr>
          <w:p>
            <w:r>
              <w:rPr>
                <w:rFonts w:ascii="Times New Roman" w:hAnsi="Times New Roman"/>
                <w:sz w:val="18"/>
              </w:rPr>
              <w:t>Integrating Google Gemini 2.0 API; building local deterministic regex failover engine; developing Cheerio directory crawler.</w:t>
            </w:r>
          </w:p>
        </w:tc>
        <w:tc>
          <w:tcPr>
            <w:tcW w:type="dxa" w:w="2437"/>
            <w:tcMar>
              <w:top w:w="40" w:type="dxa"/>
              <w:bottom w:w="40" w:type="dxa"/>
              <w:left w:w="60" w:type="dxa"/>
              <w:right w:w="60" w:type="dxa"/>
            </w:tcMar>
          </w:tcPr>
          <w:p>
            <w:r>
              <w:rPr>
                <w:rFonts w:ascii="Times New Roman" w:hAnsi="Times New Roman"/>
                <w:sz w:val="18"/>
              </w:rPr>
              <w:t>Weeks 5–7</w:t>
            </w:r>
          </w:p>
        </w:tc>
      </w:tr>
      <w:tr>
        <w:tc>
          <w:tcPr>
            <w:tcW w:type="dxa" w:w="2437"/>
            <w:tcMar>
              <w:top w:w="40" w:type="dxa"/>
              <w:bottom w:w="40" w:type="dxa"/>
              <w:left w:w="60" w:type="dxa"/>
              <w:right w:w="60" w:type="dxa"/>
            </w:tcMar>
          </w:tcPr>
          <w:p>
            <w:r>
              <w:rPr>
                <w:rFonts w:ascii="Times New Roman" w:hAnsi="Times New Roman"/>
                <w:b/>
                <w:sz w:val="18"/>
              </w:rPr>
              <w:t>Phase 4</w:t>
            </w:r>
          </w:p>
        </w:tc>
        <w:tc>
          <w:tcPr>
            <w:tcW w:type="dxa" w:w="2437"/>
            <w:tcMar>
              <w:top w:w="40" w:type="dxa"/>
              <w:bottom w:w="40" w:type="dxa"/>
              <w:left w:w="60" w:type="dxa"/>
              <w:right w:w="60" w:type="dxa"/>
            </w:tcMar>
          </w:tcPr>
          <w:p>
            <w:r>
              <w:rPr>
                <w:rFonts w:ascii="Times New Roman" w:hAnsi="Times New Roman"/>
                <w:sz w:val="18"/>
              </w:rPr>
              <w:t>Escrow Booking &amp; Emergency Hub</w:t>
            </w:r>
          </w:p>
        </w:tc>
        <w:tc>
          <w:tcPr>
            <w:tcW w:type="dxa" w:w="2437"/>
            <w:tcMar>
              <w:top w:w="40" w:type="dxa"/>
              <w:bottom w:w="40" w:type="dxa"/>
              <w:left w:w="60" w:type="dxa"/>
              <w:right w:w="60" w:type="dxa"/>
            </w:tcMar>
          </w:tcPr>
          <w:p>
            <w:r>
              <w:rPr>
                <w:rFonts w:ascii="Times New Roman" w:hAnsi="Times New Roman"/>
                <w:sz w:val="18"/>
              </w:rPr>
              <w:t>Connecting Razorpay Orders API; implementing HMAC SHA-256 signature verification; deploying Emergency SOS and arrest rights module.</w:t>
            </w:r>
          </w:p>
        </w:tc>
        <w:tc>
          <w:tcPr>
            <w:tcW w:type="dxa" w:w="2437"/>
            <w:tcMar>
              <w:top w:w="40" w:type="dxa"/>
              <w:bottom w:w="40" w:type="dxa"/>
              <w:left w:w="60" w:type="dxa"/>
              <w:right w:w="60" w:type="dxa"/>
            </w:tcMar>
          </w:tcPr>
          <w:p>
            <w:r>
              <w:rPr>
                <w:rFonts w:ascii="Times New Roman" w:hAnsi="Times New Roman"/>
                <w:sz w:val="18"/>
              </w:rPr>
              <w:t>Weeks 8–9</w:t>
            </w:r>
          </w:p>
        </w:tc>
      </w:tr>
      <w:tr>
        <w:tc>
          <w:tcPr>
            <w:tcW w:type="dxa" w:w="2437"/>
            <w:tcMar>
              <w:top w:w="40" w:type="dxa"/>
              <w:bottom w:w="40" w:type="dxa"/>
              <w:left w:w="60" w:type="dxa"/>
              <w:right w:w="60" w:type="dxa"/>
            </w:tcMar>
          </w:tcPr>
          <w:p>
            <w:r>
              <w:rPr>
                <w:rFonts w:ascii="Times New Roman" w:hAnsi="Times New Roman"/>
                <w:b/>
                <w:sz w:val="18"/>
              </w:rPr>
              <w:t>Phase 5</w:t>
            </w:r>
          </w:p>
        </w:tc>
        <w:tc>
          <w:tcPr>
            <w:tcW w:type="dxa" w:w="2437"/>
            <w:tcMar>
              <w:top w:w="40" w:type="dxa"/>
              <w:bottom w:w="40" w:type="dxa"/>
              <w:left w:w="60" w:type="dxa"/>
              <w:right w:w="60" w:type="dxa"/>
            </w:tcMar>
          </w:tcPr>
          <w:p>
            <w:r>
              <w:rPr>
                <w:rFonts w:ascii="Times New Roman" w:hAnsi="Times New Roman"/>
                <w:sz w:val="18"/>
              </w:rPr>
              <w:t>Benchmarking &amp; Documentation</w:t>
            </w:r>
          </w:p>
        </w:tc>
        <w:tc>
          <w:tcPr>
            <w:tcW w:type="dxa" w:w="2437"/>
            <w:tcMar>
              <w:top w:w="40" w:type="dxa"/>
              <w:bottom w:w="40" w:type="dxa"/>
              <w:left w:w="60" w:type="dxa"/>
              <w:right w:w="60" w:type="dxa"/>
            </w:tcMar>
          </w:tcPr>
          <w:p>
            <w:r>
              <w:rPr>
                <w:rFonts w:ascii="Times New Roman" w:hAnsi="Times New Roman"/>
                <w:sz w:val="18"/>
              </w:rPr>
              <w:t>Executing triage accuracy evaluations across 100 legal test cases; compiling final IEEE SRS report; project defense.</w:t>
            </w:r>
          </w:p>
        </w:tc>
        <w:tc>
          <w:tcPr>
            <w:tcW w:type="dxa" w:w="2437"/>
            <w:tcMar>
              <w:top w:w="40" w:type="dxa"/>
              <w:bottom w:w="40" w:type="dxa"/>
              <w:left w:w="60" w:type="dxa"/>
              <w:right w:w="60" w:type="dxa"/>
            </w:tcMar>
          </w:tcPr>
          <w:p>
            <w:r>
              <w:rPr>
                <w:rFonts w:ascii="Times New Roman" w:hAnsi="Times New Roman"/>
                <w:sz w:val="18"/>
              </w:rPr>
              <w:t>Weeks 10–12</w:t>
            </w:r>
          </w:p>
        </w:tc>
      </w:tr>
    </w:tbl>
    <w:p>
      <w:r>
        <w:rPr>
          <w:rFonts w:ascii="Times New Roman" w:hAnsi="Times New Roman"/>
          <w:b/>
          <w:sz w:val="26"/>
        </w:rPr>
        <w:t>Milestone Review Criteria &amp; Risk Mitigation Plan</w:t>
      </w:r>
    </w:p>
    <w:p>
      <w:r>
        <w:rPr>
          <w:rFonts w:ascii="Times New Roman" w:hAnsi="Times New Roman"/>
          <w:b/>
          <w:sz w:val="20"/>
        </w:rPr>
        <w:t xml:space="preserve">• Milestone 1 (Week 4): </w:t>
      </w:r>
      <w:r>
        <w:rPr>
          <w:rFonts w:ascii="Times New Roman" w:hAnsi="Times New Roman"/>
          <w:sz w:val="20"/>
        </w:rPr>
        <w:t>Client-side voice engine successfully captures spoken Hindi and English with live token streaming and under 200ms rendering latency.</w:t>
      </w:r>
    </w:p>
    <w:p>
      <w:r>
        <w:rPr>
          <w:rFonts w:ascii="Times New Roman" w:hAnsi="Times New Roman"/>
          <w:b/>
          <w:sz w:val="20"/>
        </w:rPr>
        <w:t xml:space="preserve">• Milestone 2 (Week 7): </w:t>
      </w:r>
      <w:r>
        <w:rPr>
          <w:rFonts w:ascii="Times New Roman" w:hAnsi="Times New Roman"/>
          <w:sz w:val="20"/>
        </w:rPr>
        <w:t>Dual-engine triage pipeline achieves over 90% domain categorization precision with zero 500 errors during simulated cloud API dropouts.</w:t>
      </w:r>
    </w:p>
    <w:p>
      <w:r>
        <w:rPr>
          <w:rFonts w:ascii="Times New Roman" w:hAnsi="Times New Roman"/>
          <w:b/>
          <w:sz w:val="20"/>
        </w:rPr>
        <w:t xml:space="preserve">• Milestone 3 (Week 9): </w:t>
      </w:r>
      <w:r>
        <w:rPr>
          <w:rFonts w:ascii="Times New Roman" w:hAnsi="Times New Roman"/>
          <w:sz w:val="20"/>
        </w:rPr>
        <w:t>Razorpay payment gateway successfully validates genuine signatures and rejects 100% of tampered transaction tokens; emergency SOS hub functions reliably.</w:t>
      </w:r>
    </w:p>
    <w:p>
      <w:r>
        <w:rPr>
          <w:rFonts w:ascii="Times New Roman" w:hAnsi="Times New Roman"/>
          <w:b/>
          <w:sz w:val="20"/>
        </w:rPr>
        <w:t xml:space="preserve">• Risk Mitigation Strategy: </w:t>
      </w:r>
      <w:r>
        <w:rPr>
          <w:rFonts w:ascii="Times New Roman" w:hAnsi="Times New Roman"/>
          <w:sz w:val="20"/>
        </w:rPr>
        <w:t>If upstream LLM endpoints experience prolonged downtime or quota exhaustion, Vakil Setu automatically engages the local regex pattern-matching engine, guaranteeing uninterrupted citizen advisory without service degradation.</w:t>
      </w:r>
    </w:p>
    <w:p>
      <w:r>
        <w:br w:type="page"/>
      </w:r>
    </w:p>
    <w:p>
      <w:pPr>
        <w:pStyle w:val="Heading1"/>
      </w:pPr>
      <w:r>
        <w:rPr>
          <w:rFonts w:ascii="Times New Roman" w:hAnsi="Times New Roman"/>
          <w:color w:val="0F172A"/>
          <w:sz w:val="30"/>
        </w:rPr>
        <w:t>9. References</w:t>
      </w:r>
    </w:p>
    <w:p>
      <w:r>
        <w:rPr>
          <w:rFonts w:ascii="Times New Roman" w:hAnsi="Times New Roman"/>
          <w:sz w:val="19"/>
        </w:rPr>
        <w:t>[1] Law Commission of India, "Arrears and Backlog: Creating Additional Judicial (wo)manpower," Government of India, Report No. 245, 2014.</w:t>
      </w:r>
    </w:p>
    <w:p>
      <w:r>
        <w:rPr>
          <w:rFonts w:ascii="Times New Roman" w:hAnsi="Times New Roman"/>
          <w:sz w:val="19"/>
        </w:rPr>
        <w:t>[2] Ministry of Law and Justice, Government of India, "The Advocates Act, 1961 (Act No. 25 of 1961)," New Delhi, 1961.</w:t>
      </w:r>
    </w:p>
    <w:p>
      <w:r>
        <w:rPr>
          <w:rFonts w:ascii="Times New Roman" w:hAnsi="Times New Roman"/>
          <w:sz w:val="19"/>
        </w:rPr>
        <w:t>[3] Bar Council of India, "Rules Governing Advocates: Standards of Professional Conduct and Etiquette (Rule 36)," Bar Council of India, New Delhi, 2008.</w:t>
      </w:r>
    </w:p>
    <w:p>
      <w:r>
        <w:rPr>
          <w:rFonts w:ascii="Times New Roman" w:hAnsi="Times New Roman"/>
          <w:sz w:val="19"/>
        </w:rPr>
        <w:t>[4] Department of Justice, Ministry of Law and Justice, "Tele-Law: Reaching the Unreached through Mainstreaming Legal Aid," Government of India, 2023.</w:t>
      </w:r>
    </w:p>
    <w:p>
      <w:r>
        <w:rPr>
          <w:rFonts w:ascii="Times New Roman" w:hAnsi="Times New Roman"/>
          <w:sz w:val="19"/>
        </w:rPr>
        <w:t>[5] Ministry of Electronics and Information Technology (MeitY), "The Digital Personal Data Protection Act, 2023 (Act No. 22 of 2023)," The Gazette of India, 2023.</w:t>
      </w:r>
    </w:p>
    <w:p>
      <w:r>
        <w:rPr>
          <w:rFonts w:ascii="Times New Roman" w:hAnsi="Times New Roman"/>
          <w:sz w:val="19"/>
        </w:rPr>
        <w:t>[6] Law Commission of India, "Assessment of Statutory Frameworks on Assessment of Delays and Court Arrears," Government of India, Report No. 272, 2017.</w:t>
      </w:r>
    </w:p>
    <w:p>
      <w:r>
        <w:rPr>
          <w:rFonts w:ascii="Times New Roman" w:hAnsi="Times New Roman"/>
          <w:sz w:val="19"/>
        </w:rPr>
        <w:t>[7] W3C Web Speech Working Group, "Web Speech API Specification," W3C Community Group Report, Aug. 2023. [Online: w3c.github.io/speech-api/]</w:t>
      </w:r>
    </w:p>
    <w:p>
      <w:r>
        <w:rPr>
          <w:rFonts w:ascii="Times New Roman" w:hAnsi="Times New Roman"/>
          <w:sz w:val="19"/>
        </w:rPr>
        <w:t>[8] Google DeepMind, "Gemini: A Family of Highly Capable Multimodal Models," arXiv preprint arXiv:2312.11805, 2023.</w:t>
      </w:r>
    </w:p>
    <w:p>
      <w:r>
        <w:rPr>
          <w:rFonts w:ascii="Times New Roman" w:hAnsi="Times New Roman"/>
          <w:sz w:val="19"/>
        </w:rPr>
        <w:t>[9] National Legal Services Authority (NALSA), "Handbook on Legal Aid and Lok Adalats under the Legal Services Authorities Act, 1987," New Delhi, 2022.</w:t>
      </w:r>
    </w:p>
    <w:p>
      <w:r>
        <w:rPr>
          <w:rFonts w:ascii="Times New Roman" w:hAnsi="Times New Roman"/>
          <w:sz w:val="19"/>
        </w:rPr>
        <w:t>[10] Razorpay Developer Platform, "Payment Gateway Security and Cryptographic HMAC-SHA256 Signature Verification Standards," Developer Documentation, 2024.</w:t>
      </w:r>
    </w:p>
    <w:p>
      <w:r>
        <w:rPr>
          <w:rFonts w:ascii="Times New Roman" w:hAnsi="Times New Roman"/>
          <w:sz w:val="19"/>
        </w:rPr>
        <w:t>[11] Supreme Court of India, "e-Courts Project: Phase III Vision Document," e-Committee, Supreme Court of India, New Delhi, 2023.</w:t>
      </w:r>
    </w:p>
    <w:p>
      <w:r>
        <w:rPr>
          <w:rFonts w:ascii="Times New Roman" w:hAnsi="Times New Roman"/>
          <w:sz w:val="19"/>
        </w:rPr>
        <w:t>[12] K. D. Gaur, "A Textbook on the Indian Penal Code and Bharatiya Nyaya Sanhita," 8th ed., Universal Law Publishing, New Delhi, 2024.</w:t>
      </w:r>
    </w:p>
    <w:p>
      <w:r>
        <w:rPr>
          <w:rFonts w:ascii="Times New Roman" w:hAnsi="Times New Roman"/>
          <w:sz w:val="19"/>
        </w:rPr>
        <w:t>[13] M. P. Jain, "Indian Constitutional Law: Access to Justice under Article 21 and Article 39A," 9th ed., LexisNexis Butterworths, 2023.</w:t>
      </w:r>
    </w:p>
    <w:p>
      <w:r>
        <w:rPr>
          <w:rFonts w:ascii="Times New Roman" w:hAnsi="Times New Roman"/>
          <w:sz w:val="19"/>
        </w:rPr>
        <w:t>[14] V. N. Shukla, "Constitution of India: Directive Principles of State Policy and Free Legal Aid," 14th ed., Eastern Book Company, Lucknow, 2022.</w:t>
      </w:r>
    </w:p>
    <w:sectPr w:rsidR="00FC693F" w:rsidRPr="0006063C" w:rsidSect="00034616">
      <w:headerReference w:type="default" r:id="rId9"/>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64748B"/>
        <w:sz w:val="17"/>
      </w:rPr>
      <w:t>Vakil Setu: A Voice-First Bilingual Legal Triage Platform | Mini Project Synopsis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