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F6737"/>
    <w:p w14:paraId="7A218231"/>
    <w:p w14:paraId="2E14D0D0"/>
    <w:p w14:paraId="783D8AA9"/>
    <w:p w14:paraId="78313035"/>
    <w:p w14:paraId="44E4AE96"/>
    <w:p w14:paraId="0D63F5C1">
      <w:pPr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哈尔滨工业大学（深圳）</w:t>
      </w:r>
    </w:p>
    <w:p w14:paraId="598D255E">
      <w:pPr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大一年度项目中期检查报告</w:t>
      </w:r>
    </w:p>
    <w:p w14:paraId="15D19BA8">
      <w:pPr>
        <w:jc w:val="center"/>
        <w:rPr>
          <w:rFonts w:ascii="黑体" w:hAnsi="黑体" w:eastAsia="黑体"/>
          <w:b/>
          <w:sz w:val="52"/>
          <w:szCs w:val="52"/>
        </w:rPr>
      </w:pPr>
    </w:p>
    <w:p w14:paraId="2D36C427">
      <w:pPr>
        <w:jc w:val="center"/>
        <w:rPr>
          <w:rFonts w:ascii="黑体" w:hAnsi="黑体" w:eastAsia="黑体"/>
          <w:b/>
          <w:sz w:val="52"/>
          <w:szCs w:val="52"/>
        </w:rPr>
      </w:pPr>
    </w:p>
    <w:p w14:paraId="4255542D">
      <w:pPr>
        <w:spacing w:line="360" w:lineRule="auto"/>
        <w:ind w:firstLine="708" w:firstLineChars="25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项目名称：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CN" w:bidi="ar-SA"/>
        </w:rPr>
        <w:t>空天海网络可视化实时交互仿真演示系统</w:t>
      </w:r>
      <w:r>
        <w:rPr>
          <w:rFonts w:hint="eastAsia"/>
          <w:sz w:val="28"/>
          <w:szCs w:val="28"/>
          <w:u w:val="single"/>
        </w:rPr>
        <w:t xml:space="preserve">                                      </w:t>
      </w:r>
    </w:p>
    <w:p w14:paraId="770CBDC9">
      <w:pPr>
        <w:spacing w:line="360" w:lineRule="auto"/>
        <w:ind w:firstLine="708" w:firstLineChars="25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项目负责人：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  <w:lang w:val="en-US" w:eastAsia="zh-CN"/>
        </w:rPr>
        <w:t>李思达</w:t>
      </w:r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2025310820</w:t>
      </w:r>
      <w:r>
        <w:rPr>
          <w:rFonts w:hint="eastAsia"/>
          <w:sz w:val="28"/>
          <w:szCs w:val="28"/>
          <w:u w:val="single"/>
        </w:rPr>
        <w:t xml:space="preserve">            </w:t>
      </w:r>
    </w:p>
    <w:p w14:paraId="577C725F">
      <w:pPr>
        <w:spacing w:line="360" w:lineRule="auto"/>
        <w:ind w:firstLine="708" w:firstLineChars="25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联系电话：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13430868982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</w:rPr>
        <w:t>电子邮箱：</w:t>
      </w:r>
      <w:r>
        <w:rPr>
          <w:rFonts w:hint="eastAsia"/>
          <w:b/>
          <w:sz w:val="28"/>
          <w:szCs w:val="28"/>
          <w:lang w:val="en-US" w:eastAsia="zh-CN"/>
        </w:rPr>
        <w:t>2090799254@qq.com</w:t>
      </w:r>
      <w:r>
        <w:rPr>
          <w:rFonts w:hint="eastAsia"/>
          <w:sz w:val="28"/>
          <w:szCs w:val="28"/>
          <w:u w:val="single"/>
        </w:rPr>
        <w:t xml:space="preserve">                </w:t>
      </w:r>
    </w:p>
    <w:p w14:paraId="75AA7BA9">
      <w:pPr>
        <w:spacing w:line="360" w:lineRule="auto"/>
        <w:ind w:firstLine="708" w:firstLineChars="25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     院：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  <w:lang w:val="en-US" w:eastAsia="zh-CN"/>
        </w:rPr>
        <w:t>基础学部</w:t>
      </w:r>
      <w:r>
        <w:rPr>
          <w:rFonts w:hint="eastAsia"/>
          <w:sz w:val="28"/>
          <w:szCs w:val="28"/>
          <w:u w:val="single"/>
        </w:rPr>
        <w:t xml:space="preserve">                               </w:t>
      </w:r>
    </w:p>
    <w:p w14:paraId="1A37EBF3">
      <w:pPr>
        <w:spacing w:line="360" w:lineRule="auto"/>
        <w:ind w:firstLine="708" w:firstLineChars="252"/>
        <w:rPr>
          <w:b/>
          <w:sz w:val="28"/>
          <w:szCs w:val="28"/>
        </w:rPr>
      </w:pPr>
    </w:p>
    <w:p w14:paraId="0BC01146">
      <w:pPr>
        <w:spacing w:line="360" w:lineRule="auto"/>
        <w:ind w:firstLine="708" w:firstLineChars="25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>焦健</w:t>
      </w:r>
      <w:r>
        <w:rPr>
          <w:rFonts w:hint="eastAsia"/>
          <w:sz w:val="28"/>
          <w:szCs w:val="28"/>
          <w:u w:val="single"/>
        </w:rPr>
        <w:t xml:space="preserve">               </w:t>
      </w:r>
      <w:r>
        <w:rPr>
          <w:rFonts w:hint="eastAsia"/>
          <w:b/>
          <w:sz w:val="28"/>
          <w:szCs w:val="28"/>
        </w:rPr>
        <w:t>职   称：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>教授</w:t>
      </w:r>
      <w:r>
        <w:rPr>
          <w:rFonts w:hint="eastAsia"/>
          <w:sz w:val="28"/>
          <w:szCs w:val="28"/>
          <w:u w:val="single"/>
        </w:rPr>
        <w:t xml:space="preserve">           </w:t>
      </w:r>
    </w:p>
    <w:p w14:paraId="5870ADD5">
      <w:pPr>
        <w:spacing w:line="360" w:lineRule="auto"/>
        <w:ind w:firstLine="708" w:firstLineChars="25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联系电话：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CN" w:bidi="ar-SA"/>
        </w:rPr>
        <w:t>13723799240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</w:rPr>
        <w:t>电子邮箱：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CN" w:bidi="ar-SA"/>
        </w:rPr>
        <w:t>jiaojian@hit.edu.cn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14:paraId="78A7EF5F">
      <w:pPr>
        <w:spacing w:after="0" w:line="240" w:lineRule="auto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     院：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CN" w:bidi="ar-SA"/>
        </w:rPr>
        <w:t>信息学部 信息科学与技术学院</w:t>
      </w:r>
      <w:r>
        <w:rPr>
          <w:rFonts w:hint="eastAsia"/>
          <w:sz w:val="28"/>
          <w:szCs w:val="28"/>
          <w:u w:val="single"/>
        </w:rPr>
        <w:t xml:space="preserve">                                   </w:t>
      </w:r>
    </w:p>
    <w:p w14:paraId="30849883">
      <w:pPr>
        <w:ind w:firstLine="708" w:firstLineChars="252"/>
        <w:jc w:val="center"/>
        <w:rPr>
          <w:b/>
          <w:sz w:val="28"/>
          <w:szCs w:val="28"/>
        </w:rPr>
      </w:pPr>
    </w:p>
    <w:p w14:paraId="7293039B">
      <w:pPr>
        <w:jc w:val="center"/>
        <w:rPr>
          <w:b/>
          <w:sz w:val="28"/>
          <w:szCs w:val="28"/>
        </w:rPr>
      </w:pPr>
    </w:p>
    <w:p w14:paraId="7ADDC15C">
      <w:pPr>
        <w:jc w:val="center"/>
        <w:rPr>
          <w:b/>
          <w:sz w:val="28"/>
          <w:szCs w:val="28"/>
        </w:rPr>
      </w:pPr>
    </w:p>
    <w:p w14:paraId="06C65FAA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填表日期： </w:t>
      </w:r>
      <w:r>
        <w:rPr>
          <w:rFonts w:hint="eastAsia"/>
          <w:b/>
          <w:sz w:val="28"/>
          <w:szCs w:val="28"/>
          <w:lang w:val="en-US" w:eastAsia="zh-CN"/>
        </w:rPr>
        <w:t>2026</w:t>
      </w:r>
      <w:r>
        <w:rPr>
          <w:rFonts w:hint="eastAsia"/>
          <w:b/>
          <w:sz w:val="28"/>
          <w:szCs w:val="28"/>
        </w:rPr>
        <w:t xml:space="preserve">   年  </w:t>
      </w:r>
      <w:r>
        <w:rPr>
          <w:rFonts w:hint="eastAsia"/>
          <w:b/>
          <w:sz w:val="28"/>
          <w:szCs w:val="28"/>
          <w:lang w:val="en-US" w:eastAsia="zh-CN"/>
        </w:rPr>
        <w:t>7</w:t>
      </w:r>
      <w:r>
        <w:rPr>
          <w:rFonts w:hint="eastAsia"/>
          <w:b/>
          <w:sz w:val="28"/>
          <w:szCs w:val="28"/>
        </w:rPr>
        <w:t xml:space="preserve">  月 </w:t>
      </w:r>
      <w:r>
        <w:rPr>
          <w:rFonts w:hint="eastAsia"/>
          <w:b/>
          <w:sz w:val="28"/>
          <w:szCs w:val="28"/>
          <w:lang w:val="en-US" w:eastAsia="zh-CN"/>
        </w:rPr>
        <w:t>8</w:t>
      </w:r>
      <w:r>
        <w:rPr>
          <w:rFonts w:hint="eastAsia"/>
          <w:b/>
          <w:sz w:val="28"/>
          <w:szCs w:val="28"/>
        </w:rPr>
        <w:t xml:space="preserve">   日</w:t>
      </w:r>
    </w:p>
    <w:p w14:paraId="26BE33AD">
      <w:pPr>
        <w:jc w:val="center"/>
        <w:rPr>
          <w:rFonts w:ascii="黑体" w:hAnsi="黑体" w:eastAsia="黑体"/>
          <w:b/>
          <w:sz w:val="52"/>
          <w:szCs w:val="52"/>
        </w:rPr>
      </w:pPr>
    </w:p>
    <w:tbl>
      <w:tblPr>
        <w:tblStyle w:val="5"/>
        <w:tblpPr w:leftFromText="180" w:rightFromText="180" w:vertAnchor="text" w:horzAnchor="margin" w:tblpXSpec="center" w:tblpY="601"/>
        <w:tblW w:w="97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834"/>
        <w:gridCol w:w="2312"/>
        <w:gridCol w:w="1470"/>
        <w:gridCol w:w="2068"/>
        <w:gridCol w:w="1559"/>
      </w:tblGrid>
      <w:tr w14:paraId="2607A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48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031E2A">
            <w:pPr>
              <w:spacing w:line="357" w:lineRule="atLeast"/>
              <w:jc w:val="center"/>
              <w:rPr>
                <w:color w:val="000000"/>
                <w:sz w:val="31"/>
                <w:u w:color="000000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4BF3A6">
            <w:pPr>
              <w:spacing w:line="357" w:lineRule="atLeast"/>
              <w:jc w:val="center"/>
              <w:rPr>
                <w:color w:val="000000"/>
                <w:sz w:val="31"/>
                <w:u w:color="000000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DF9B802">
            <w:pPr>
              <w:spacing w:line="357" w:lineRule="atLeast"/>
              <w:jc w:val="center"/>
            </w:pPr>
            <w:r>
              <w:rPr>
                <w:rFonts w:hint="eastAsia"/>
              </w:rPr>
              <w:t>所在学院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A93CA6">
            <w:pPr>
              <w:spacing w:line="357" w:lineRule="atLeast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5CD3115">
            <w:pPr>
              <w:spacing w:line="357" w:lineRule="atLeast"/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22F8B39C">
            <w:pPr>
              <w:spacing w:line="357" w:lineRule="atLeast"/>
              <w:jc w:val="center"/>
            </w:pPr>
            <w:r>
              <w:rPr>
                <w:rFonts w:hint="eastAsia"/>
              </w:rPr>
              <w:t>本人签字</w:t>
            </w:r>
          </w:p>
        </w:tc>
      </w:tr>
      <w:tr w14:paraId="4D4FE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48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B99DEF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李思达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ED3D48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男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CF2C14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基础学部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/>
            <w:vAlign w:val="top"/>
          </w:tcPr>
          <w:p w14:paraId="19CB328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2025310820</w:t>
            </w:r>
          </w:p>
        </w:tc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/>
            <w:vAlign w:val="top"/>
          </w:tcPr>
          <w:p w14:paraId="2092992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13430868982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10AA9C1F">
            <w:pPr>
              <w:snapToGrid w:val="0"/>
              <w:jc w:val="center"/>
            </w:pPr>
            <w:r>
              <w:drawing>
                <wp:inline distT="0" distB="0" distL="114300" distR="114300">
                  <wp:extent cx="863600" cy="445770"/>
                  <wp:effectExtent l="0" t="0" r="0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BE5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48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88C8BE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符浩原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44D6E0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男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/>
            <w:vAlign w:val="top"/>
          </w:tcPr>
          <w:p w14:paraId="00BB2E6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基础学部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E258A5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2025310591</w:t>
            </w:r>
          </w:p>
        </w:tc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CFF624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18138244662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</w:tcPr>
          <w:p w14:paraId="3DA1AA45">
            <w:pPr>
              <w:snapToGrid w:val="0"/>
              <w:jc w:val="center"/>
              <w:rPr>
                <w:color w:val="000000"/>
                <w:u w:color="000000"/>
              </w:rPr>
            </w:pPr>
            <w:r>
              <w:rPr>
                <w:rFonts w:hint="eastAsia" w:eastAsia="宋体"/>
                <w:color w:val="000000"/>
                <w:u w:color="000000"/>
                <w:lang w:eastAsia="zh-CN"/>
              </w:rPr>
              <w:drawing>
                <wp:inline distT="0" distB="0" distL="114300" distR="114300">
                  <wp:extent cx="636270" cy="320675"/>
                  <wp:effectExtent l="0" t="0" r="11430" b="9525"/>
                  <wp:docPr id="2" name="图片 2" descr="92009298345061edd75cb737eac61b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92009298345061edd75cb737eac61b7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32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522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48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FBBF7C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李璟哲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1909C7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男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/>
            <w:vAlign w:val="top"/>
          </w:tcPr>
          <w:p w14:paraId="7873E7E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基础学部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B4B93C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2025310752</w:t>
            </w:r>
          </w:p>
        </w:tc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/>
            <w:vAlign w:val="top"/>
          </w:tcPr>
          <w:p w14:paraId="5AE5366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18192542632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786BEAB1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 w:eastAsia="宋体"/>
                <w:color w:val="000000"/>
                <w:u w:color="000000"/>
                <w:lang w:eastAsia="zh-C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278765</wp:posOffset>
                  </wp:positionH>
                  <wp:positionV relativeFrom="paragraph">
                    <wp:posOffset>-117475</wp:posOffset>
                  </wp:positionV>
                  <wp:extent cx="340360" cy="607695"/>
                  <wp:effectExtent l="0" t="0" r="1905" b="2540"/>
                  <wp:wrapNone/>
                  <wp:docPr id="4" name="图片 4" descr="87bc4c73b7edb0e99b48b0e09203a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87bc4c73b7edb0e99b48b0e09203a45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7434" t="-1860" r="-5592" b="20964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40360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AA6965B">
      <w:pPr>
        <w:spacing w:line="360" w:lineRule="auto"/>
        <w:ind w:leftChars="-202" w:hanging="424" w:hangingChars="176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一、项目基本信息</w:t>
      </w:r>
      <w:r>
        <w:rPr>
          <w:rFonts w:hint="eastAsia"/>
          <w:bCs/>
          <w:sz w:val="24"/>
        </w:rPr>
        <w:t>（包括项目负责人、按顺序）</w:t>
      </w:r>
    </w:p>
    <w:p w14:paraId="66658F0B">
      <w:pPr>
        <w:spacing w:beforeLines="100" w:line="360" w:lineRule="auto"/>
        <w:ind w:leftChars="-202" w:hanging="424" w:hangingChars="176"/>
        <w:rPr>
          <w:rFonts w:ascii="宋体"/>
          <w:b/>
          <w:sz w:val="24"/>
        </w:rPr>
      </w:pPr>
      <w:r>
        <w:rPr>
          <w:rFonts w:hint="eastAsia"/>
          <w:b/>
          <w:bCs/>
          <w:sz w:val="24"/>
        </w:rPr>
        <w:t>立项背景</w:t>
      </w:r>
      <w:r>
        <w:rPr>
          <w:rFonts w:hint="eastAsia"/>
          <w:bCs/>
          <w:sz w:val="24"/>
        </w:rPr>
        <w:t>（200字以内）</w:t>
      </w:r>
    </w:p>
    <w:tbl>
      <w:tblPr>
        <w:tblStyle w:val="6"/>
        <w:tblW w:w="9923" w:type="dxa"/>
        <w:tblInd w:w="-45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 w14:paraId="293947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7" w:hRule="atLeast"/>
        </w:trPr>
        <w:tc>
          <w:tcPr>
            <w:tcW w:w="9923" w:type="dxa"/>
          </w:tcPr>
          <w:p w14:paraId="651C1B3C">
            <w:pPr>
              <w:spacing w:before="0" w:after="200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Hypatia是基于ns-3的LEO卫星网络仿真框架，其前端以静态离线展示为主，无法呈现时延、丢包率等动态性能指标，缺乏后端与前端间的实时数据链路。随着Starlink、Kuiper等巨型星座规模化部署，仿真工具需强化实时交互与直观呈现能力。本项目针对Hypatia的可视化短板，开发基于FastAPI+WebSocket的实时后端与CesiumJS三维前端，构建"仿真核心-后端服务-前端界面"协同架构，实现卫星网络仿真的实时动态监控，为开源仿真工具的功能完善提供可复用方案。</w:t>
            </w:r>
          </w:p>
          <w:p w14:paraId="066CA645">
            <w:pPr>
              <w:spacing w:line="360" w:lineRule="auto"/>
              <w:rPr>
                <w:rFonts w:hint="eastAsia" w:ascii="宋体"/>
                <w:b/>
                <w:sz w:val="24"/>
              </w:rPr>
            </w:pPr>
          </w:p>
        </w:tc>
      </w:tr>
    </w:tbl>
    <w:p w14:paraId="03DA9676">
      <w:pPr>
        <w:spacing w:line="360" w:lineRule="auto"/>
        <w:rPr>
          <w:rFonts w:ascii="宋体"/>
          <w:b/>
          <w:sz w:val="24"/>
        </w:rPr>
      </w:pPr>
    </w:p>
    <w:p w14:paraId="1DC6AD69">
      <w:pPr>
        <w:spacing w:line="360" w:lineRule="auto"/>
        <w:ind w:leftChars="-202" w:hanging="424" w:hangingChars="176"/>
        <w:rPr>
          <w:rFonts w:ascii="宋体"/>
          <w:b/>
          <w:sz w:val="24"/>
        </w:rPr>
      </w:pPr>
      <w:r>
        <w:rPr>
          <w:rFonts w:hint="eastAsia" w:ascii="宋体"/>
          <w:b/>
          <w:sz w:val="24"/>
        </w:rPr>
        <w:t>项目研究内容及实施方案</w:t>
      </w:r>
      <w:r>
        <w:rPr>
          <w:rFonts w:hint="eastAsia"/>
          <w:bCs/>
          <w:sz w:val="24"/>
        </w:rPr>
        <w:t>（400字以内）</w:t>
      </w:r>
    </w:p>
    <w:tbl>
      <w:tblPr>
        <w:tblStyle w:val="6"/>
        <w:tblW w:w="9923" w:type="dxa"/>
        <w:tblInd w:w="-45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 w14:paraId="602FFAA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8" w:hRule="atLeast"/>
        </w:trPr>
        <w:tc>
          <w:tcPr>
            <w:tcW w:w="9923" w:type="dxa"/>
          </w:tcPr>
          <w:p w14:paraId="7BE0EEE1">
            <w:pPr>
              <w:spacing w:before="0" w:after="120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（一）核心研究内容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1. 实时前端可视化系统：基于CesiumJS 1.141构建三维场景，实现卫星位置动态更新、链路状态实时渲染（绿-黄-红渐变表示带宽利用率）、路径高亮与节点筛选。采用模块化架构，支持实时与离线CZML双模式切换。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2. 实时数据传输链路：采用FastAPI+WebSocket构建后端服务，设计双端点架构——/ws/client供前端连接，/ws/core供仿真核心连接。后端负责状态广播与命令转发，以10Hz频率推送更新，包含断线清理与消息确认机制。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3. 仿真核心与适配层：开发演示仿真核心，模拟Starlink-like星座（6轨道面×12颗卫星），基于轨道传播模型实时计算卫星位置与链路状态；开发HypatiaDataAdapter实现数据格式转换。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（二）实施方案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技术栈：后端Python FastAPI+WebSocket+Pydantic；前端Vanilla JS+CesiumJS 1.141。消息协议采用JSON，定义simulation_init、state_update、command、ack、error五种类型。开发流程：后端服务→前端可视化→仿真核心→全链路联调测试。</w:t>
            </w:r>
          </w:p>
          <w:p w14:paraId="59E3168A">
            <w:pPr>
              <w:spacing w:line="360" w:lineRule="auto"/>
              <w:rPr>
                <w:bCs/>
                <w:sz w:val="24"/>
              </w:rPr>
            </w:pPr>
          </w:p>
        </w:tc>
      </w:tr>
    </w:tbl>
    <w:p w14:paraId="281F201B">
      <w:pPr>
        <w:spacing w:beforeLines="100" w:afterLines="50"/>
        <w:ind w:leftChars="-202" w:hanging="424" w:hangingChars="176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二、项目研究中期报告</w:t>
      </w:r>
    </w:p>
    <w:tbl>
      <w:tblPr>
        <w:tblStyle w:val="6"/>
        <w:tblW w:w="10065" w:type="dxa"/>
        <w:tblInd w:w="-60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5"/>
      </w:tblGrid>
      <w:tr w14:paraId="65E3B7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96" w:hRule="atLeast"/>
        </w:trPr>
        <w:tc>
          <w:tcPr>
            <w:tcW w:w="10065" w:type="dxa"/>
          </w:tcPr>
          <w:p w14:paraId="4D7A919E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1E3588A6">
            <w:pPr>
              <w:spacing w:before="0" w:after="80"/>
            </w:pPr>
            <w:r>
              <w:rPr>
                <w:rFonts w:ascii="宋体" w:hAnsi="宋体" w:eastAsia="宋体"/>
                <w:b/>
                <w:sz w:val="24"/>
              </w:rPr>
              <w:t>（一）项目实施的进展情况及取得的成果</w:t>
            </w:r>
          </w:p>
          <w:p w14:paraId="40EB31EB">
            <w:pPr>
              <w:spacing w:before="0" w:after="200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自项目立项以来，团队已完成实时交互式可视化平台的核心开发与系统联调：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1. 后端实时通信服务开发完成。基于FastAPI构建WebSocket服务（realtime_backend），实现双通道架构——/ws/client（前端客户端）和/ws/core（仿真核心）。ConnectionManager支持多客户端并发、状态广播、命令转发及自动断线清理。采用Pydantic数据验证与YAML+环境变量+命令行三级配置。后端含6个Python模块约500行代码。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2. 前端三维可视化系统开发完成。基于CesiumJS 1.141构建，纯JavaScript编写无外部框架依赖。实现五大模块：WebSocketManager负责实时通信与指数退避自动重连；CesiumManager管理卫星、地面站、链路实体，基于CallbackProperty实现动态连线与辉光高亮；UIController提供播放/暂停/调速（0.1x-10x）/时间轴拖拽/指标切换/节点筛选等交互功能；SatelliteVisualizationApp负责组件编排与状态分发；HypatiaDataAdapter提供数据转换适配接口。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3. 演示仿真核心开发完成。模拟Starlink-like星座（6轨道面×12颗=72颗卫星，高度550km，倾角53°），基于圆形轨道传播模型（含地球自转）实时计算位置，含15个全球主要城市地面站，ISL和GSL自动计算。以10Hz推送状态更新，支持播放/暂停/调速/跳转/指标切换/节点筛选等全部8种控制命令。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4. 系统联调完成。验证了"仿真核心→后端→前端"三层数据流：核心发送simulation_init后，后端广播至所有客户端，前端实时更新Cesium 3D场景；用户命令经后端转发至核心执行，形成双向交互闭环。链路颜色按带宽利用率平滑渐变（绿→黄→红），路由路径辉光高亮。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关键成果：建立了完整实时交互架构，替代Hypatia原有离线静态模式；实现72颗卫星10Hz实时渲染；支持四种指标模式切换与交互式节点筛选；系统架构可扩展，仿真核心可替换为任意兼容WebSocket的数据源，支持实时与离线双模式。</w:t>
            </w:r>
          </w:p>
          <w:p w14:paraId="4203D391">
            <w:pPr>
              <w:spacing w:before="0" w:after="80"/>
            </w:pPr>
            <w:r>
              <w:rPr>
                <w:rFonts w:ascii="宋体" w:hAnsi="宋体" w:eastAsia="宋体"/>
                <w:b/>
                <w:sz w:val="24"/>
              </w:rPr>
              <w:t>（二）遇到的困难及下一步工作计划</w:t>
            </w:r>
          </w:p>
          <w:p w14:paraId="102F1A6B">
            <w:pPr>
              <w:spacing w:before="0" w:after="200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遇到的困难及解决方案：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1. CesiumJS版本兼容问题。Hypatia原satviz用Python脚本拼接静态HTML，无法实现实时数据驱动更新；升级至CesiumJS 1.141后API存在变更。解决：放弃修改原有脚本，用模块化JavaScript重构前端，将通信、场景、UI分离为独立模块。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2. 大规模星座渲染性能瓶颈。超1000颗卫星或10000条链路时帧率显著下降。当前控制为72颗卫星保证流畅（≥30FPS），下一步引入LOD和视锥体裁剪优化。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3. WebSocket连接稳定性。网络波动时可能出现断连。已实现指数退避自动重连（最大10次，延迟上限30秒）及消息队列缓存，后续需完善心跳保活与断线状态恢复。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4. Hypatia数据源适配。原始输出为离散CSV文件，与实时JSON流式数据存在差异。已开发适配器实现位置插值、时间窗口判断和带宽指标映射，全部场景适配仍需完善。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下一步工作计划：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（1）替换为真实Hypatia仿真引擎输出，完成数据适配层的深度集成验证；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（2）集成ECharts图表面板，实现3D场景与2D趋势图联动展示；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（3）扩展无人机、无人船等空天海节点类型，向一体化方向演进；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（4）引入LOD与视锥体裁剪优化性能，目标500+卫星规模下维持≥15FPS；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（5）增加链路异常预警，时延&gt;200ms或丢包率&gt;5%时自动弹出提示。</w:t>
            </w:r>
          </w:p>
          <w:p w14:paraId="313CB2F0">
            <w:pPr>
              <w:spacing w:before="0" w:after="80"/>
            </w:pPr>
            <w:r>
              <w:rPr>
                <w:rFonts w:ascii="宋体" w:hAnsi="宋体" w:eastAsia="宋体"/>
                <w:b/>
                <w:sz w:val="24"/>
              </w:rPr>
              <w:t>（三）结题预期目标</w:t>
            </w:r>
          </w:p>
          <w:p w14:paraId="37D5BE3E">
            <w:pPr>
              <w:spacing w:before="0" w:after="200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在中期已完成平台搭建与联调的基础上，结题预期实现：（1）完成Hypatia真实仿真引擎数据接入，实现所有仿真场景实时可视化监控；（2）扩展无人机、无人船等空天海节点，实现全要素三维可视化呈现；（3）集成ECharts面板，实现3D场景与2D图表联动展示与数据导出；（4）通过LOD和视锥体裁剪优化性能，500+卫星规模下保持≥15FPS；（5）构建空天地海一体化数字孪生仿真平台，提供完整开源可视化参考实现。</w:t>
            </w:r>
          </w:p>
          <w:p w14:paraId="4154D09E">
            <w:pPr>
              <w:spacing w:before="0" w:after="80"/>
            </w:pPr>
            <w:r>
              <w:rPr>
                <w:rFonts w:ascii="宋体" w:hAnsi="宋体" w:eastAsia="宋体"/>
                <w:b/>
                <w:sz w:val="24"/>
              </w:rPr>
              <w:t>（四）经费使用情况</w:t>
            </w:r>
          </w:p>
          <w:p w14:paraId="1125960F">
            <w:pPr>
              <w:spacing w:line="360" w:lineRule="auto"/>
              <w:ind w:firstLine="480" w:firstLineChars="200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暂无</w:t>
            </w:r>
          </w:p>
          <w:p w14:paraId="1F976C3B">
            <w:pPr>
              <w:spacing w:line="360" w:lineRule="auto"/>
              <w:rPr>
                <w:rFonts w:ascii="宋体"/>
                <w:sz w:val="24"/>
              </w:rPr>
            </w:pPr>
          </w:p>
          <w:p w14:paraId="4CA76106">
            <w:pPr>
              <w:spacing w:beforeLines="100" w:afterLines="50"/>
              <w:rPr>
                <w:b/>
                <w:sz w:val="24"/>
              </w:rPr>
            </w:pPr>
          </w:p>
        </w:tc>
      </w:tr>
    </w:tbl>
    <w:p w14:paraId="38BF6272">
      <w:pPr>
        <w:spacing w:beforeLines="50"/>
        <w:ind w:left="-424" w:leftChars="-202"/>
        <w:rPr>
          <w:rFonts w:hint="eastAsia" w:ascii="宋体" w:hAnsi="宋体"/>
          <w:b/>
          <w:sz w:val="28"/>
          <w:szCs w:val="28"/>
        </w:rPr>
      </w:pPr>
    </w:p>
    <w:p w14:paraId="0CEA7D57">
      <w:pPr>
        <w:spacing w:beforeLines="50"/>
        <w:ind w:left="-424" w:leftChars="-202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三、指导教师意见</w:t>
      </w:r>
    </w:p>
    <w:p w14:paraId="57DFE94B">
      <w:pPr>
        <w:rPr>
          <w:rFonts w:ascii="黑体" w:hAnsi="黑体" w:eastAsia="黑体"/>
          <w:sz w:val="52"/>
          <w:szCs w:val="52"/>
        </w:rPr>
      </w:pPr>
      <w:r>
        <w:rPr>
          <w:rFonts w:ascii="黑体" w:hAnsi="黑体" w:eastAsia="黑体"/>
          <w:sz w:val="52"/>
          <w:szCs w:val="52"/>
        </w:rPr>
        <w:pict>
          <v:shape id="_x0000_s1031" o:spid="_x0000_s1031" o:spt="202" type="#_x0000_t202" style="position:absolute;left:0pt;margin-left:-16.5pt;margin-top:0.4pt;height:183.65pt;width:477.75pt;z-index:251659264;mso-width-relative:margin;mso-height-relative:margin;" coordsize="21600,21600">
            <v:path/>
            <v:fill focussize="0,0"/>
            <v:stroke joinstyle="miter"/>
            <v:imagedata o:title=""/>
            <o:lock v:ext="edit"/>
            <v:textbox>
              <w:txbxContent>
                <w:p w14:paraId="285C5C0B"/>
                <w:p w14:paraId="20054D7F"/>
                <w:p w14:paraId="618F34D7"/>
                <w:p w14:paraId="76154E08"/>
                <w:p w14:paraId="7059B431"/>
                <w:p w14:paraId="7F97BF10"/>
                <w:p w14:paraId="79313022"/>
                <w:p w14:paraId="6984D357"/>
                <w:p w14:paraId="287E2EDB"/>
                <w:p w14:paraId="60B71DAF">
                  <w:r>
                    <w:rPr>
                      <w:rFonts w:hint="eastAsia" w:ascii="宋体" w:hAnsi="宋体"/>
                      <w:szCs w:val="21"/>
                    </w:rPr>
                    <w:t xml:space="preserve">                                       签    名：                  年     月     日</w:t>
                  </w:r>
                </w:p>
              </w:txbxContent>
            </v:textbox>
          </v:shape>
        </w:pict>
      </w:r>
    </w:p>
    <w:p w14:paraId="38185DDD">
      <w:pPr>
        <w:rPr>
          <w:rFonts w:ascii="黑体" w:hAnsi="黑体" w:eastAsia="黑体"/>
          <w:sz w:val="52"/>
          <w:szCs w:val="52"/>
        </w:rPr>
      </w:pPr>
    </w:p>
    <w:p w14:paraId="54C2689E">
      <w:pPr>
        <w:rPr>
          <w:rFonts w:ascii="黑体" w:hAnsi="黑体" w:eastAsia="黑体"/>
          <w:sz w:val="52"/>
          <w:szCs w:val="52"/>
        </w:rPr>
      </w:pPr>
    </w:p>
    <w:p w14:paraId="38CE1132">
      <w:pPr>
        <w:rPr>
          <w:rFonts w:ascii="黑体" w:hAnsi="黑体" w:eastAsia="黑体"/>
          <w:sz w:val="52"/>
          <w:szCs w:val="52"/>
        </w:rPr>
      </w:pPr>
    </w:p>
    <w:p w14:paraId="395CB3BD">
      <w:pPr>
        <w:spacing w:beforeLines="50"/>
        <w:ind w:leftChars="-202" w:hanging="424" w:hangingChars="15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四、项目专家组意见</w:t>
      </w:r>
    </w:p>
    <w:p w14:paraId="30BC59DD">
      <w:pPr>
        <w:tabs>
          <w:tab w:val="left" w:pos="6135"/>
        </w:tabs>
        <w:rPr>
          <w:rFonts w:ascii="黑体" w:hAnsi="黑体" w:eastAsia="黑体"/>
          <w:sz w:val="52"/>
          <w:szCs w:val="52"/>
        </w:rPr>
      </w:pPr>
      <w:bookmarkStart w:id="0" w:name="_GoBack"/>
      <w:bookmarkEnd w:id="0"/>
      <w:r>
        <w:rPr>
          <w:rFonts w:ascii="黑体" w:hAnsi="黑体" w:eastAsia="黑体"/>
          <w:sz w:val="52"/>
          <w:szCs w:val="52"/>
        </w:rPr>
        <w:pict>
          <v:shape id="_x0000_s1032" o:spid="_x0000_s1032" o:spt="202" type="#_x0000_t202" style="position:absolute;left:0pt;margin-left:-20.85pt;margin-top:8.85pt;height:391.5pt;width:482.1pt;z-index:251660288;mso-width-relative:margin;mso-height-relative:margin;" coordsize="21600,21600">
            <v:path/>
            <v:fill focussize="0,0"/>
            <v:stroke joinstyle="miter"/>
            <v:imagedata o:title=""/>
            <o:lock v:ext="edit"/>
            <v:textbox>
              <w:txbxContent>
                <w:p w14:paraId="1CFB710F">
                  <w:pPr>
                    <w:spacing w:beforeLines="100" w:line="360" w:lineRule="auto"/>
                    <w:rPr>
                      <w:rFonts w:ascii="宋体" w:hAnsi="宋体"/>
                      <w:szCs w:val="21"/>
                    </w:rPr>
                  </w:pPr>
                  <w:r>
                    <w:rPr>
                      <w:szCs w:val="21"/>
                    </w:rPr>
                    <w:t>1．</w:t>
                  </w:r>
                  <w:r>
                    <w:rPr>
                      <w:rFonts w:hint="eastAsia" w:ascii="宋体" w:hAnsi="宋体"/>
                      <w:szCs w:val="21"/>
                    </w:rPr>
                    <w:t>是否达到中期目标（在□内打√）：</w:t>
                  </w:r>
                </w:p>
                <w:p w14:paraId="431E6DDF">
                  <w:pPr>
                    <w:spacing w:line="360" w:lineRule="auto"/>
                    <w:ind w:firstLine="315" w:firstLineChars="15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□达到中期目标       □基本达到中期目标      □未达到中期目标</w:t>
                  </w:r>
                </w:p>
                <w:p w14:paraId="55381123">
                  <w:pPr>
                    <w:spacing w:line="360" w:lineRule="auto"/>
                    <w:rPr>
                      <w:rFonts w:ascii="宋体" w:hAnsi="宋体"/>
                      <w:szCs w:val="21"/>
                    </w:rPr>
                  </w:pPr>
                  <w:r>
                    <w:rPr>
                      <w:szCs w:val="21"/>
                    </w:rPr>
                    <w:t>2．</w:t>
                  </w:r>
                  <w:r>
                    <w:rPr>
                      <w:rFonts w:hint="eastAsia" w:ascii="宋体" w:hAnsi="宋体"/>
                      <w:szCs w:val="21"/>
                    </w:rPr>
                    <w:t xml:space="preserve">成绩评定（在□内打√）：  </w:t>
                  </w:r>
                </w:p>
                <w:p w14:paraId="7851231D">
                  <w:pPr>
                    <w:spacing w:line="360" w:lineRule="auto"/>
                    <w:ind w:firstLine="315" w:firstLineChars="15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 xml:space="preserve">□合格    </w:t>
                  </w:r>
                </w:p>
                <w:p w14:paraId="6CDA4CBB">
                  <w:pPr>
                    <w:spacing w:line="360" w:lineRule="auto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/>
                    </w:rPr>
                    <w:t xml:space="preserve">                           </w:t>
                  </w:r>
                  <w:r>
                    <w:rPr>
                      <w:rFonts w:hint="eastAsia" w:ascii="宋体" w:hAnsi="宋体"/>
                      <w:szCs w:val="21"/>
                    </w:rPr>
                    <w:t>□改进后可继续执行</w:t>
                  </w:r>
                </w:p>
                <w:p w14:paraId="0DD3BA5F">
                  <w:pPr>
                    <w:spacing w:line="360" w:lineRule="auto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 xml:space="preserve">   □不合格，项目实施      □提出警告、观察后再定继续执行或中止</w:t>
                  </w:r>
                </w:p>
                <w:p w14:paraId="365BDDE4">
                  <w:pPr>
                    <w:spacing w:line="360" w:lineRule="auto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 xml:space="preserve">                         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 w:ascii="宋体" w:hAnsi="宋体"/>
                      <w:szCs w:val="21"/>
                    </w:rPr>
                    <w:t>□中止实施</w:t>
                  </w:r>
                </w:p>
                <w:p w14:paraId="6563ECC1">
                  <w:r>
                    <w:t xml:space="preserve">3. </w:t>
                  </w:r>
                  <w:r>
                    <w:rPr>
                      <w:rFonts w:hint="eastAsia"/>
                    </w:rPr>
                    <w:t>其他意见和建议：</w:t>
                  </w:r>
                </w:p>
                <w:p w14:paraId="7AC591A0"/>
                <w:p w14:paraId="46B28B90"/>
                <w:p w14:paraId="635CED50"/>
                <w:p w14:paraId="7C830156"/>
                <w:p w14:paraId="1F202D4F"/>
                <w:p w14:paraId="53FB0704"/>
                <w:p w14:paraId="009F12F0"/>
                <w:p w14:paraId="45C94945"/>
                <w:p w14:paraId="5A55DF40"/>
                <w:p w14:paraId="177009F0">
                  <w:r>
                    <w:rPr>
                      <w:rFonts w:hint="eastAsia" w:ascii="宋体" w:hAnsi="宋体"/>
                      <w:szCs w:val="21"/>
                    </w:rPr>
                    <w:t xml:space="preserve">                                      组长签名：                  年     月     日</w:t>
                  </w:r>
                </w:p>
              </w:txbxContent>
            </v:textbox>
          </v:shape>
        </w:pict>
      </w:r>
    </w:p>
    <w:p w14:paraId="193C3F2A">
      <w:pPr>
        <w:rPr>
          <w:rFonts w:ascii="黑体" w:hAnsi="黑体" w:eastAsia="黑体"/>
          <w:sz w:val="52"/>
          <w:szCs w:val="52"/>
        </w:rPr>
      </w:pPr>
      <w:r>
        <w:rPr>
          <w:rFonts w:ascii="黑体" w:hAnsi="黑体" w:eastAsia="黑体"/>
          <w:sz w:val="52"/>
          <w:szCs w:val="52"/>
        </w:rPr>
        <w:pict>
          <v:shape id="_x0000_s1033" o:spid="_x0000_s1033" o:spt="87" type="#_x0000_t87" style="position:absolute;left:0pt;margin-left:109.85pt;margin-top:85.8pt;height:48pt;width:7.15pt;z-index:251661312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</w:p>
    <w:sectPr>
      <w:footerReference r:id="rId3" w:type="default"/>
      <w:pgSz w:w="11906" w:h="16838"/>
      <w:pgMar w:top="1440" w:right="1274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114483"/>
      <w:docPartObj>
        <w:docPartGallery w:val="AutoText"/>
      </w:docPartObj>
    </w:sdtPr>
    <w:sdtContent>
      <w:p w14:paraId="1D9B5110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25B74169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067CA"/>
    <w:rsid w:val="00054A70"/>
    <w:rsid w:val="001479FC"/>
    <w:rsid w:val="001E4A88"/>
    <w:rsid w:val="00255CB8"/>
    <w:rsid w:val="00283ED3"/>
    <w:rsid w:val="002A7C4E"/>
    <w:rsid w:val="00396C4D"/>
    <w:rsid w:val="00424F32"/>
    <w:rsid w:val="00530DBD"/>
    <w:rsid w:val="005E42E4"/>
    <w:rsid w:val="00832B0B"/>
    <w:rsid w:val="009067CA"/>
    <w:rsid w:val="00DF4E72"/>
    <w:rsid w:val="00E6373C"/>
    <w:rsid w:val="00F02154"/>
    <w:rsid w:val="00F36CCD"/>
    <w:rsid w:val="154F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批注框文本 Char"/>
    <w:basedOn w:val="7"/>
    <w:link w:val="2"/>
    <w:semiHidden/>
    <w:uiPriority w:val="99"/>
    <w:rPr>
      <w:kern w:val="2"/>
      <w:sz w:val="18"/>
      <w:szCs w:val="18"/>
    </w:rPr>
  </w:style>
  <w:style w:type="character" w:customStyle="1" w:styleId="9">
    <w:name w:val="页眉 Char"/>
    <w:basedOn w:val="7"/>
    <w:link w:val="4"/>
    <w:semiHidden/>
    <w:uiPriority w:val="99"/>
    <w:rPr>
      <w:kern w:val="2"/>
      <w:sz w:val="18"/>
      <w:szCs w:val="18"/>
    </w:rPr>
  </w:style>
  <w:style w:type="character" w:customStyle="1" w:styleId="10">
    <w:name w:val="页脚 Char"/>
    <w:basedOn w:val="7"/>
    <w:link w:val="3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1"/>
    <customShpInfo spid="_x0000_s1032"/>
    <customShpInfo spid="_x0000_s103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4B702D-5BD4-49FC-AB5F-8EA8A8A070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291</Words>
  <Characters>298</Characters>
  <Lines>4</Lines>
  <Paragraphs>1</Paragraphs>
  <TotalTime>1</TotalTime>
  <ScaleCrop>false</ScaleCrop>
  <LinksUpToDate>false</LinksUpToDate>
  <CharactersWithSpaces>579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2017-05-26T08:23:00Z</dcterms:created>
  <dc:creator>win7</dc:creator>
  <cp:lastModifiedBy>思思达达</cp:lastModifiedBy>
  <dcterms:modified xsi:type="dcterms:W3CDTF">2026-07-08T03:25:39Z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eyJoZGlkIjoiODU1NWI5YThmNTRmMjY3MzFjN2ZhYzJiODNiODBmNjciLCJ1c2VySWQiOiIxMzkyNjQ2NDc2In0=</vt:lpwstr>
  </property>
  <property fmtid="{D5CDD505-2E9C-101B-9397-08002B2CF9AE}" pid="3" name="KSOProductBuildVer">
    <vt:lpwstr>2052-12.1.0.26895</vt:lpwstr>
  </property>
  <property fmtid="{D5CDD505-2E9C-101B-9397-08002B2CF9AE}" pid="4" name="ICV">
    <vt:lpwstr>91298F565EA14A92A852287DC9F095E8_12</vt:lpwstr>
  </property>
</Properties>
</file>