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143500" cy="2543175"/>
            <wp:effectExtent t="0" r="0" b="0" l="0"/>
            <wp:docPr id="1" name="cover" descr="卫星星座网络环绕地球的科技插画" title="星桥平台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431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spacing w:after="100"/>
              <w:jc w:val="center"/>
            </w:pPr>
            <w:r>
              <w:rPr>
                <w:rFonts w:ascii="Arial" w:eastAsia="Microsoft YaHei" w:hAnsi="Arial"/>
                <w:b/>
                <w:bCs/>
                <w:color w:val="FFFFFF"/>
                <w:sz w:val="52"/>
                <w:szCs w:val="52"/>
              </w:rPr>
              <w:t xml:space="preserve">项 目 计 划 书</w:t>
            </w:r>
          </w:p>
          <w:p>
            <w:pPr>
              <w:spacing w:after="80"/>
              <w:jc w:val="center"/>
            </w:pPr>
            <w:r>
              <w:rPr>
                <w:rFonts w:ascii="Arial" w:eastAsia="Microsoft YaHei" w:hAnsi="Arial"/>
                <w:b/>
                <w:bCs/>
                <w:color w:val="FFFFFF"/>
                <w:sz w:val="34"/>
                <w:szCs w:val="34"/>
              </w:rPr>
              <w:t xml:space="preserve">星桥 · 卫星网络虚拟仿真实验平台</w:t>
            </w:r>
          </w:p>
          <w:p>
            <w:pPr>
              <w:jc w:val="center"/>
            </w:pPr>
            <w:r>
              <w:rPr>
                <w:rFonts w:ascii="Arial" w:eastAsia="Microsoft YaHei" w:hAnsi="Arial"/>
                <w:color w:val="D6E4F0"/>
                <w:sz w:val="20"/>
                <w:szCs w:val="20"/>
              </w:rPr>
              <w:t xml:space="preserve">StarBridge — 面向高校的轻量级空天地海网络仿真教学平台</w:t>
            </w:r>
          </w:p>
        </w:tc>
      </w:tr>
    </w:tbl>
    <w:p>
      <w:pPr>
        <w:spacing w:after="160"/>
      </w:pPr>
      <w:r>
        <w:rPr>
          <w:rFonts w:ascii="Arial" w:eastAsia="Microsoft YaHei" w:hAnsi="Arial"/>
          <w:sz w:val="8"/>
          <w:szCs w:val="8"/>
        </w:rPr>
        <w:t xml:space="preserve"> </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tblGrid>
      <w:tr>
        <w:trPr>
          <w:cantSplit/>
        </w:trPr>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b/>
                <w:bCs/>
                <w:color w:val="1F4E79"/>
                <w:sz w:val="22"/>
                <w:szCs w:val="22"/>
              </w:rPr>
              <w:t xml:space="preserve">参赛赛道</w:t>
            </w:r>
          </w:p>
        </w:tc>
        <w:tc>
          <w:tcPr>
            <w:tcW w:type="dxa" w:w="52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sz w:val="22"/>
                <w:szCs w:val="22"/>
              </w:rPr>
              <w:t xml:space="preserve">中国国际大学生创新大赛 · 高教主赛道 · 本科生创意组</w:t>
            </w:r>
          </w:p>
        </w:tc>
      </w:tr>
      <w:tr>
        <w:trPr>
          <w:cantSplit/>
        </w:trPr>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b/>
                <w:bCs/>
                <w:color w:val="1F4E79"/>
                <w:sz w:val="22"/>
                <w:szCs w:val="22"/>
              </w:rPr>
              <w:t xml:space="preserve">项目名称</w:t>
            </w:r>
          </w:p>
        </w:tc>
        <w:tc>
          <w:tcPr>
            <w:tcW w:type="dxa" w:w="52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sz w:val="22"/>
                <w:szCs w:val="22"/>
              </w:rPr>
              <w:t xml:space="preserve">星桥 · 卫星网络虚拟仿真实验平台</w:t>
            </w:r>
          </w:p>
        </w:tc>
      </w:tr>
      <w:tr>
        <w:trPr>
          <w:cantSplit/>
        </w:trPr>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b/>
                <w:bCs/>
                <w:color w:val="1F4E79"/>
                <w:sz w:val="22"/>
                <w:szCs w:val="22"/>
              </w:rPr>
              <w:t xml:space="preserve">依托院校</w:t>
            </w:r>
          </w:p>
        </w:tc>
        <w:tc>
          <w:tcPr>
            <w:tcW w:type="dxa" w:w="52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sz w:val="22"/>
                <w:szCs w:val="22"/>
              </w:rPr>
              <w:t xml:space="preserve">哈尔滨工业大学（深圳）</w:t>
            </w:r>
          </w:p>
        </w:tc>
      </w:tr>
      <w:tr>
        <w:trPr>
          <w:cantSplit/>
        </w:trPr>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b/>
                <w:bCs/>
                <w:color w:val="1F4E79"/>
                <w:sz w:val="22"/>
                <w:szCs w:val="22"/>
              </w:rPr>
              <w:t xml:space="preserve">项目来源</w:t>
            </w:r>
          </w:p>
        </w:tc>
        <w:tc>
          <w:tcPr>
            <w:tcW w:type="dxa" w:w="52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sz w:val="22"/>
                <w:szCs w:val="22"/>
              </w:rPr>
              <w:t xml:space="preserve">校级大一年度项目「空天海网络可视化实时交互仿真演示系统」</w:t>
            </w:r>
          </w:p>
        </w:tc>
      </w:tr>
      <w:tr>
        <w:trPr>
          <w:cantSplit/>
        </w:trPr>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b/>
                <w:bCs/>
                <w:color w:val="1F4E79"/>
                <w:sz w:val="22"/>
                <w:szCs w:val="22"/>
              </w:rPr>
              <w:t xml:space="preserve">团队负责人</w:t>
            </w:r>
          </w:p>
        </w:tc>
        <w:tc>
          <w:tcPr>
            <w:tcW w:type="dxa" w:w="52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sz w:val="22"/>
                <w:szCs w:val="22"/>
              </w:rPr>
              <w:t xml:space="preserve">李思达（基础学部）</w:t>
            </w:r>
          </w:p>
        </w:tc>
      </w:tr>
      <w:tr>
        <w:trPr>
          <w:cantSplit/>
        </w:trPr>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b/>
                <w:bCs/>
                <w:color w:val="1F4E79"/>
                <w:sz w:val="22"/>
                <w:szCs w:val="22"/>
              </w:rPr>
              <w:t xml:space="preserve">团队成员</w:t>
            </w:r>
          </w:p>
        </w:tc>
        <w:tc>
          <w:tcPr>
            <w:tcW w:type="dxa" w:w="52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sz w:val="22"/>
                <w:szCs w:val="22"/>
              </w:rPr>
              <w:t xml:space="preserve">符浩原、李璟哲</w:t>
            </w:r>
          </w:p>
        </w:tc>
      </w:tr>
      <w:tr>
        <w:trPr>
          <w:cantSplit/>
        </w:trPr>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b/>
                <w:bCs/>
                <w:color w:val="1F4E79"/>
                <w:sz w:val="22"/>
                <w:szCs w:val="22"/>
              </w:rPr>
              <w:t xml:space="preserve">指导教师</w:t>
            </w:r>
          </w:p>
        </w:tc>
        <w:tc>
          <w:tcPr>
            <w:tcW w:type="dxa" w:w="52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sz w:val="22"/>
                <w:szCs w:val="22"/>
              </w:rPr>
              <w:t xml:space="preserve">焦健 教授（信息科学与技术学院）</w:t>
            </w:r>
          </w:p>
        </w:tc>
      </w:tr>
      <w:tr>
        <w:trPr>
          <w:cantSplit/>
        </w:trPr>
        <w:tc>
          <w:tcPr>
            <w:tcW w:type="dxa" w:w="18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b/>
                <w:bCs/>
                <w:color w:val="1F4E79"/>
                <w:sz w:val="22"/>
                <w:szCs w:val="22"/>
              </w:rPr>
              <w:t xml:space="preserve">编制日期</w:t>
            </w:r>
          </w:p>
        </w:tc>
        <w:tc>
          <w:tcPr>
            <w:tcW w:type="dxa" w:w="5200"/>
            <w:tcBorders>
              <w:top w:val="none" w:color="FFFFFF" w:sz="0"/>
              <w:left w:val="none" w:color="FFFFFF" w:sz="0"/>
              <w:bottom w:val="none" w:color="FFFFFF" w:sz="0"/>
              <w:right w:val="none" w:color="FFFFFF" w:sz="0"/>
            </w:tcBorders>
            <w:tcMar>
              <w:top w:type="dxa" w:w="70"/>
              <w:left w:type="dxa" w:w="110"/>
              <w:bottom w:type="dxa" w:w="70"/>
              <w:right w:type="dxa" w:w="110"/>
            </w:tcMar>
          </w:tcPr>
          <w:p>
            <w:pPr>
              <w:jc w:val="left"/>
            </w:pPr>
            <w:r>
              <w:rPr>
                <w:rFonts w:ascii="Arial" w:eastAsia="Microsoft YaHei" w:hAnsi="Arial"/>
                <w:sz w:val="22"/>
                <w:szCs w:val="22"/>
              </w:rPr>
              <w:t xml:space="preserve">2026 年 8 月</w:t>
            </w:r>
          </w:p>
        </w:tc>
      </w:tr>
    </w:tbl>
    <w:p>
      <w:pPr>
        <w:spacing w:after="120"/>
      </w:pPr>
      <w:r>
        <w:rPr>
          <w:rFonts w:ascii="Arial" w:eastAsia="Microsoft YaHei" w:hAnsi="Arial"/>
          <w:sz w:val="8"/>
          <w:szCs w:val="8"/>
        </w:rPr>
        <w:t xml:space="preserve"> </w:t>
      </w:r>
    </w:p>
    <w:p>
      <w:pPr>
        <w:jc w:val="center"/>
      </w:pPr>
      <w:r>
        <w:rPr>
          <w:rFonts w:ascii="Arial" w:eastAsia="Microsoft YaHei" w:hAnsi="Arial"/>
          <w:color w:val="7F7F7F"/>
          <w:sz w:val="18"/>
          <w:szCs w:val="18"/>
        </w:rPr>
        <w:t xml:space="preserve">本计划书中的平台技术指标均为项目实测数据，附可复现测试脚本；</w:t>
      </w:r>
    </w:p>
    <w:p>
      <w:pPr>
        <w:jc w:val="center"/>
      </w:pPr>
      <w:r>
        <w:rPr>
          <w:rFonts w:ascii="Arial" w:eastAsia="Microsoft YaHei" w:hAnsi="Arial"/>
          <w:color w:val="7F7F7F"/>
          <w:sz w:val="18"/>
          <w:szCs w:val="18"/>
        </w:rPr>
        <w:t xml:space="preserve">市场与财务数据为基于公开资料与明示假设的测算，详见附录。</w:t>
      </w:r>
    </w:p>
    <w:p>
      <w:r>
        <w:br w:type="page"/>
      </w:r>
    </w:p>
    <w:p>
      <w:pPr>
        <w:pStyle w:val="Heading1"/>
      </w:pPr>
      <w:r>
        <w:rPr>
          <w:rFonts w:ascii="Arial" w:eastAsia="Microsoft YaHei" w:hAnsi="Arial"/>
        </w:rPr>
        <w:t xml:space="preserve">摘  要</w:t>
      </w:r>
    </w:p>
    <w:p>
      <w:pPr>
        <w:spacing w:after="60" w:line="312"/>
        <w:ind w:firstLine="420"/>
        <w:jc w:val="both"/>
      </w:pPr>
      <w:r>
        <w:rPr>
          <w:rFonts w:ascii="Arial" w:eastAsia="Microsoft YaHei" w:hAnsi="Arial"/>
        </w:rPr>
        <w:t xml:space="preserve">「星桥」是一个面向高校教学的轻量级卫星网络虚拟仿真实验平台：学生在浏览器中的三维地球上，实时观看并亲手操作一个真实的低轨（LEO）卫星网络——上千颗卫星按轨道运动、数据包在星间链路上逐跳转发、队列在拥塞中堆积、丢包在切换瞬间尖峰涌现。它把过去只有科研工作者才能使用的包级网络仿真，变成了一台“开箱即用、自带标准答案”的教学实验装置。</w:t>
      </w:r>
    </w:p>
    <w:p>
      <w:pPr>
        <w:spacing w:after="60" w:line="312"/>
        <w:ind w:firstLine="420"/>
        <w:jc w:val="both"/>
      </w:pPr>
      <w:r>
        <w:rPr>
          <w:rFonts w:ascii="Arial" w:eastAsia="Microsoft YaHei" w:hAnsi="Arial"/>
        </w:rPr>
        <w:t xml:space="preserve">平台源自团队在哈尔滨工业大学（深圳）承担的大一年度项目「空天海网络可视化实时交互仿真演示系统」。团队没有在重型仿真框架上做加法，而是自研了约 500 行代码的轻量级包级离散事件仿真引擎（DES），配合 FastAPI + WebSocket 实时后端与 CesiumJS 三维前端，构成“仿真核心—实时后端—浏览器前端”三层解耦架构：无需编译任何 C++ 代码，一台 4 GB 内存的普通笔记本电脑即可运行，千星级（1584 颗卫星）星座仿真实测约 34 ticks/s、浏览器渲染 48 帧/秒。</w:t>
      </w:r>
    </w:p>
    <w:p>
      <w:pPr>
        <w:spacing w:after="60" w:line="312"/>
        <w:ind w:firstLine="420"/>
        <w:jc w:val="both"/>
      </w:pPr>
      <w:r>
        <w:rPr>
          <w:rFonts w:ascii="Arial" w:eastAsia="Microsoft YaHei" w:hAnsi="Arial"/>
        </w:rPr>
        <w:t xml:space="preserve">更重要的是“可信”：平台每一个实验都自带理论答案——端到端时延与几何传播理论值精确对账、拥塞场景与 M/D/1 排队论模型误差仅 1.7%、包守恒不变量（生成 = 送达 + 丢弃 + 在途）在全部测试场景中精确成立。教师第一次可以像批改数学题一样“批改”网络实验；学生先预测、后验证，完成从背诵结论到理解机制的跨越。</w:t>
      </w:r>
    </w:p>
    <w:p>
      <w:pPr>
        <w:spacing w:after="60" w:line="312"/>
        <w:ind w:firstLine="420"/>
        <w:jc w:val="both"/>
      </w:pPr>
      <w:r>
        <w:rPr>
          <w:rFonts w:ascii="Arial" w:eastAsia="Microsoft YaHei" w:hAnsi="Arial"/>
        </w:rPr>
        <w:t xml:space="preserve">商业航天已被写入政府工作报告，工信部《制造业人才发展规划指南》预测航空航天装备领域人才缺口达 47.5 万人，而高校卫星网络教学长期面临“工具重、成本高、看不见、无答案”四大痛点。星桥以“轻量实时 + 可验证 + 开源生态”切入高校虚拟仿真实验教学市场，采用“开源社区免费 + 试点订阅 + 课程共建 + 企业培训”的轻量商业模式；发展路径上先本校课程验证、再区域小范围试点，商业化以覆盖成本、验证付费意愿为目标，小步迭代，不预设快速规模化。</w:t>
      </w:r>
    </w:p>
    <w:p>
      <w:pPr>
        <w:spacing w:after="60"/>
      </w:pPr>
      <w:r>
        <w:rPr>
          <w:rFonts w:ascii="Arial" w:eastAsia="Microsoft YaHei" w:hAnsi="Arial"/>
          <w:sz w:val="8"/>
          <w:szCs w:val="8"/>
        </w:rPr>
        <w:t xml:space="preserve"> </w:t>
      </w:r>
    </w:p>
    <w:p>
      <w:pPr>
        <w:spacing w:after="160" w:before="60"/>
        <w:jc w:val="center"/>
      </w:pPr>
      <w:r>
        <w:rPr>
          <w:rFonts w:ascii="Arial" w:eastAsia="Microsoft YaHei" w:hAnsi="Arial"/>
          <w:color w:val="7F7F7F"/>
          <w:sz w:val="18"/>
          <w:szCs w:val="18"/>
        </w:rPr>
        <w:t xml:space="preserve">表 0-1  项目关键指标速览（全部为实测值）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rPr>
        <w:tc>
          <w:tcPr>
            <w:tcW w:type="dxa" w:w="2256"/>
            <w:tcBorders>
              <w:top w:val="single" w:color="C9C9C9" w:sz="4"/>
              <w:left w:val="single" w:color="C9C9C9" w:sz="4"/>
              <w:bottom w:val="single" w:color="C9C9C9" w:sz="4"/>
              <w:right w:val="single" w:color="C9C9C9" w:sz="4"/>
            </w:tcBorders>
            <w:shd w:fill="F5F9FD" w:val="clear"/>
            <w:tcMar>
              <w:top w:type="dxa" w:w="120"/>
              <w:left w:type="dxa" w:w="80"/>
              <w:bottom w:type="dxa" w:w="120"/>
              <w:right w:type="dxa" w:w="80"/>
            </w:tcMar>
            <w:vAlign w:val="center"/>
          </w:tcPr>
          <w:p>
            <w:pPr>
              <w:spacing w:after="40"/>
              <w:jc w:val="center"/>
            </w:pPr>
            <w:r>
              <w:rPr>
                <w:rFonts w:ascii="Arial" w:eastAsia="Microsoft YaHei" w:hAnsi="Arial"/>
                <w:b/>
                <w:bCs/>
                <w:color w:val="1F4E79"/>
                <w:sz w:val="30"/>
                <w:szCs w:val="30"/>
              </w:rPr>
              <w:t xml:space="preserve">1584 星</w:t>
            </w:r>
          </w:p>
          <w:p>
            <w:pPr>
              <w:jc w:val="center"/>
            </w:pPr>
            <w:r>
              <w:rPr>
                <w:rFonts w:ascii="Arial" w:eastAsia="Microsoft YaHei" w:hAnsi="Arial"/>
                <w:color w:val="7F7F7F"/>
                <w:sz w:val="17"/>
                <w:szCs w:val="17"/>
              </w:rPr>
              <w:t xml:space="preserve">千星级实时仿真（约 34 ticks/s）</w:t>
            </w:r>
          </w:p>
        </w:tc>
        <w:tc>
          <w:tcPr>
            <w:tcW w:type="dxa" w:w="2256"/>
            <w:tcBorders>
              <w:top w:val="single" w:color="C9C9C9" w:sz="4"/>
              <w:left w:val="single" w:color="C9C9C9" w:sz="4"/>
              <w:bottom w:val="single" w:color="C9C9C9" w:sz="4"/>
              <w:right w:val="single" w:color="C9C9C9" w:sz="4"/>
            </w:tcBorders>
            <w:shd w:fill="F5F9FD" w:val="clear"/>
            <w:tcMar>
              <w:top w:type="dxa" w:w="120"/>
              <w:left w:type="dxa" w:w="80"/>
              <w:bottom w:type="dxa" w:w="120"/>
              <w:right w:type="dxa" w:w="80"/>
            </w:tcMar>
            <w:vAlign w:val="center"/>
          </w:tcPr>
          <w:p>
            <w:pPr>
              <w:spacing w:after="40"/>
              <w:jc w:val="center"/>
            </w:pPr>
            <w:r>
              <w:rPr>
                <w:rFonts w:ascii="Arial" w:eastAsia="Microsoft YaHei" w:hAnsi="Arial"/>
                <w:b/>
                <w:bCs/>
                <w:color w:val="1F4E79"/>
                <w:sz w:val="30"/>
                <w:szCs w:val="30"/>
              </w:rPr>
              <w:t xml:space="preserve">48 FPS</w:t>
            </w:r>
          </w:p>
          <w:p>
            <w:pPr>
              <w:jc w:val="center"/>
            </w:pPr>
            <w:r>
              <w:rPr>
                <w:rFonts w:ascii="Arial" w:eastAsia="Microsoft YaHei" w:hAnsi="Arial"/>
                <w:color w:val="7F7F7F"/>
                <w:sz w:val="17"/>
                <w:szCs w:val="17"/>
              </w:rPr>
              <w:t xml:space="preserve">浏览器三维渲染帧率（1584 星）</w:t>
            </w:r>
          </w:p>
        </w:tc>
        <w:tc>
          <w:tcPr>
            <w:tcW w:type="dxa" w:w="2256"/>
            <w:tcBorders>
              <w:top w:val="single" w:color="C9C9C9" w:sz="4"/>
              <w:left w:val="single" w:color="C9C9C9" w:sz="4"/>
              <w:bottom w:val="single" w:color="C9C9C9" w:sz="4"/>
              <w:right w:val="single" w:color="C9C9C9" w:sz="4"/>
            </w:tcBorders>
            <w:shd w:fill="F5F9FD" w:val="clear"/>
            <w:tcMar>
              <w:top w:type="dxa" w:w="120"/>
              <w:left w:type="dxa" w:w="80"/>
              <w:bottom w:type="dxa" w:w="120"/>
              <w:right w:type="dxa" w:w="80"/>
            </w:tcMar>
            <w:vAlign w:val="center"/>
          </w:tcPr>
          <w:p>
            <w:pPr>
              <w:spacing w:after="40"/>
              <w:jc w:val="center"/>
            </w:pPr>
            <w:r>
              <w:rPr>
                <w:rFonts w:ascii="Arial" w:eastAsia="Microsoft YaHei" w:hAnsi="Arial"/>
                <w:b/>
                <w:bCs/>
                <w:color w:val="1F4E79"/>
                <w:sz w:val="30"/>
                <w:szCs w:val="30"/>
              </w:rPr>
              <w:t xml:space="preserve">1.7%</w:t>
            </w:r>
          </w:p>
          <w:p>
            <w:pPr>
              <w:jc w:val="center"/>
            </w:pPr>
            <w:r>
              <w:rPr>
                <w:rFonts w:ascii="Arial" w:eastAsia="Microsoft YaHei" w:hAnsi="Arial"/>
                <w:color w:val="7F7F7F"/>
                <w:sz w:val="17"/>
                <w:szCs w:val="17"/>
              </w:rPr>
              <w:t xml:space="preserve">M/D/1 排队论对账误差</w:t>
            </w:r>
          </w:p>
        </w:tc>
        <w:tc>
          <w:tcPr>
            <w:tcW w:type="dxa" w:w="2256"/>
            <w:tcBorders>
              <w:top w:val="single" w:color="C9C9C9" w:sz="4"/>
              <w:left w:val="single" w:color="C9C9C9" w:sz="4"/>
              <w:bottom w:val="single" w:color="C9C9C9" w:sz="4"/>
              <w:right w:val="single" w:color="C9C9C9" w:sz="4"/>
            </w:tcBorders>
            <w:shd w:fill="F5F9FD" w:val="clear"/>
            <w:tcMar>
              <w:top w:type="dxa" w:w="120"/>
              <w:left w:type="dxa" w:w="80"/>
              <w:bottom w:type="dxa" w:w="120"/>
              <w:right w:type="dxa" w:w="80"/>
            </w:tcMar>
            <w:vAlign w:val="center"/>
          </w:tcPr>
          <w:p>
            <w:pPr>
              <w:spacing w:after="40"/>
              <w:jc w:val="center"/>
            </w:pPr>
            <w:r>
              <w:rPr>
                <w:rFonts w:ascii="Arial" w:eastAsia="Microsoft YaHei" w:hAnsi="Arial"/>
                <w:b/>
                <w:bCs/>
                <w:color w:val="1F4E79"/>
                <w:sz w:val="30"/>
                <w:szCs w:val="30"/>
              </w:rPr>
              <w:t xml:space="preserve">0 编译</w:t>
            </w:r>
          </w:p>
          <w:p>
            <w:pPr>
              <w:jc w:val="center"/>
            </w:pPr>
            <w:r>
              <w:rPr>
                <w:rFonts w:ascii="Arial" w:eastAsia="Microsoft YaHei" w:hAnsi="Arial"/>
                <w:color w:val="7F7F7F"/>
                <w:sz w:val="17"/>
                <w:szCs w:val="17"/>
              </w:rPr>
              <w:t xml:space="preserve">纯 Python，4GB 内存即可运行</w:t>
            </w:r>
          </w:p>
        </w:tc>
      </w:tr>
    </w:tbl>
    <w:p>
      <w:pPr>
        <w:spacing w:after="80"/>
      </w:pPr>
      <w:r>
        <w:rPr>
          <w:rFonts w:ascii="Arial" w:eastAsia="Microsoft YaHei"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rPr>
        <w:tc>
          <w:tcPr>
            <w:tcW w:type="dxa" w:w="2256"/>
            <w:tcBorders>
              <w:top w:val="single" w:color="C9C9C9" w:sz="4"/>
              <w:left w:val="single" w:color="C9C9C9" w:sz="4"/>
              <w:bottom w:val="single" w:color="C9C9C9" w:sz="4"/>
              <w:right w:val="single" w:color="C9C9C9" w:sz="4"/>
            </w:tcBorders>
            <w:shd w:fill="F5F9FD" w:val="clear"/>
            <w:tcMar>
              <w:top w:type="dxa" w:w="120"/>
              <w:left w:type="dxa" w:w="80"/>
              <w:bottom w:type="dxa" w:w="120"/>
              <w:right w:type="dxa" w:w="80"/>
            </w:tcMar>
            <w:vAlign w:val="center"/>
          </w:tcPr>
          <w:p>
            <w:pPr>
              <w:spacing w:after="40"/>
              <w:jc w:val="center"/>
            </w:pPr>
            <w:r>
              <w:rPr>
                <w:rFonts w:ascii="Arial" w:eastAsia="Microsoft YaHei" w:hAnsi="Arial"/>
                <w:b/>
                <w:bCs/>
                <w:color w:val="1F4E79"/>
                <w:sz w:val="30"/>
                <w:szCs w:val="30"/>
              </w:rPr>
              <w:t xml:space="preserve">1050 万包</w:t>
            </w:r>
          </w:p>
          <w:p>
            <w:pPr>
              <w:jc w:val="center"/>
            </w:pPr>
            <w:r>
              <w:rPr>
                <w:rFonts w:ascii="Arial" w:eastAsia="Microsoft YaHei" w:hAnsi="Arial"/>
                <w:color w:val="7F7F7F"/>
                <w:sz w:val="17"/>
                <w:szCs w:val="17"/>
              </w:rPr>
              <w:t xml:space="preserve">300 秒全管线仿真零丢包送达</w:t>
            </w:r>
          </w:p>
        </w:tc>
        <w:tc>
          <w:tcPr>
            <w:tcW w:type="dxa" w:w="2256"/>
            <w:tcBorders>
              <w:top w:val="single" w:color="C9C9C9" w:sz="4"/>
              <w:left w:val="single" w:color="C9C9C9" w:sz="4"/>
              <w:bottom w:val="single" w:color="C9C9C9" w:sz="4"/>
              <w:right w:val="single" w:color="C9C9C9" w:sz="4"/>
            </w:tcBorders>
            <w:shd w:fill="F5F9FD" w:val="clear"/>
            <w:tcMar>
              <w:top w:type="dxa" w:w="120"/>
              <w:left w:type="dxa" w:w="80"/>
              <w:bottom w:type="dxa" w:w="120"/>
              <w:right w:type="dxa" w:w="80"/>
            </w:tcMar>
            <w:vAlign w:val="center"/>
          </w:tcPr>
          <w:p>
            <w:pPr>
              <w:spacing w:after="40"/>
              <w:jc w:val="center"/>
            </w:pPr>
            <w:r>
              <w:rPr>
                <w:rFonts w:ascii="Arial" w:eastAsia="Microsoft YaHei" w:hAnsi="Arial"/>
                <w:b/>
                <w:bCs/>
                <w:color w:val="1F4E79"/>
                <w:sz w:val="30"/>
                <w:szCs w:val="30"/>
              </w:rPr>
              <w:t xml:space="preserve">1160 ticks/s</w:t>
            </w:r>
          </w:p>
          <w:p>
            <w:pPr>
              <w:jc w:val="center"/>
            </w:pPr>
            <w:r>
              <w:rPr>
                <w:rFonts w:ascii="Arial" w:eastAsia="Microsoft YaHei" w:hAnsi="Arial"/>
                <w:color w:val="7F7F7F"/>
                <w:sz w:val="17"/>
                <w:szCs w:val="17"/>
              </w:rPr>
              <w:t xml:space="preserve">DES 引擎长时压测吞吐</w:t>
            </w:r>
          </w:p>
        </w:tc>
        <w:tc>
          <w:tcPr>
            <w:tcW w:type="dxa" w:w="2256"/>
            <w:tcBorders>
              <w:top w:val="single" w:color="C9C9C9" w:sz="4"/>
              <w:left w:val="single" w:color="C9C9C9" w:sz="4"/>
              <w:bottom w:val="single" w:color="C9C9C9" w:sz="4"/>
              <w:right w:val="single" w:color="C9C9C9" w:sz="4"/>
            </w:tcBorders>
            <w:shd w:fill="F5F9FD" w:val="clear"/>
            <w:tcMar>
              <w:top w:type="dxa" w:w="120"/>
              <w:left w:type="dxa" w:w="80"/>
              <w:bottom w:type="dxa" w:w="120"/>
              <w:right w:type="dxa" w:w="80"/>
            </w:tcMar>
            <w:vAlign w:val="center"/>
          </w:tcPr>
          <w:p>
            <w:pPr>
              <w:spacing w:after="40"/>
              <w:jc w:val="center"/>
            </w:pPr>
            <w:r>
              <w:rPr>
                <w:rFonts w:ascii="Arial" w:eastAsia="Microsoft YaHei" w:hAnsi="Arial"/>
                <w:b/>
                <w:bCs/>
                <w:color w:val="1F4E79"/>
                <w:sz w:val="30"/>
                <w:szCs w:val="30"/>
              </w:rPr>
              <w:t xml:space="preserve">SHA-256</w:t>
            </w:r>
          </w:p>
          <w:p>
            <w:pPr>
              <w:jc w:val="center"/>
            </w:pPr>
            <w:r>
              <w:rPr>
                <w:rFonts w:ascii="Arial" w:eastAsia="Microsoft YaHei" w:hAnsi="Arial"/>
                <w:color w:val="7F7F7F"/>
                <w:sz w:val="17"/>
                <w:szCs w:val="17"/>
              </w:rPr>
              <w:t xml:space="preserve">文件传输逐字节校验一致</w:t>
            </w:r>
          </w:p>
        </w:tc>
        <w:tc>
          <w:tcPr>
            <w:tcW w:type="dxa" w:w="2256"/>
            <w:tcBorders>
              <w:top w:val="single" w:color="C9C9C9" w:sz="4"/>
              <w:left w:val="single" w:color="C9C9C9" w:sz="4"/>
              <w:bottom w:val="single" w:color="C9C9C9" w:sz="4"/>
              <w:right w:val="single" w:color="C9C9C9" w:sz="4"/>
            </w:tcBorders>
            <w:shd w:fill="F5F9FD" w:val="clear"/>
            <w:tcMar>
              <w:top w:type="dxa" w:w="120"/>
              <w:left w:type="dxa" w:w="80"/>
              <w:bottom w:type="dxa" w:w="120"/>
              <w:right w:type="dxa" w:w="80"/>
            </w:tcMar>
            <w:vAlign w:val="center"/>
          </w:tcPr>
          <w:p>
            <w:pPr>
              <w:spacing w:after="40"/>
              <w:jc w:val="center"/>
            </w:pPr>
            <w:r>
              <w:rPr>
                <w:rFonts w:ascii="Arial" w:eastAsia="Microsoft YaHei" w:hAnsi="Arial"/>
                <w:b/>
                <w:bCs/>
                <w:color w:val="1F4E79"/>
                <w:sz w:val="30"/>
                <w:szCs w:val="30"/>
              </w:rPr>
              <w:t xml:space="preserve">16+ 项</w:t>
            </w:r>
          </w:p>
          <w:p>
            <w:pPr>
              <w:jc w:val="center"/>
            </w:pPr>
            <w:r>
              <w:rPr>
                <w:rFonts w:ascii="Arial" w:eastAsia="Microsoft YaHei" w:hAnsi="Arial"/>
                <w:color w:val="7F7F7F"/>
                <w:sz w:val="17"/>
                <w:szCs w:val="17"/>
              </w:rPr>
              <w:t xml:space="preserve">固定随机种子可复现测试</w:t>
            </w:r>
          </w:p>
        </w:tc>
      </w:tr>
    </w:tbl>
    <w:p>
      <w:pPr>
        <w:spacing w:after="60"/>
      </w:pPr>
      <w:r>
        <w:rPr>
          <w:rFonts w:ascii="Arial" w:eastAsia="Microsoft YaHei" w:hAnsi="Arial"/>
          <w:sz w:val="8"/>
          <w:szCs w:val="8"/>
        </w:rPr>
        <w:t xml:space="preserve"> </w:t>
      </w:r>
    </w:p>
    <w:p>
      <w:pPr>
        <w:spacing w:after="60" w:line="312"/>
        <w:ind w:firstLine="420"/>
        <w:jc w:val="both"/>
      </w:pPr>
      <w:r>
        <w:rPr>
          <w:rFonts w:ascii="Arial" w:eastAsia="Microsoft YaHei" w:hAnsi="Arial"/>
        </w:rPr>
        <w:t xml:space="preserve">关键词：卫星网络；虚拟仿真实验；离散事件仿真；LEO 星座；新工科；实时可视化</w:t>
      </w:r>
    </w:p>
    <w:p>
      <w:pPr>
        <w:pStyle w:val="Heading1"/>
        <w:pageBreakBefore/>
      </w:pPr>
      <w:r>
        <w:rPr>
          <w:rFonts w:ascii="Arial" w:eastAsia="Microsoft YaHei" w:hAnsi="Arial"/>
        </w:rPr>
        <w:t xml:space="preserve">第一章  项目概述</w:t>
      </w:r>
    </w:p>
    <w:p>
      <w:pPr>
        <w:pStyle w:val="Heading2"/>
      </w:pPr>
      <w:r>
        <w:rPr>
          <w:rFonts w:ascii="Arial" w:eastAsia="Microsoft YaHei" w:hAnsi="Arial"/>
        </w:rPr>
        <w:t xml:space="preserve">1.1  一句话定位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9C9" w:sz="4"/>
              <w:left w:val="single" w:color="1F4E79" w:sz="24"/>
              <w:bottom w:val="single" w:color="C9C9C9" w:sz="4"/>
              <w:right w:val="single" w:color="C9C9C9" w:sz="4"/>
            </w:tcBorders>
            <w:shd w:fill="F5F9FD" w:val="clear"/>
            <w:tcMar>
              <w:top w:type="dxa" w:w="100"/>
              <w:left w:type="dxa" w:w="160"/>
              <w:bottom w:type="dxa" w:w="100"/>
              <w:right w:type="dxa" w:w="140"/>
            </w:tcMar>
          </w:tcPr>
          <w:p>
            <w:pPr>
              <w:spacing w:after="40"/>
            </w:pPr>
            <w:r>
              <w:rPr>
                <w:rFonts w:ascii="Arial" w:eastAsia="Microsoft YaHei" w:hAnsi="Arial"/>
                <w:b/>
                <w:bCs/>
                <w:color w:val="1F4E79"/>
                <w:sz w:val="21"/>
                <w:szCs w:val="21"/>
              </w:rPr>
              <w:t xml:space="preserve">星桥 · 卫星网络虚拟仿真实验平台</w:t>
            </w:r>
          </w:p>
          <w:p>
            <w:pPr>
              <w:spacing w:line="300"/>
              <w:jc w:val="both"/>
            </w:pPr>
            <w:r>
              <w:rPr>
                <w:rFonts w:ascii="Arial" w:eastAsia="Microsoft YaHei" w:hAnsi="Arial"/>
                <w:sz w:val="20"/>
                <w:szCs w:val="20"/>
              </w:rPr>
              <w:t xml:space="preserve">把卫星网络实验从机房搬进浏览器：一台普通笔记本、五分钟部署，学生即可在三维地球上亲手“看见”数据包如何在 1584 颗卫星组成的星座中逐跳流动——并且每一个实验结果都可以和理论公式对账验证。</w:t>
            </w:r>
          </w:p>
        </w:tc>
      </w:tr>
    </w:tbl>
    <w:p>
      <w:pPr>
        <w:spacing w:after="40"/>
      </w:pPr>
      <w:r>
        <w:rPr>
          <w:rFonts w:ascii="Arial" w:eastAsia="Microsoft YaHei" w:hAnsi="Arial"/>
          <w:sz w:val="8"/>
          <w:szCs w:val="8"/>
        </w:rPr>
        <w:t xml:space="preserve"> </w:t>
      </w:r>
    </w:p>
    <w:p>
      <w:pPr>
        <w:pStyle w:val="Heading2"/>
      </w:pPr>
      <w:r>
        <w:rPr>
          <w:rFonts w:ascii="Arial" w:eastAsia="Microsoft YaHei" w:hAnsi="Arial"/>
        </w:rPr>
        <w:t xml:space="preserve">1.2  项目缘起</w:t>
      </w:r>
    </w:p>
    <w:p>
      <w:pPr>
        <w:spacing w:after="60" w:line="312"/>
        <w:ind w:firstLine="420"/>
        <w:jc w:val="both"/>
      </w:pPr>
      <w:r>
        <w:rPr>
          <w:rFonts w:ascii="Arial" w:eastAsia="Microsoft YaHei" w:hAnsi="Arial"/>
        </w:rPr>
        <w:t xml:space="preserve">2025 年秋，团队三名大一新生在哈尔滨工业大学（深圳）立项大一年度项目「空天海网络可视化实时交互仿真演示系统」，源于一个朴素的困惑：卫星互联网已是新闻热词，Starlink、千帆、GW 星座动辄上千颗卫星，但在课堂上，“星间路由怎么走”“切换为什么会掉线”只能靠公式和静态图想象——现有的仿真工具要么是科研级的 ns-3（编译一次要 10~30 分钟、学习曲线陡峭），要么是价格高昂的商业软件，没有一款为“教学生”而设计。</w:t>
      </w:r>
    </w:p>
    <w:p>
      <w:pPr>
        <w:spacing w:after="60" w:line="312"/>
        <w:ind w:firstLine="420"/>
        <w:jc w:val="both"/>
      </w:pPr>
      <w:r>
        <w:rPr>
          <w:rFonts w:ascii="Arial" w:eastAsia="Microsoft YaHei" w:hAnsi="Arial"/>
        </w:rPr>
        <w:t xml:space="preserve">一年间，团队完成了协议地基、包级仿真核心、多域流、实时解耦、包级可视化、校验加固、千星级扩展七个阶段的研发，形成了一套完整可运行、可验证、可复现的系统。本项目即该研究成果面向教育场景的轻量化产品化版本：保留经理论对账的包级仿真内核，剥离科研专用复杂度，围绕“教师好开课、学生好上手、结果可评分”重新组织产品形态，命名为「星桥」——寓意为空天地海之间架设一座通往知识的桥梁。</w:t>
      </w:r>
    </w:p>
    <w:p>
      <w:pPr>
        <w:pStyle w:val="Heading2"/>
      </w:pPr>
      <w:r>
        <w:rPr>
          <w:rFonts w:ascii="Arial" w:eastAsia="Microsoft YaHei" w:hAnsi="Arial"/>
        </w:rPr>
        <w:t xml:space="preserve">1.3  项目基本信息</w:t>
      </w:r>
    </w:p>
    <w:p>
      <w:pPr>
        <w:spacing w:after="160" w:before="60"/>
        <w:jc w:val="center"/>
      </w:pPr>
      <w:r>
        <w:rPr>
          <w:rFonts w:ascii="Arial" w:eastAsia="Microsoft YaHei" w:hAnsi="Arial"/>
          <w:color w:val="7F7F7F"/>
          <w:sz w:val="18"/>
          <w:szCs w:val="18"/>
        </w:rPr>
        <w:t xml:space="preserve">表 1-1  项目基本信息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条目</w:t>
            </w:r>
          </w:p>
        </w:tc>
        <w:tc>
          <w:tcPr>
            <w:tcW w:type="dxa" w:w="68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内容</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项目名称</w:t>
            </w:r>
          </w:p>
        </w:tc>
        <w:tc>
          <w:tcPr>
            <w:tcW w:type="dxa" w:w="6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星桥 · 卫星网络虚拟仿真实验平台（StarBridge）</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项目类型</w:t>
            </w:r>
          </w:p>
        </w:tc>
        <w:tc>
          <w:tcPr>
            <w:tcW w:type="dxa" w:w="6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教育科技 / 虚拟仿真实验教学软件（高教主赛道 · 本科生创意组）</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依托单位</w:t>
            </w:r>
          </w:p>
        </w:tc>
        <w:tc>
          <w:tcPr>
            <w:tcW w:type="dxa" w:w="6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哈尔滨工业大学（深圳）</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项目来源</w:t>
            </w:r>
          </w:p>
        </w:tc>
        <w:tc>
          <w:tcPr>
            <w:tcW w:type="dxa" w:w="6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校级大一年度项目「空天海网络可视化实时交互仿真演示系统」（已通过中期检查）</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团队构成</w:t>
            </w:r>
          </w:p>
        </w:tc>
        <w:tc>
          <w:tcPr>
            <w:tcW w:type="dxa" w:w="6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本科生 3 人（李思达、符浩原、李璟哲），指导教师焦健教授</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技术形态</w:t>
            </w:r>
          </w:p>
        </w:tc>
        <w:tc>
          <w:tcPr>
            <w:tcW w:type="dxa" w:w="6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自研 Python 离散事件仿真引擎 + FastAPI/WebSocket 实时后端 + CesiumJS 浏览器三维前端</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开源协议</w:t>
            </w:r>
          </w:p>
        </w:tc>
        <w:tc>
          <w:tcPr>
            <w:tcW w:type="dxa" w:w="6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自研核心采用 MIT 协议开源（基于 MIT 协议的 Hypatia 框架增强开发，主链路未使用 GPL 组件）</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当前状态</w:t>
            </w:r>
          </w:p>
        </w:tc>
        <w:tc>
          <w:tcPr>
            <w:tcW w:type="dxa" w:w="6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系统已完整可用：千星级仿真、六大教学实验、文件传输实战、16+ 项自动化测试全部通过</w:t>
            </w:r>
          </w:p>
        </w:tc>
      </w:tr>
    </w:tbl>
    <w:p>
      <w:pPr>
        <w:pStyle w:val="Heading2"/>
      </w:pPr>
      <w:r>
        <w:rPr>
          <w:rFonts w:ascii="Arial" w:eastAsia="Microsoft YaHei" w:hAnsi="Arial"/>
        </w:rPr>
        <w:t xml:space="preserve">1.4  本计划书结构</w:t>
      </w:r>
    </w:p>
    <w:p>
      <w:pPr>
        <w:spacing w:after="60" w:line="312"/>
        <w:ind w:firstLine="420"/>
        <w:jc w:val="both"/>
      </w:pPr>
      <w:r>
        <w:rPr>
          <w:rFonts w:ascii="Arial" w:eastAsia="Microsoft YaHei" w:hAnsi="Arial"/>
        </w:rPr>
        <w:t xml:space="preserve">本计划书按照中国国际大学生创新大赛高教主赛道（本科生创意组）评审要点组织：第二章至第四章回应“项目创新”（痛点—方案—技术，30 分），第五章至第九章回应“产业价值”（市场—商业模式—营销—规划—财务，25 分），第十章回应“团队协作”（15 分），第十一、十二章回应“个人成长”中的立德树人与社会价值维度（30 分，其余个人成长要点贯穿全文），并在附录给出评审维度对照表与全部数据来源。</w:t>
      </w:r>
    </w:p>
    <w:p>
      <w:pPr>
        <w:pStyle w:val="Heading1"/>
        <w:pageBreakBefore/>
      </w:pPr>
      <w:r>
        <w:rPr>
          <w:rFonts w:ascii="Arial" w:eastAsia="Microsoft YaHei" w:hAnsi="Arial"/>
        </w:rPr>
        <w:t xml:space="preserve">第二章  背景与痛点分析</w:t>
      </w:r>
    </w:p>
    <w:p>
      <w:pPr>
        <w:pStyle w:val="Heading2"/>
      </w:pPr>
      <w:r>
        <w:rPr>
          <w:rFonts w:ascii="Arial" w:eastAsia="Microsoft YaHei" w:hAnsi="Arial"/>
        </w:rPr>
        <w:t xml:space="preserve">2.1  产业背景：商业航天进入爆发期</w:t>
      </w:r>
    </w:p>
    <w:p>
      <w:pPr>
        <w:spacing w:after="60" w:line="312"/>
        <w:ind w:firstLine="420"/>
        <w:jc w:val="both"/>
      </w:pPr>
      <w:r>
        <w:rPr>
          <w:rFonts w:ascii="Arial" w:eastAsia="Microsoft YaHei" w:hAnsi="Arial"/>
        </w:rPr>
        <w:t xml:space="preserve">卫星互联网已成为全球战略竞争的制高点。我国“十四五”规划将卫星互联网纳入新型基础设施范畴；2024 年，“商业航天”首次写入政府工作报告，与低空经济并列为新增长引擎。产业侧的数据更为直观：2025 年全国新增商业航天企业 83 家，同比增长 277%；截至 2026 年 3 月，全国现存商业航天相关企业已达 9.7 万家。Starlink 在轨卫星超过 7000 颗，我国千帆星座、GW 星座相继进入批量组网阶段——卫星网络正从“单星工程”走向“星座运营”，网络化、系统化能力成为行业新刚需。</w:t>
      </w:r>
    </w:p>
    <w:p>
      <w:pPr>
        <w:pStyle w:val="Heading2"/>
      </w:pPr>
      <w:r>
        <w:rPr>
          <w:rFonts w:ascii="Arial" w:eastAsia="Microsoft YaHei" w:hAnsi="Arial"/>
        </w:rPr>
        <w:t xml:space="preserve">2.2  人才缺口：会“星座组网”的人严重不足</w:t>
      </w:r>
    </w:p>
    <w:p>
      <w:pPr>
        <w:spacing w:after="60" w:line="312"/>
        <w:ind w:firstLine="420"/>
        <w:jc w:val="both"/>
      </w:pPr>
      <w:r>
        <w:rPr>
          <w:rFonts w:ascii="Arial" w:eastAsia="Microsoft YaHei" w:hAnsi="Arial"/>
        </w:rPr>
        <w:t xml:space="preserve">产业爆发直接撞上了人才天花板。工业和信息化部《制造业人才发展规划指南》预测，至 2025 年航空航天装备领域人才缺口达 47.5 万人，而行业现有人才总量仅约 30 万人；另据行业人才报告，2025 年卫星制造、发射、地面网络与终端应用等核心环节人才缺口约 2.8 万人，其中星座调度、星上处理、网络系统设计等“组网类”岗位缺口尤为突出。与岗位需求形成反差的是：卫星网络是典型的动态复杂系统（时变拓扑、频繁切换、多域融合），仅靠公式推导难以建立直觉，必须依赖实验环境反复动手——而这恰恰是当前教学体系最薄弱的环节。</w:t>
      </w:r>
    </w:p>
    <w:p>
      <w:pPr>
        <w:pStyle w:val="Heading2"/>
      </w:pPr>
      <w:r>
        <w:rPr>
          <w:rFonts w:ascii="Arial" w:eastAsia="Microsoft YaHei" w:hAnsi="Arial"/>
        </w:rPr>
        <w:t xml:space="preserve">2.3  政策东风：虚拟仿真实验是国家认证的课程形态</w:t>
      </w:r>
    </w:p>
    <w:p>
      <w:pPr>
        <w:spacing w:after="60" w:line="312"/>
        <w:ind w:firstLine="420"/>
        <w:jc w:val="both"/>
      </w:pPr>
      <w:r>
        <w:rPr>
          <w:rFonts w:ascii="Arial" w:eastAsia="Microsoft YaHei" w:hAnsi="Arial"/>
        </w:rPr>
        <w:t xml:space="preserve">教育部自 2017 年起持续推进示范性虚拟仿真实验教学项目建设，并将其纳入国家级一流本科课程（五类“金课”之一）；教育数字化战略行动进一步把优质数字实验资源列为建设重点。“虚拟仿真实验教学课程”已成为高校新工科建设、专业认证与教学成果奖申报的重要抓手。在国家实验空间平台（ilab-x.com）上，卫星通信类虚拟仿真实验已有多个立项项目，证明需求真实存在——但现有项目多聚焦单星链路预算、载荷波束等“点”上问题，面向“星座组网与网络行为”的实时交互仿真仍是空白。</w:t>
      </w:r>
    </w:p>
    <w:p>
      <w:pPr>
        <w:pStyle w:val="Heading2"/>
      </w:pPr>
      <w:r>
        <w:rPr>
          <w:rFonts w:ascii="Arial" w:eastAsia="Microsoft YaHei" w:hAnsi="Arial"/>
        </w:rPr>
        <w:t xml:space="preserve">2.4  核心痛点：卫星网络教学“三难一缺”</w:t>
      </w:r>
    </w:p>
    <w:p>
      <w:pPr>
        <w:spacing w:after="160" w:before="60"/>
        <w:jc w:val="center"/>
      </w:pPr>
      <w:r>
        <w:rPr>
          <w:rFonts w:ascii="Arial" w:eastAsia="Microsoft YaHei" w:hAnsi="Arial"/>
          <w:color w:val="7F7F7F"/>
          <w:sz w:val="18"/>
          <w:szCs w:val="18"/>
        </w:rPr>
        <w:t xml:space="preserve">表 2-1  现有工具与教学需求的错位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cantSplit/>
          <w:tblHeader/>
        </w:trPr>
        <w:tc>
          <w:tcPr>
            <w:tcW w:type="dxa" w:w="15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痛点</w:t>
            </w:r>
          </w:p>
        </w:tc>
        <w:tc>
          <w:tcPr>
            <w:tcW w:type="dxa" w:w="3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具体表现</w:t>
            </w:r>
          </w:p>
        </w:tc>
        <w:tc>
          <w:tcPr>
            <w:tcW w:type="dxa" w:w="36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现有工具的局限</w:t>
            </w:r>
          </w:p>
        </w:tc>
      </w:tr>
      <w:tr>
        <w:trPr>
          <w:cantSplit/>
        </w:trPr>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工具重</w:t>
            </w:r>
          </w:p>
        </w:tc>
        <w:tc>
          <w:tcPr>
            <w:tcW w:type="dxa" w:w="3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开设一次包级仿真实验，教师需提前数天准备编译环境</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ns-3 需 C++ 编译链与 OpenMPI，单次编译 10~30 分钟，报错门槛高；学习曲线以“月”计</w:t>
            </w:r>
          </w:p>
        </w:tc>
      </w:tr>
      <w:tr>
        <w:trPr>
          <w:cantSplit/>
        </w:trPr>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成本高</w:t>
            </w:r>
          </w:p>
        </w:tc>
        <w:tc>
          <w:tcPr>
            <w:tcW w:type="dxa" w:w="3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商业仿真软件按授权收费，机房批量部署成本高</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STK 等商业软件授权昂贵，教学版功能受限；自研实验装置动辄数十万元</w:t>
            </w:r>
          </w:p>
        </w:tc>
      </w:tr>
      <w:tr>
        <w:trPr>
          <w:cantSplit/>
        </w:trPr>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看不见</w:t>
            </w:r>
          </w:p>
        </w:tc>
        <w:tc>
          <w:tcPr>
            <w:tcW w:type="dxa" w:w="3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星座是动态系统，但仿真输出是 CSV 与日志，网络行为无法直观看</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传统仿真面向离线分析，结果回放滞后；学生“跑完了也不知道网络里发生了什么”</w:t>
            </w:r>
          </w:p>
        </w:tc>
      </w:tr>
      <w:tr>
        <w:trPr>
          <w:cantSplit/>
        </w:trPr>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缺答案</w:t>
            </w:r>
          </w:p>
        </w:tc>
        <w:tc>
          <w:tcPr>
            <w:tcW w:type="dxa" w:w="3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实验结果无标准答案，教师无法客观评分，学生无法自我校验</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仿真参数与理论公式脱节，实验报告“抄参数”现象普遍，动手价值打折</w:t>
            </w:r>
          </w:p>
        </w:tc>
      </w:tr>
    </w:tbl>
    <w:p>
      <w:pPr>
        <w:spacing w:after="60" w:line="312"/>
        <w:ind w:firstLine="420"/>
        <w:jc w:val="both"/>
      </w:pPr>
      <w:r>
        <w:rPr>
          <w:rFonts w:ascii="Arial" w:eastAsia="Microsoft YaHei" w:hAnsi="Arial"/>
        </w:rPr>
        <w:t xml:space="preserve">四个痛点层层递进：工具重、成本高把实验课挡在了大多数普通高校门外；看不见使学生失去对动态网络的最重要直觉；缺答案则让实验教学质量无从评价。星桥的每一项设计，都对应着击穿其中一个痛点。</w:t>
      </w:r>
    </w:p>
    <w:p>
      <w:pPr>
        <w:pStyle w:val="Heading2"/>
      </w:pPr>
      <w:r>
        <w:rPr>
          <w:rFonts w:ascii="Arial" w:eastAsia="Microsoft YaHei" w:hAnsi="Arial"/>
        </w:rPr>
        <w:t xml:space="preserve">2.5  目标用户画像</w:t>
      </w:r>
    </w:p>
    <w:p>
      <w:pPr>
        <w:spacing w:after="160" w:before="60"/>
        <w:jc w:val="center"/>
      </w:pPr>
      <w:r>
        <w:rPr>
          <w:rFonts w:ascii="Arial" w:eastAsia="Microsoft YaHei" w:hAnsi="Arial"/>
          <w:color w:val="7F7F7F"/>
          <w:sz w:val="18"/>
          <w:szCs w:val="18"/>
        </w:rPr>
        <w:t xml:space="preserve">表 2-2  目标用户与核心诉求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26"/>
      </w:tblGrid>
      <w:tr>
        <w:trPr>
          <w:cantSplit/>
          <w:tblHeader/>
        </w:trPr>
        <w:tc>
          <w:tcPr>
            <w:tcW w:type="dxa" w:w="22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用户群体</w:t>
            </w:r>
          </w:p>
        </w:tc>
        <w:tc>
          <w:tcPr>
            <w:tcW w:type="dxa" w:w="3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典型场景</w:t>
            </w:r>
          </w:p>
        </w:tc>
        <w:tc>
          <w:tcPr>
            <w:tcW w:type="dxa" w:w="29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核心诉求</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高校教师（通信 / 电子信息 / 航空航天）</w:t>
            </w:r>
          </w:p>
        </w:tc>
        <w:tc>
          <w:tcPr>
            <w:tcW w:type="dxa" w:w="3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《卫星通信》《计算机网络》《空天地一体化网络》课程的实验环节；虚拟仿真一流课程申报</w:t>
            </w:r>
          </w:p>
        </w:tc>
        <w:tc>
          <w:tcPr>
            <w:tcW w:type="dxa" w:w="29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零门槛开课、实验自带评分依据、可直接用于课程建设申报</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本科生 / 研究生</w:t>
            </w:r>
          </w:p>
        </w:tc>
        <w:tc>
          <w:tcPr>
            <w:tcW w:type="dxa" w:w="3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课程实验、课程设计、科创竞赛入门（如大创、挑战杯）</w:t>
            </w:r>
          </w:p>
        </w:tc>
        <w:tc>
          <w:tcPr>
            <w:tcW w:type="dxa" w:w="29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个人电脑可运行、现象直观、结果可验证</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职业院校（航天 / 通信类专业群）</w:t>
            </w:r>
          </w:p>
        </w:tc>
        <w:tc>
          <w:tcPr>
            <w:tcW w:type="dxa" w:w="3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卫星互联网产业人才培养、订单班实训</w:t>
            </w:r>
          </w:p>
        </w:tc>
        <w:tc>
          <w:tcPr>
            <w:tcW w:type="dxa" w:w="29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低成本批量部署、贴近产业岗位技能</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科普场馆 / 中学航天社团</w:t>
            </w:r>
          </w:p>
        </w:tc>
        <w:tc>
          <w:tcPr>
            <w:tcW w:type="dxa" w:w="3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航天科普展项、研学活动</w:t>
            </w:r>
          </w:p>
        </w:tc>
        <w:tc>
          <w:tcPr>
            <w:tcW w:type="dxa" w:w="29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视觉冲击力强、交互安全、可离线运行</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商业航天企业</w:t>
            </w:r>
          </w:p>
        </w:tc>
        <w:tc>
          <w:tcPr>
            <w:tcW w:type="dxa" w:w="3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新员工入职培训、售前演示</w:t>
            </w:r>
          </w:p>
        </w:tc>
        <w:tc>
          <w:tcPr>
            <w:tcW w:type="dxa" w:w="29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快速建立星座网络全局认知、可定制场景</w:t>
            </w:r>
          </w:p>
        </w:tc>
      </w:tr>
    </w:tbl>
    <w:p>
      <w:pPr>
        <w:pStyle w:val="Heading1"/>
        <w:pageBreakBefore/>
      </w:pPr>
      <w:r>
        <w:rPr>
          <w:rFonts w:ascii="Arial" w:eastAsia="Microsoft YaHei" w:hAnsi="Arial"/>
        </w:rPr>
        <w:t xml:space="preserve">第三章  解决方案与产品</w:t>
      </w:r>
    </w:p>
    <w:p>
      <w:pPr>
        <w:pStyle w:val="Heading2"/>
      </w:pPr>
      <w:r>
        <w:rPr>
          <w:rFonts w:ascii="Arial" w:eastAsia="Microsoft YaHei" w:hAnsi="Arial"/>
        </w:rPr>
        <w:t xml:space="preserve">3.1  总体架构：三层解耦的轻量系统</w:t>
      </w:r>
    </w:p>
    <w:p>
      <w:pPr>
        <w:spacing w:after="60" w:line="312"/>
        <w:ind w:firstLine="420"/>
        <w:jc w:val="both"/>
      </w:pPr>
      <w:r>
        <w:rPr>
          <w:rFonts w:ascii="Arial" w:eastAsia="Microsoft YaHei" w:hAnsi="Arial"/>
        </w:rPr>
        <w:t xml:space="preserve">星桥采用“仿真核心 — 实时后端 — 浏览器前端”三层解耦架构。仿真、传输、渲染三种频率彻底分离：仿真引擎可快于或慢于真实时间运行，后端按固定节拍转发状态快照，前端用插值把 5 Hz 的离散位置流平滑为 60 帧的连续运动。任何一层都可以独立替换——这既是工程上的可维护性，也是教学上的可扩展性（教师可以把仿真核心换成自己的数据源）。</w:t>
      </w:r>
    </w:p>
    <w:p>
      <w:pPr>
        <w:spacing w:after="160" w:before="60"/>
        <w:jc w:val="center"/>
      </w:pPr>
      <w:r>
        <w:rPr>
          <w:rFonts w:ascii="Arial" w:eastAsia="Microsoft YaHei" w:hAnsi="Arial"/>
          <w:color w:val="7F7F7F"/>
          <w:sz w:val="18"/>
          <w:szCs w:val="18"/>
        </w:rPr>
        <w:t xml:space="preserve">表 3-1  星桥三层架构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900"/>
        <w:gridCol w:w="1426"/>
      </w:tblGrid>
      <w:tr>
        <w:trPr>
          <w:cantSplit/>
          <w:tblHeader/>
        </w:trPr>
        <w:tc>
          <w:tcPr>
            <w:tcW w:type="dxa" w:w="17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层级</w:t>
            </w:r>
          </w:p>
        </w:tc>
        <w:tc>
          <w:tcPr>
            <w:tcW w:type="dxa" w:w="30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技术实现</w:t>
            </w:r>
          </w:p>
        </w:tc>
        <w:tc>
          <w:tcPr>
            <w:tcW w:type="dxa" w:w="2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职责</w:t>
            </w:r>
          </w:p>
        </w:tc>
        <w:tc>
          <w:tcPr>
            <w:tcW w:type="dxa" w:w="14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规模量级</w:t>
            </w:r>
          </w:p>
        </w:tc>
      </w:tr>
      <w:tr>
        <w:trPr>
          <w:cantSplit/>
        </w:trPr>
        <w:tc>
          <w:tcPr>
            <w:tcW w:type="dxa" w:w="17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仿真核心层</w:t>
            </w:r>
          </w:p>
        </w:tc>
        <w:tc>
          <w:tcPr>
            <w:tcW w:type="dxa" w:w="30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自研 Python 离散事件仿真引擎（约 500 行核心代码）</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星座轨道、链路可见性、包级转发、排队与丢包、指标采集</w:t>
            </w:r>
          </w:p>
        </w:tc>
        <w:tc>
          <w:tcPr>
            <w:tcW w:type="dxa" w:w="1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1584 星 / 约 34 ticks/s</w:t>
            </w:r>
          </w:p>
        </w:tc>
      </w:tr>
      <w:tr>
        <w:trPr>
          <w:cantSplit/>
        </w:trPr>
        <w:tc>
          <w:tcPr>
            <w:tcW w:type="dxa" w:w="17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实时后端层</w:t>
            </w:r>
          </w:p>
        </w:tc>
        <w:tc>
          <w:tcPr>
            <w:tcW w:type="dxa" w:w="30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FastAPI + WebSocket（约 500 行，6 个模块）</w:t>
            </w:r>
          </w:p>
        </w:tc>
        <w:tc>
          <w:tcPr>
            <w:tcW w:type="dxa" w:w="2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状态广播、命令转发、文件传输数据面；纯 JSON 透明转发</w:t>
            </w:r>
          </w:p>
        </w:tc>
        <w:tc>
          <w:tcPr>
            <w:tcW w:type="dxa" w:w="14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稳态单帧 &lt; 50 KB</w:t>
            </w:r>
          </w:p>
        </w:tc>
      </w:tr>
      <w:tr>
        <w:trPr>
          <w:cantSplit/>
        </w:trPr>
        <w:tc>
          <w:tcPr>
            <w:tcW w:type="dxa" w:w="17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浏览器前端层</w:t>
            </w:r>
          </w:p>
        </w:tc>
        <w:tc>
          <w:tcPr>
            <w:tcW w:type="dxa" w:w="30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CesiumJS 三维地球 + 原生 JS 模块（5 个模块）</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三维渲染、链路着色、时序图表、交互控制、实验面板</w:t>
            </w:r>
          </w:p>
        </w:tc>
        <w:tc>
          <w:tcPr>
            <w:tcW w:type="dxa" w:w="1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1584 星 48 FPS</w:t>
            </w:r>
          </w:p>
        </w:tc>
      </w:tr>
    </w:tbl>
    <w:p>
      <w:pPr>
        <w:spacing w:after="60" w:line="312"/>
        <w:ind w:firstLine="420"/>
        <w:jc w:val="both"/>
      </w:pPr>
      <w:r>
        <w:rPr>
          <w:rFonts w:ascii="Arial" w:eastAsia="Microsoft YaHei" w:hAnsi="Arial"/>
        </w:rPr>
        <w:t xml:space="preserve">数据流：仿真核心以 5~10 Hz 推送状态快照（卫星位置、链路指标、文件传输进度），后端广播至全部浏览器客户端；学生在前端的每一次操作（播放、倍速、跳转、切换星座与场景、发送文件）都作为命令经后端转发回仿真核心实时生效——形成完整的双向交互闭环。</w:t>
      </w:r>
    </w:p>
    <w:p>
      <w:pPr>
        <w:pStyle w:val="Heading2"/>
      </w:pPr>
      <w:r>
        <w:rPr>
          <w:rFonts w:ascii="Arial" w:eastAsia="Microsoft YaHei" w:hAnsi="Arial"/>
        </w:rPr>
        <w:t xml:space="preserve">3.2  六大产品功能</w:t>
      </w:r>
    </w:p>
    <w:p>
      <w:pPr>
        <w:pStyle w:val="Heading3"/>
      </w:pPr>
      <w:r>
        <w:rPr>
          <w:rFonts w:ascii="Arial" w:eastAsia="Microsoft YaHei" w:hAnsi="Arial"/>
        </w:rPr>
        <w:t xml:space="preserve">F1  轻量级包级仿真引擎</w:t>
      </w:r>
    </w:p>
    <w:p>
      <w:pPr>
        <w:spacing w:after="60" w:line="312"/>
        <w:ind w:firstLine="420"/>
        <w:jc w:val="both"/>
      </w:pPr>
      <w:r>
        <w:rPr>
          <w:rFonts w:ascii="Arial" w:eastAsia="Microsoft YaHei" w:hAnsi="Arial"/>
        </w:rPr>
        <w:t xml:space="preserve">自研离散事件仿真引擎以事件队列驱动真实的数据包转发：每一跳的传播时延由真实几何斜距除以光速计算，发送时延等于包长除以带宽，队列满则丢包。链路利用率、端到端时延、抖动、丢包率等全部指标均由真实数据包“涌现”，而非人工设定的假数据——这是与绝大多数“动画演示型”教学软件的本质区别。</w:t>
      </w:r>
    </w:p>
    <w:p>
      <w:pPr>
        <w:pStyle w:val="Heading3"/>
      </w:pPr>
      <w:r>
        <w:rPr>
          <w:rFonts w:ascii="Arial" w:eastAsia="Microsoft YaHei" w:hAnsi="Arial"/>
        </w:rPr>
        <w:t xml:space="preserve">F2  实时三维可视化</w:t>
      </w:r>
    </w:p>
    <w:p>
      <w:pPr>
        <w:spacing w:after="60" w:line="312"/>
        <w:ind w:firstLine="420"/>
        <w:jc w:val="both"/>
      </w:pPr>
      <w:r>
        <w:rPr>
          <w:rFonts w:ascii="Arial" w:eastAsia="Microsoft YaHei" w:hAnsi="Arial"/>
        </w:rPr>
        <w:t xml:space="preserve">浏览器中的三维地球上，数千颗卫星随轨道实时运动；星间链路按利用率绿—黄—红渐变着色；发光脉冲沿链路流动直观呈现数据流向；时序图表实时绘制吞吐、时延、丢包曲线。点击任意卫星、链路或传输任务，即可查看其随时间演化的详细指标。</w:t>
      </w:r>
    </w:p>
    <w:p>
      <w:pPr>
        <w:pStyle w:val="Heading3"/>
      </w:pPr>
      <w:r>
        <w:rPr>
          <w:rFonts w:ascii="Arial" w:eastAsia="Microsoft YaHei" w:hAnsi="Arial"/>
        </w:rPr>
        <w:t xml:space="preserve">F3  交互式实验控制</w:t>
      </w:r>
    </w:p>
    <w:p>
      <w:pPr>
        <w:spacing w:after="60" w:line="312"/>
        <w:ind w:firstLine="420"/>
        <w:jc w:val="both"/>
      </w:pPr>
      <w:r>
        <w:rPr>
          <w:rFonts w:ascii="Arial" w:eastAsia="Microsoft YaHei" w:hAnsi="Arial"/>
        </w:rPr>
        <w:t xml:space="preserve">播放 / 暂停 / 0.1~10 倍速 / 时间轴任意跳转；一键切换仿真场景（理想、商用、天气、切换、极端五档信道条件）与星座（Starlink 五壳层、Kuiper、Telesat）；支持节点筛选与聚焦。学生可以在任意时刻“暂停世界”观察一个包的处境——这是真实卫星网络永远做不到的事。</w:t>
      </w:r>
    </w:p>
    <w:p>
      <w:pPr>
        <w:pStyle w:val="Heading3"/>
      </w:pPr>
      <w:r>
        <w:rPr>
          <w:rFonts w:ascii="Arial" w:eastAsia="Microsoft YaHei" w:hAnsi="Arial"/>
        </w:rPr>
        <w:t xml:space="preserve">F4  空天地海多域网络</w:t>
      </w:r>
    </w:p>
    <w:p>
      <w:pPr>
        <w:spacing w:after="60" w:line="312"/>
        <w:ind w:firstLine="420"/>
        <w:jc w:val="both"/>
      </w:pPr>
      <w:r>
        <w:rPr>
          <w:rFonts w:ascii="Arial" w:eastAsia="Microsoft YaHei" w:hAnsi="Arial"/>
        </w:rPr>
        <w:t xml:space="preserve">平台原生支持卫星、无人机、船舶、地面站四类节点混合组网：无人机编队回传、船舶对岸通信、地面站接入共同跑在同一个包级仿真中，并支持任意终端之间的端到端组合（如船舶发往一颗移动中的卫星）。多域融合对应我国天地一体化信息网络重大工程方向，也是差异化竞争力所在。</w:t>
      </w:r>
    </w:p>
    <w:p>
      <w:pPr>
        <w:pStyle w:val="Heading3"/>
      </w:pPr>
      <w:r>
        <w:rPr>
          <w:rFonts w:ascii="Arial" w:eastAsia="Microsoft YaHei" w:hAnsi="Arial"/>
        </w:rPr>
        <w:t xml:space="preserve">F5  文件传输实战</w:t>
      </w:r>
    </w:p>
    <w:p>
      <w:pPr>
        <w:spacing w:after="60" w:line="312"/>
        <w:ind w:firstLine="420"/>
        <w:jc w:val="both"/>
      </w:pPr>
      <w:r>
        <w:rPr>
          <w:rFonts w:ascii="Arial" w:eastAsia="Microsoft YaHei" w:hAnsi="Arial"/>
        </w:rPr>
        <w:t xml:space="preserve">学生可上传任意文件，指定源端（如某架无人机）、目的端（如北京站）、优先级与速率上限，文件被切分为分片注入仿真网络，经逐跳转发、遭遇排队与丢包、必要时 ARQ 自动重传，最终在目的端还原——系统以 SHA-256 逐字节校验送达文件与原文件完全一致。传输全程可在三维地球上追踪路径、进度、吞吐与重传次数。这把抽象的“可靠传输协议”变成了一次亲手完成的任务。</w:t>
      </w:r>
    </w:p>
    <w:p>
      <w:pPr>
        <w:pStyle w:val="Heading3"/>
      </w:pPr>
      <w:r>
        <w:rPr>
          <w:rFonts w:ascii="Arial" w:eastAsia="Microsoft YaHei" w:hAnsi="Arial"/>
        </w:rPr>
        <w:t xml:space="preserve">F6  理论对账与自动校验</w:t>
      </w:r>
    </w:p>
    <w:p>
      <w:pPr>
        <w:spacing w:after="60" w:line="312"/>
        <w:ind w:firstLine="420"/>
        <w:jc w:val="both"/>
      </w:pPr>
      <w:r>
        <w:rPr>
          <w:rFonts w:ascii="Arial" w:eastAsia="Microsoft YaHei" w:hAnsi="Arial"/>
        </w:rPr>
        <w:t xml:space="preserve">平台内置对账体系：每个实验场景都附带理论基准值（传播时延公式、M/D/1 排队模型、守恒不变量），仿真结果自动与之比对并输出误差。教师可直接引用对账结果作为评分依据；所有测试脚本固定随机种子，任何人在任何机器上重复运行都能得到一致结果。</w:t>
      </w:r>
    </w:p>
    <w:p>
      <w:pPr>
        <w:pStyle w:val="Heading2"/>
      </w:pPr>
      <w:r>
        <w:rPr>
          <w:rFonts w:ascii="Arial" w:eastAsia="Microsoft YaHei" w:hAnsi="Arial"/>
        </w:rPr>
        <w:t xml:space="preserve">3.3  六大教学实验设计</w:t>
      </w:r>
    </w:p>
    <w:p>
      <w:pPr>
        <w:spacing w:after="60" w:line="312"/>
        <w:ind w:firstLine="420"/>
        <w:jc w:val="both"/>
      </w:pPr>
      <w:r>
        <w:rPr>
          <w:rFonts w:ascii="Arial" w:eastAsia="Microsoft YaHei" w:hAnsi="Arial"/>
        </w:rPr>
        <w:t xml:space="preserve">依托引擎能力，平台首批设计了六个由浅入深的实验，覆盖《计算机网络》《卫星通信》《排队论》等课程的核心知识点，每个实验均自带理论答案与观测点：</w:t>
      </w:r>
    </w:p>
    <w:p>
      <w:pPr>
        <w:spacing w:after="160" w:before="60"/>
        <w:jc w:val="center"/>
      </w:pPr>
      <w:r>
        <w:rPr>
          <w:rFonts w:ascii="Arial" w:eastAsia="Microsoft YaHei" w:hAnsi="Arial"/>
          <w:color w:val="7F7F7F"/>
          <w:sz w:val="18"/>
          <w:szCs w:val="18"/>
        </w:rPr>
        <w:t xml:space="preserve">表 3-2  首批六大实验（理论答案均为实测对账结果）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3426"/>
        <w:gridCol w:w="3250"/>
      </w:tblGrid>
      <w:tr>
        <w:trPr>
          <w:cantSplit/>
          <w:tblHeader/>
        </w:trPr>
        <w:tc>
          <w:tcPr>
            <w:tcW w:type="dxa" w:w="235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实验</w:t>
            </w:r>
          </w:p>
        </w:tc>
        <w:tc>
          <w:tcPr>
            <w:tcW w:type="dxa" w:w="34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学生做什么</w:t>
            </w:r>
          </w:p>
        </w:tc>
        <w:tc>
          <w:tcPr>
            <w:tcW w:type="dxa" w:w="325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对账的理论答案（实测）</w:t>
            </w:r>
          </w:p>
        </w:tc>
      </w:tr>
      <w:tr>
        <w:trPr>
          <w:cantSplit/>
        </w:trPr>
        <w:tc>
          <w:tcPr>
            <w:tcW w:type="dxa" w:w="23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E1 时延分解与对账</w:t>
            </w:r>
          </w:p>
        </w:tc>
        <w:tc>
          <w:tcPr>
            <w:tcW w:type="dxa" w:w="3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发送探测流，测量端到端时延，与“传播 + 发送 + 排队”理论分解值对比</w:t>
            </w:r>
          </w:p>
        </w:tc>
        <w:tc>
          <w:tcPr>
            <w:tcW w:type="dxa" w:w="32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3 跳轻载端到端 21.037 ms，与理论值精确吻合；逐跳分解误差 ≤ 0.075 ms</w:t>
            </w:r>
          </w:p>
        </w:tc>
      </w:tr>
      <w:tr>
        <w:trPr>
          <w:cantSplit/>
        </w:trPr>
        <w:tc>
          <w:tcPr>
            <w:tcW w:type="dxa" w:w="23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E2 拥塞与排队论</w:t>
            </w:r>
          </w:p>
        </w:tc>
        <w:tc>
          <w:tcPr>
            <w:tcW w:type="dxa" w:w="34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逐步加大负载，绘制“负载—时延”曲线，观察排队爆发</w:t>
            </w:r>
          </w:p>
        </w:tc>
        <w:tc>
          <w:tcPr>
            <w:tcW w:type="dxa" w:w="32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瓶颈链路 ρ=0.8 时实测 23.60 ms vs M/D/1 理论 24.00 ms，误差 1.7%</w:t>
            </w:r>
          </w:p>
        </w:tc>
      </w:tr>
      <w:tr>
        <w:trPr>
          <w:cantSplit/>
        </w:trPr>
        <w:tc>
          <w:tcPr>
            <w:tcW w:type="dxa" w:w="23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E3 切换丢包观测</w:t>
            </w:r>
          </w:p>
        </w:tc>
        <w:tc>
          <w:tcPr>
            <w:tcW w:type="dxa" w:w="3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在负载上行链路移除瞬间观测丢包尖峰</w:t>
            </w:r>
          </w:p>
        </w:tc>
        <w:tc>
          <w:tcPr>
            <w:tcW w:type="dxa" w:w="32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尖峰 201 包 = 200 在队 + 1 在途，与计数器精确一致</w:t>
            </w:r>
          </w:p>
        </w:tc>
      </w:tr>
      <w:tr>
        <w:trPr>
          <w:cantSplit/>
        </w:trPr>
        <w:tc>
          <w:tcPr>
            <w:tcW w:type="dxa" w:w="23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E4 QoS 优先级</w:t>
            </w:r>
          </w:p>
        </w:tc>
        <w:tc>
          <w:tcPr>
            <w:tcW w:type="dxa" w:w="34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同一瓶颈下同时发送测控流（高优先）与批量流（尽力）</w:t>
            </w:r>
          </w:p>
        </w:tc>
        <w:tc>
          <w:tcPr>
            <w:tcW w:type="dxa" w:w="32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高优先丢包 0.000 / 时延 35 ms，尽力丢包 0.605 / 时延 1065 ms</w:t>
            </w:r>
          </w:p>
        </w:tc>
      </w:tr>
      <w:tr>
        <w:trPr>
          <w:cantSplit/>
        </w:trPr>
        <w:tc>
          <w:tcPr>
            <w:tcW w:type="dxa" w:w="23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E5 可靠文件传输</w:t>
            </w:r>
          </w:p>
        </w:tc>
        <w:tc>
          <w:tcPr>
            <w:tcW w:type="dxa" w:w="3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在高丢包场景传输文件，观察 ARQ 重传与最终校验</w:t>
            </w:r>
          </w:p>
        </w:tc>
        <w:tc>
          <w:tcPr>
            <w:tcW w:type="dxa" w:w="32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≥10 MB 文件 SHA-256 逐字节一致；移动目的端切换链路仍完整送达</w:t>
            </w:r>
          </w:p>
        </w:tc>
      </w:tr>
      <w:tr>
        <w:trPr>
          <w:cantSplit/>
        </w:trPr>
        <w:tc>
          <w:tcPr>
            <w:tcW w:type="dxa" w:w="23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E6 多域组网设计</w:t>
            </w:r>
          </w:p>
        </w:tc>
        <w:tc>
          <w:tcPr>
            <w:tcW w:type="dxa" w:w="34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为无人机与船舶规划接入方案，评估端到端性能</w:t>
            </w:r>
          </w:p>
        </w:tc>
        <w:tc>
          <w:tcPr>
            <w:tcW w:type="dxa" w:w="32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72 星 + 8 机 + 10 船 + 15 站全网 300 秒送达约 105 万包、零非预期丢包</w:t>
            </w:r>
          </w:p>
        </w:tc>
      </w:tr>
    </w:tbl>
    <w:p>
      <w:pPr>
        <w:pStyle w:val="Heading2"/>
      </w:pPr>
      <w:r>
        <w:rPr>
          <w:rFonts w:ascii="Arial" w:eastAsia="Microsoft YaHei" w:hAnsi="Arial"/>
        </w:rPr>
        <w:t xml:space="preserve">3.4  使用流程：从安装到实验报告的四步</w:t>
      </w:r>
    </w:p>
    <w:p>
      <w:pPr>
        <w:pStyle w:val="ListParagraph"/>
        <w:numPr>
          <w:ilvl w:val="0"/>
          <w:numId w:val="2"/>
        </w:numPr>
        <w:spacing w:after="40" w:line="300"/>
        <w:jc w:val="both"/>
      </w:pPr>
      <w:r>
        <w:rPr>
          <w:rFonts w:ascii="Arial" w:eastAsia="Microsoft YaHei" w:hAnsi="Arial"/>
          <w:b/>
          <w:bCs/>
        </w:rPr>
        <w:t xml:space="preserve">①  开箱：</w:t>
      </w:r>
      <w:r>
        <w:rPr>
          <w:rFonts w:ascii="Arial" w:eastAsia="Microsoft YaHei" w:hAnsi="Arial"/>
        </w:rPr>
        <w:t xml:space="preserve">安装依赖（pip 一条命令，无任何编译步骤），双击启动脚本，浏览器自动打开平台；</w:t>
      </w:r>
    </w:p>
    <w:p>
      <w:pPr>
        <w:pStyle w:val="ListParagraph"/>
        <w:numPr>
          <w:ilvl w:val="0"/>
          <w:numId w:val="2"/>
        </w:numPr>
        <w:spacing w:after="40" w:line="300"/>
        <w:jc w:val="both"/>
      </w:pPr>
      <w:r>
        <w:rPr>
          <w:rFonts w:ascii="Arial" w:eastAsia="Microsoft YaHei" w:hAnsi="Arial"/>
          <w:b/>
          <w:bCs/>
        </w:rPr>
        <w:t xml:space="preserve">②  开课：</w:t>
      </w:r>
      <w:r>
        <w:rPr>
          <w:rFonts w:ascii="Arial" w:eastAsia="Microsoft YaHei" w:hAnsi="Arial"/>
        </w:rPr>
        <w:t xml:space="preserve">教师从实验库选择实验（或自定义场景参数），一键下发到学生端；</w:t>
      </w:r>
    </w:p>
    <w:p>
      <w:pPr>
        <w:pStyle w:val="ListParagraph"/>
        <w:numPr>
          <w:ilvl w:val="0"/>
          <w:numId w:val="2"/>
        </w:numPr>
        <w:spacing w:after="40" w:line="300"/>
        <w:jc w:val="both"/>
      </w:pPr>
      <w:r>
        <w:rPr>
          <w:rFonts w:ascii="Arial" w:eastAsia="Microsoft YaHei" w:hAnsi="Arial"/>
          <w:b/>
          <w:bCs/>
        </w:rPr>
        <w:t xml:space="preserve">③  实验：</w:t>
      </w:r>
      <w:r>
        <w:rPr>
          <w:rFonts w:ascii="Arial" w:eastAsia="Microsoft YaHei" w:hAnsi="Arial"/>
        </w:rPr>
        <w:t xml:space="preserve">学生在三维地球上一边操作、一边观察现象，平台同步记录全部指标；</w:t>
      </w:r>
    </w:p>
    <w:p>
      <w:pPr>
        <w:pStyle w:val="ListParagraph"/>
        <w:numPr>
          <w:ilvl w:val="0"/>
          <w:numId w:val="2"/>
        </w:numPr>
        <w:spacing w:after="40" w:line="300"/>
        <w:jc w:val="both"/>
      </w:pPr>
      <w:r>
        <w:rPr>
          <w:rFonts w:ascii="Arial" w:eastAsia="Microsoft YaHei" w:hAnsi="Arial"/>
          <w:b/>
          <w:bCs/>
        </w:rPr>
        <w:t xml:space="preserve">④  报告：</w:t>
      </w:r>
      <w:r>
        <w:rPr>
          <w:rFonts w:ascii="Arial" w:eastAsia="Microsoft YaHei" w:hAnsi="Arial"/>
        </w:rPr>
        <w:t xml:space="preserve">系统自动生成含理论对账误差的实验报告，教师按对账结果评分。</w:t>
      </w:r>
    </w:p>
    <w:p>
      <w:pPr>
        <w:pStyle w:val="Heading2"/>
      </w:pPr>
      <w:r>
        <w:rPr>
          <w:rFonts w:ascii="Arial" w:eastAsia="Microsoft YaHei" w:hAnsi="Arial"/>
        </w:rPr>
        <w:t xml:space="preserve">3.5  与现有方案的对比</w:t>
      </w:r>
    </w:p>
    <w:p>
      <w:pPr>
        <w:spacing w:after="160" w:before="60"/>
        <w:jc w:val="center"/>
      </w:pPr>
      <w:r>
        <w:rPr>
          <w:rFonts w:ascii="Arial" w:eastAsia="Microsoft YaHei" w:hAnsi="Arial"/>
          <w:color w:val="7F7F7F"/>
          <w:sz w:val="18"/>
          <w:szCs w:val="18"/>
        </w:rPr>
        <w:t xml:space="preserve">表 3-3  典型方案对比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950"/>
        <w:gridCol w:w="1900"/>
        <w:gridCol w:w="1900"/>
        <w:gridCol w:w="1826"/>
      </w:tblGrid>
      <w:tr>
        <w:trPr>
          <w:cantSplit/>
          <w:tblHeader/>
        </w:trPr>
        <w:tc>
          <w:tcPr>
            <w:tcW w:type="dxa" w:w="145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18"/>
                <w:szCs w:val="18"/>
              </w:rPr>
              <w:t xml:space="preserve">维度</w:t>
            </w:r>
          </w:p>
        </w:tc>
        <w:tc>
          <w:tcPr>
            <w:tcW w:type="dxa" w:w="195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18"/>
                <w:szCs w:val="18"/>
              </w:rPr>
              <w:t xml:space="preserve">ns-3 / Hypatia（科研开源）</w:t>
            </w:r>
          </w:p>
        </w:tc>
        <w:tc>
          <w:tcPr>
            <w:tcW w:type="dxa" w:w="1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18"/>
                <w:szCs w:val="18"/>
              </w:rPr>
              <w:t xml:space="preserve">STK 等商业软件</w:t>
            </w:r>
          </w:p>
        </w:tc>
        <w:tc>
          <w:tcPr>
            <w:tcW w:type="dxa" w:w="1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18"/>
                <w:szCs w:val="18"/>
              </w:rPr>
              <w:t xml:space="preserve">传统虚拟仿真实验</w:t>
            </w:r>
          </w:p>
        </w:tc>
        <w:tc>
          <w:tcPr>
            <w:tcW w:type="dxa" w:w="18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18"/>
                <w:szCs w:val="18"/>
              </w:rPr>
              <w:t xml:space="preserve">星桥平台</w:t>
            </w:r>
          </w:p>
        </w:tc>
      </w:tr>
      <w:tr>
        <w:trPr>
          <w:cantSplit/>
        </w:trPr>
        <w:tc>
          <w:tcPr>
            <w:tcW w:type="dxa" w:w="14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部署门槛</w:t>
            </w:r>
          </w:p>
        </w:tc>
        <w:tc>
          <w:tcPr>
            <w:tcW w:type="dxa" w:w="19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需 C++ 编译链，编译 10~30 分钟</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安装包大，教学授权受限</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网页或客户端，较易</w:t>
            </w:r>
          </w:p>
        </w:tc>
        <w:tc>
          <w:tcPr>
            <w:tcW w:type="dxa" w:w="1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纯 Python，pip 安装，零编译</w:t>
            </w:r>
          </w:p>
        </w:tc>
      </w:tr>
      <w:tr>
        <w:trPr>
          <w:cantSplit/>
        </w:trPr>
        <w:tc>
          <w:tcPr>
            <w:tcW w:type="dxa" w:w="14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硬件要求</w:t>
            </w:r>
          </w:p>
        </w:tc>
        <w:tc>
          <w:tcPr>
            <w:tcW w:type="dxa" w:w="19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工作站级</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中高端 PC</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一般</w:t>
            </w:r>
          </w:p>
        </w:tc>
        <w:tc>
          <w:tcPr>
            <w:tcW w:type="dxa" w:w="1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普通笔记本（4 GB 内存）</w:t>
            </w:r>
          </w:p>
        </w:tc>
      </w:tr>
      <w:tr>
        <w:trPr>
          <w:cantSplit/>
        </w:trPr>
        <w:tc>
          <w:tcPr>
            <w:tcW w:type="dxa" w:w="14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实时交互</w:t>
            </w:r>
          </w:p>
        </w:tc>
        <w:tc>
          <w:tcPr>
            <w:tcW w:type="dxa" w:w="19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无内置，偏离线批处理</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动画回放为主</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以动画演示为主</w:t>
            </w:r>
          </w:p>
        </w:tc>
        <w:tc>
          <w:tcPr>
            <w:tcW w:type="dxa" w:w="1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实时双向交互，可暂停/倍速/跳转</w:t>
            </w:r>
          </w:p>
        </w:tc>
      </w:tr>
      <w:tr>
        <w:trPr>
          <w:cantSplit/>
        </w:trPr>
        <w:tc>
          <w:tcPr>
            <w:tcW w:type="dxa" w:w="14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包级网络仿真</w:t>
            </w:r>
          </w:p>
        </w:tc>
        <w:tc>
          <w:tcPr>
            <w:tcW w:type="dxa" w:w="19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有（面向科研）</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链路级为主</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无，多为参数面板</w:t>
            </w:r>
          </w:p>
        </w:tc>
        <w:tc>
          <w:tcPr>
            <w:tcW w:type="dxa" w:w="1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有，指标由真实数据包涌现</w:t>
            </w:r>
          </w:p>
        </w:tc>
      </w:tr>
      <w:tr>
        <w:trPr>
          <w:cantSplit/>
        </w:trPr>
        <w:tc>
          <w:tcPr>
            <w:tcW w:type="dxa" w:w="14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结果可验证</w:t>
            </w:r>
          </w:p>
        </w:tc>
        <w:tc>
          <w:tcPr>
            <w:tcW w:type="dxa" w:w="19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需自建分析管线</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商业模型黑箱</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无理论对账</w:t>
            </w:r>
          </w:p>
        </w:tc>
        <w:tc>
          <w:tcPr>
            <w:tcW w:type="dxa" w:w="1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每个实验自带理论答案，误差量化</w:t>
            </w:r>
          </w:p>
        </w:tc>
      </w:tr>
      <w:tr>
        <w:trPr>
          <w:cantSplit/>
        </w:trPr>
        <w:tc>
          <w:tcPr>
            <w:tcW w:type="dxa" w:w="14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成本</w:t>
            </w:r>
          </w:p>
        </w:tc>
        <w:tc>
          <w:tcPr>
            <w:tcW w:type="dxa" w:w="19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免费但人力成本高</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授权昂贵</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按项目采购数万~数十万元</w:t>
            </w:r>
          </w:p>
        </w:tc>
        <w:tc>
          <w:tcPr>
            <w:tcW w:type="dxa" w:w="1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18"/>
                <w:szCs w:val="18"/>
              </w:rPr>
              <w:t xml:space="preserve">核心开源免费，服务订阅制</w:t>
            </w:r>
          </w:p>
        </w:tc>
      </w:tr>
      <w:tr>
        <w:trPr>
          <w:cantSplit/>
        </w:trPr>
        <w:tc>
          <w:tcPr>
            <w:tcW w:type="dxa" w:w="14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二次开发</w:t>
            </w:r>
          </w:p>
        </w:tc>
        <w:tc>
          <w:tcPr>
            <w:tcW w:type="dxa" w:w="19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门槛高（C++）</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封闭</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依赖厂商</w:t>
            </w:r>
          </w:p>
        </w:tc>
        <w:tc>
          <w:tcPr>
            <w:tcW w:type="dxa" w:w="1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18"/>
                <w:szCs w:val="18"/>
              </w:rPr>
              <w:t xml:space="preserve">MIT 开源，Python/JS 生态，学生可改</w:t>
            </w:r>
          </w:p>
        </w:tc>
      </w:tr>
    </w:tbl>
    <w:p>
      <w:pPr>
        <w:spacing w:after="60" w:line="312"/>
        <w:ind w:firstLine="420"/>
        <w:jc w:val="both"/>
      </w:pPr>
      <w:r>
        <w:rPr>
          <w:rFonts w:ascii="Arial" w:eastAsia="Microsoft YaHei" w:hAnsi="Arial"/>
        </w:rPr>
        <w:t xml:space="preserve">综上，星桥并非在某个单项上略胜，而是唯一同时满足“轻量部署、实时交互、包级真实、理论可验证、开源可改”五个教学刚需的方案。</w:t>
      </w:r>
    </w:p>
    <w:p>
      <w:pPr>
        <w:pStyle w:val="Heading1"/>
        <w:pageBreakBefore/>
      </w:pPr>
      <w:r>
        <w:rPr>
          <w:rFonts w:ascii="Arial" w:eastAsia="Microsoft YaHei" w:hAnsi="Arial"/>
        </w:rPr>
        <w:t xml:space="preserve">第四章  核心技术与创新点</w:t>
      </w:r>
    </w:p>
    <w:p>
      <w:pPr>
        <w:pStyle w:val="Heading2"/>
      </w:pPr>
      <w:r>
        <w:rPr>
          <w:rFonts w:ascii="Arial" w:eastAsia="Microsoft YaHei" w:hAnsi="Arial"/>
        </w:rPr>
        <w:t xml:space="preserve">4.1  创新点一：让包级仿真“轻”下来</w:t>
      </w:r>
    </w:p>
    <w:p>
      <w:pPr>
        <w:spacing w:after="60" w:line="312"/>
        <w:ind w:firstLine="420"/>
        <w:jc w:val="both"/>
      </w:pPr>
      <w:r>
        <w:rPr>
          <w:rFonts w:ascii="Arial" w:eastAsia="Microsoft YaHei" w:hAnsi="Arial"/>
        </w:rPr>
        <w:t xml:space="preserve">包级仿真是网络行为真实性的来源，但传统实现（ns-3 为代表）是面向科研的重型 C++ 框架。团队反其道而行：以 Python 标准库 heapq 事件队列 + 每端口 FIFO 存储转发 + 反向 Dijkstra 逐跳路由，用约 500 行核心代码实现了完整的包级仿真内核。轻不等于慢——长时压测实测引擎吞吐 1160 ticks/s；千星级（1584 星）实时仿真约 34 ticks/s，超出实时需求（5 ticks/s）近 7 倍。教学价值在于：这份代码量恰好落在“本科生一学期能读懂、能修改”的区间，平台本身就是一份可教学的高质量工程范例。</w:t>
      </w:r>
    </w:p>
    <w:p>
      <w:pPr>
        <w:pStyle w:val="Heading2"/>
      </w:pPr>
      <w:r>
        <w:rPr>
          <w:rFonts w:ascii="Arial" w:eastAsia="Microsoft YaHei" w:hAnsi="Arial"/>
        </w:rPr>
        <w:t xml:space="preserve">4.2  创新点二：让动态网络“看得见、摸得着”</w:t>
      </w:r>
    </w:p>
    <w:p>
      <w:pPr>
        <w:spacing w:after="60" w:line="312"/>
        <w:ind w:firstLine="420"/>
        <w:jc w:val="both"/>
      </w:pPr>
      <w:r>
        <w:rPr>
          <w:rFonts w:ascii="Arial" w:eastAsia="Microsoft YaHei" w:hAnsi="Arial"/>
        </w:rPr>
        <w:t xml:space="preserve">三层解耦架构配合墙钟插值渲染，把 5 Hz 的离散状态流平滑为 60 帧连续运动（实测浏览器帧率 120 FPS，1584 星下降至 48 FPS，均远超教学可用阈值）。学生可以暂停一个正在拥塞的网络，点开任意链路看队列深度曲线；可以 10 倍速快进观察星座运行一整天的切换规律。协议 v3.2 通过增量链路传输与位置压缩，把千星级稳态单帧控制在 50 KB 以内——这意味着一台普通教学服务器即可支撑整班并发访问，轻量化落到了带宽成本上。</w:t>
      </w:r>
    </w:p>
    <w:p>
      <w:pPr>
        <w:pStyle w:val="Heading2"/>
      </w:pPr>
      <w:r>
        <w:rPr>
          <w:rFonts w:ascii="Arial" w:eastAsia="Microsoft YaHei" w:hAnsi="Arial"/>
        </w:rPr>
        <w:t xml:space="preserve">4.3  创新点三：给每个实验配上“标准答案”（对账体系）</w:t>
      </w:r>
    </w:p>
    <w:p>
      <w:pPr>
        <w:spacing w:after="60" w:line="312"/>
        <w:ind w:firstLine="420"/>
        <w:jc w:val="both"/>
      </w:pPr>
      <w:r>
        <w:rPr>
          <w:rFonts w:ascii="Arial" w:eastAsia="Microsoft YaHei" w:hAnsi="Arial"/>
        </w:rPr>
        <w:t xml:space="preserve">这是星桥对虚拟仿真实验教学最重要的贡献。传统实验报告的问题是“无法判断对错”；星桥把仿真器本身做成可验证的对象，建立三级对账体系：</w:t>
      </w:r>
    </w:p>
    <w:p>
      <w:pPr>
        <w:pStyle w:val="ListParagraph"/>
        <w:numPr>
          <w:ilvl w:val="0"/>
          <w:numId w:val="3"/>
        </w:numPr>
        <w:spacing w:after="40" w:line="300"/>
        <w:jc w:val="both"/>
      </w:pPr>
      <w:r>
        <w:rPr>
          <w:rFonts w:ascii="Arial" w:eastAsia="Microsoft YaHei" w:hAnsi="Arial"/>
          <w:b/>
          <w:bCs/>
        </w:rPr>
        <w:t xml:space="preserve">① </w:t>
      </w:r>
      <w:r>
        <w:rPr>
          <w:rFonts w:ascii="Arial" w:eastAsia="Microsoft YaHei" w:hAnsi="Arial"/>
        </w:rPr>
        <w:t xml:space="preserve">守恒级——任意场景下“生成 = 送达 + 丢弃 + 在途”精确成立，杜绝暗箱；</w:t>
      </w:r>
    </w:p>
    <w:p>
      <w:pPr>
        <w:pStyle w:val="ListParagraph"/>
        <w:numPr>
          <w:ilvl w:val="0"/>
          <w:numId w:val="3"/>
        </w:numPr>
        <w:spacing w:after="40" w:line="300"/>
        <w:jc w:val="both"/>
      </w:pPr>
      <w:r>
        <w:rPr>
          <w:rFonts w:ascii="Arial" w:eastAsia="Microsoft YaHei" w:hAnsi="Arial"/>
          <w:b/>
          <w:bCs/>
        </w:rPr>
        <w:t xml:space="preserve">② </w:t>
      </w:r>
      <w:r>
        <w:rPr>
          <w:rFonts w:ascii="Arial" w:eastAsia="Microsoft YaHei" w:hAnsi="Arial"/>
        </w:rPr>
        <w:t xml:space="preserve">解析级——端到端时延与几何传播理论值精确吻合、逐跳分解误差 ≤ 0.075 ms、吞吐与理论负载误差 ≤ 4.2%；</w:t>
      </w:r>
    </w:p>
    <w:p>
      <w:pPr>
        <w:pStyle w:val="ListParagraph"/>
        <w:numPr>
          <w:ilvl w:val="0"/>
          <w:numId w:val="3"/>
        </w:numPr>
        <w:spacing w:after="40" w:line="300"/>
        <w:jc w:val="both"/>
      </w:pPr>
      <w:r>
        <w:rPr>
          <w:rFonts w:ascii="Arial" w:eastAsia="Microsoft YaHei" w:hAnsi="Arial"/>
          <w:b/>
          <w:bCs/>
        </w:rPr>
        <w:t xml:space="preserve">③ </w:t>
      </w:r>
      <w:r>
        <w:rPr>
          <w:rFonts w:ascii="Arial" w:eastAsia="Microsoft YaHei" w:hAnsi="Arial"/>
        </w:rPr>
        <w:t xml:space="preserve">模型级——拥塞场景与 M/D/1 排队论理论值误差 1.7%，排队时延是从仿真中涌现的，而非反向拟合。</w:t>
      </w:r>
    </w:p>
    <w:p>
      <w:pPr>
        <w:spacing w:after="60" w:line="312"/>
        <w:ind w:firstLine="420"/>
        <w:jc w:val="both"/>
      </w:pPr>
      <w:r>
        <w:rPr>
          <w:rFonts w:ascii="Arial" w:eastAsia="Microsoft YaHei" w:hAnsi="Arial"/>
        </w:rPr>
        <w:t xml:space="preserve">对教师而言，实验第一次变得可评分；对学生而言，“先预测、再运行、后对账”构成了完整的科学方法训练。固定随机种子保证全部结果可复现——这也是本项目区别于“PPT 项目”的底气：每一个数字都有测试脚本背书。</w:t>
      </w:r>
    </w:p>
    <w:p>
      <w:pPr>
        <w:pStyle w:val="Heading2"/>
      </w:pPr>
      <w:r>
        <w:rPr>
          <w:rFonts w:ascii="Arial" w:eastAsia="Microsoft YaHei" w:hAnsi="Arial"/>
        </w:rPr>
        <w:t xml:space="preserve">4.4  创新点四：真实机制而非表面动画</w:t>
      </w:r>
    </w:p>
    <w:p>
      <w:pPr>
        <w:spacing w:after="60" w:line="312"/>
        <w:ind w:firstLine="420"/>
        <w:jc w:val="both"/>
      </w:pPr>
      <w:r>
        <w:rPr>
          <w:rFonts w:ascii="Arial" w:eastAsia="Microsoft YaHei" w:hAnsi="Arial"/>
        </w:rPr>
        <w:t xml:space="preserve">平台上的每一个“现象”都由真实机制产生：切换丢包来自链路断开瞬间在队包与在途包的逐包清算；QoS 差异来自多级优先队列的严格优先调度与“低优先先丢”的缓冲管理；文件完整性来自 ARQ 重传与 SHA-256 校验。反面案例是多数演示型教学软件用脚本播放“看起来像”的动画——学生看完记住的是画面，不是机制。星桥的动画只是把已经发生的真实仿真事件画出来。</w:t>
      </w:r>
    </w:p>
    <w:p>
      <w:pPr>
        <w:pStyle w:val="Heading2"/>
      </w:pPr>
      <w:r>
        <w:rPr>
          <w:rFonts w:ascii="Arial" w:eastAsia="Microsoft YaHei" w:hAnsi="Arial"/>
        </w:rPr>
        <w:t xml:space="preserve">4.5  技术指标实测汇总</w:t>
      </w:r>
    </w:p>
    <w:p>
      <w:pPr>
        <w:spacing w:after="160" w:before="60"/>
        <w:jc w:val="center"/>
      </w:pPr>
      <w:r>
        <w:rPr>
          <w:rFonts w:ascii="Arial" w:eastAsia="Microsoft YaHei" w:hAnsi="Arial"/>
          <w:color w:val="7F7F7F"/>
          <w:sz w:val="18"/>
          <w:szCs w:val="18"/>
        </w:rPr>
        <w:t xml:space="preserve">表 4-1  关键技术指标（全部实测，脚本随项目开源）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类别</w:t>
            </w:r>
          </w:p>
        </w:tc>
        <w:tc>
          <w:tcPr>
            <w:tcW w:type="dxa" w:w="36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指标</w:t>
            </w:r>
          </w:p>
        </w:tc>
        <w:tc>
          <w:tcPr>
            <w:tcW w:type="dxa" w:w="36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实测值</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规模</w:t>
            </w:r>
          </w:p>
        </w:tc>
        <w:tc>
          <w:tcPr>
            <w:tcW w:type="dxa" w:w="3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1584 星（三壳层 Walker 星座）实时仿真</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约 34 ticks/s（实时需求 5 ticks/s）</w:t>
            </w:r>
          </w:p>
        </w:tc>
      </w:tr>
      <w:tr>
        <w:trPr>
          <w:cantSplit/>
        </w:trPr>
        <w:tc>
          <w:tcPr>
            <w:tcW w:type="dxa" w:w="18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规模</w:t>
            </w:r>
          </w:p>
        </w:tc>
        <w:tc>
          <w:tcPr>
            <w:tcW w:type="dxa" w:w="3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1584 星浏览器三维渲染</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48 FPS（1080p，1617 个节点）</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规模</w:t>
            </w:r>
          </w:p>
        </w:tc>
        <w:tc>
          <w:tcPr>
            <w:tcW w:type="dxa" w:w="3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稳态单帧 WebSocket 负载</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44.5~47.2 KB</w:t>
            </w:r>
          </w:p>
        </w:tc>
      </w:tr>
      <w:tr>
        <w:trPr>
          <w:cantSplit/>
        </w:trPr>
        <w:tc>
          <w:tcPr>
            <w:tcW w:type="dxa" w:w="18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性能</w:t>
            </w:r>
          </w:p>
        </w:tc>
        <w:tc>
          <w:tcPr>
            <w:tcW w:type="dxa" w:w="3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DES 引擎长时压测吞吐</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1160 ticks/s（1 小时无退化、无内存泄漏）</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性能</w:t>
            </w:r>
          </w:p>
        </w:tc>
        <w:tc>
          <w:tcPr>
            <w:tcW w:type="dxa" w:w="3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全管线 300 秒仿真</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10,505,465 包送达、零丢包、19 ticks/s</w:t>
            </w:r>
          </w:p>
        </w:tc>
      </w:tr>
      <w:tr>
        <w:trPr>
          <w:cantSplit/>
        </w:trPr>
        <w:tc>
          <w:tcPr>
            <w:tcW w:type="dxa" w:w="18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正确性</w:t>
            </w:r>
          </w:p>
        </w:tc>
        <w:tc>
          <w:tcPr>
            <w:tcW w:type="dxa" w:w="3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M/D/1 排队论对账（ρ=0.8）</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实测 23.60 ms vs 理论 24.00 ms，误差 1.7%</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正确性</w:t>
            </w:r>
          </w:p>
        </w:tc>
        <w:tc>
          <w:tcPr>
            <w:tcW w:type="dxa" w:w="3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端到端时延对账（3 跳轻载）</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21.037 ms，与理论值精确吻合</w:t>
            </w:r>
          </w:p>
        </w:tc>
      </w:tr>
      <w:tr>
        <w:trPr>
          <w:cantSplit/>
        </w:trPr>
        <w:tc>
          <w:tcPr>
            <w:tcW w:type="dxa" w:w="18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正确性</w:t>
            </w:r>
          </w:p>
        </w:tc>
        <w:tc>
          <w:tcPr>
            <w:tcW w:type="dxa" w:w="3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逐跳时延分解误差</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 0.075 ms，端到端逐跳精确可加</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正确性</w:t>
            </w:r>
          </w:p>
        </w:tc>
        <w:tc>
          <w:tcPr>
            <w:tcW w:type="dxa" w:w="3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包守恒不变量</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生成 = 送达 + 丢弃 + 在途，全部场景精确成立</w:t>
            </w:r>
          </w:p>
        </w:tc>
      </w:tr>
      <w:tr>
        <w:trPr>
          <w:cantSplit/>
        </w:trPr>
        <w:tc>
          <w:tcPr>
            <w:tcW w:type="dxa" w:w="18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正确性</w:t>
            </w:r>
          </w:p>
        </w:tc>
        <w:tc>
          <w:tcPr>
            <w:tcW w:type="dxa" w:w="3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切换丢包尖峰</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201 包（200 在队 + 1 在途），与计数精确一致</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正确性</w:t>
            </w:r>
          </w:p>
        </w:tc>
        <w:tc>
          <w:tcPr>
            <w:tcW w:type="dxa" w:w="3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文件传输完整性</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SHA-256 逐字节一致（含移动目的端、高丢包场景）</w:t>
            </w:r>
          </w:p>
        </w:tc>
      </w:tr>
      <w:tr>
        <w:trPr>
          <w:cantSplit/>
        </w:trPr>
        <w:tc>
          <w:tcPr>
            <w:tcW w:type="dxa" w:w="18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可靠性</w:t>
            </w:r>
          </w:p>
        </w:tc>
        <w:tc>
          <w:tcPr>
            <w:tcW w:type="dxa" w:w="3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断线重连</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前端/后端/核心三层自愈，5 项专项测试通过</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质量</w:t>
            </w:r>
          </w:p>
        </w:tc>
        <w:tc>
          <w:tcPr>
            <w:tcW w:type="dxa" w:w="3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自动化测试</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16+ 项专项测试 + 端到端测试，固定随机种子可复现</w:t>
            </w:r>
          </w:p>
        </w:tc>
      </w:tr>
    </w:tbl>
    <w:p>
      <w:pPr>
        <w:pStyle w:val="Heading2"/>
      </w:pPr>
      <w:r>
        <w:rPr>
          <w:rFonts w:ascii="Arial" w:eastAsia="Microsoft YaHei" w:hAnsi="Arial"/>
        </w:rPr>
        <w:t xml:space="preserve">4.6  技术成熟度与知识产权</w:t>
      </w:r>
    </w:p>
    <w:p>
      <w:pPr>
        <w:spacing w:after="60" w:line="312"/>
        <w:ind w:firstLine="420"/>
        <w:jc w:val="both"/>
      </w:pPr>
      <w:r>
        <w:rPr>
          <w:rFonts w:ascii="Arial" w:eastAsia="Microsoft YaHei" w:hAnsi="Arial"/>
        </w:rPr>
        <w:t xml:space="preserve">项目处于“完整可用的产品原型”阶段（TRL 6~7）：核心功能全部实现并通过测试，已在团队内部完成多轮全流程演示。知识产权方面：自研仿真引擎、后端与前端均为原创代码，采用 MIT 协议开源；项目基于同样 MIT 协议的 Hypatia 框架增强开发并遵守其许可；主链路不使用任何 GPL 组件，商业授权路径清晰。团队已启动软件著作权申请（平台软件 + 仿真引擎两件），并计划以教学论文形式在《实验技术与管理》《实验科学与技术》等实验教改期刊发表成果。</w:t>
      </w:r>
    </w:p>
    <w:p>
      <w:pPr>
        <w:pStyle w:val="Heading1"/>
        <w:pageBreakBefore/>
      </w:pPr>
      <w:r>
        <w:rPr>
          <w:rFonts w:ascii="Arial" w:eastAsia="Microsoft YaHei" w:hAnsi="Arial"/>
        </w:rPr>
        <w:t xml:space="preserve">第五章  市场分析</w:t>
      </w:r>
    </w:p>
    <w:p>
      <w:pPr>
        <w:pStyle w:val="Heading2"/>
      </w:pPr>
      <w:r>
        <w:rPr>
          <w:rFonts w:ascii="Arial" w:eastAsia="Microsoft YaHei" w:hAnsi="Arial"/>
        </w:rPr>
        <w:t xml:space="preserve">5.1  市场规模测算</w:t>
      </w:r>
    </w:p>
    <w:p>
      <w:pPr>
        <w:spacing w:after="60" w:line="312"/>
        <w:ind w:firstLine="420"/>
        <w:jc w:val="both"/>
      </w:pPr>
      <w:r>
        <w:rPr>
          <w:rFonts w:ascii="Arial" w:eastAsia="Microsoft YaHei" w:hAnsi="Arial"/>
        </w:rPr>
        <w:t xml:space="preserve">星桥所处的细分市场是“高校虚拟仿真实验教学软件”，采用自下而上测算（假设明示于附注，供评审检验）：</w:t>
      </w:r>
    </w:p>
    <w:p>
      <w:pPr>
        <w:spacing w:after="160" w:before="60"/>
        <w:jc w:val="center"/>
      </w:pPr>
      <w:r>
        <w:rPr>
          <w:rFonts w:ascii="Arial" w:eastAsia="Microsoft YaHei" w:hAnsi="Arial"/>
          <w:color w:val="7F7F7F"/>
          <w:sz w:val="18"/>
          <w:szCs w:val="18"/>
        </w:rPr>
        <w:t xml:space="preserve">表 5-1  TAM / SAM / SOM 测算（教育侧）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2026"/>
      </w:tblGrid>
      <w:tr>
        <w:trPr>
          <w:cantSplit/>
          <w:tblHeader/>
        </w:trPr>
        <w:tc>
          <w:tcPr>
            <w:tcW w:type="dxa" w:w="12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层级</w:t>
            </w:r>
          </w:p>
        </w:tc>
        <w:tc>
          <w:tcPr>
            <w:tcW w:type="dxa" w:w="26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范围</w:t>
            </w:r>
          </w:p>
        </w:tc>
        <w:tc>
          <w:tcPr>
            <w:tcW w:type="dxa" w:w="32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测算逻辑</w:t>
            </w:r>
          </w:p>
        </w:tc>
        <w:tc>
          <w:tcPr>
            <w:tcW w:type="dxa" w:w="20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规模估算</w:t>
            </w:r>
          </w:p>
        </w:tc>
      </w:tr>
      <w:tr>
        <w:trPr>
          <w:cantSplit/>
        </w:trPr>
        <w:tc>
          <w:tcPr>
            <w:tcW w:type="dxa" w:w="1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TAM</w:t>
            </w:r>
          </w:p>
        </w:tc>
        <w:tc>
          <w:tcPr>
            <w:tcW w:type="dxa" w:w="2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全国高校虚拟仿真实验软件市场</w:t>
            </w:r>
          </w:p>
        </w:tc>
        <w:tc>
          <w:tcPr>
            <w:tcW w:type="dxa" w:w="3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约 1300 所本科高校 + 职业院校航天/通信专业群 + 科普场馆；按目标专业年均实验软件建设投入 20~80 万元测算</w:t>
            </w:r>
          </w:p>
        </w:tc>
        <w:tc>
          <w:tcPr>
            <w:tcW w:type="dxa" w:w="20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约 1.2~4.8 亿元 / 年</w:t>
            </w:r>
          </w:p>
        </w:tc>
      </w:tr>
      <w:tr>
        <w:trPr>
          <w:cantSplit/>
        </w:trPr>
        <w:tc>
          <w:tcPr>
            <w:tcW w:type="dxa" w:w="1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SAM</w:t>
            </w:r>
          </w:p>
        </w:tc>
        <w:tc>
          <w:tcPr>
            <w:tcW w:type="dxa" w:w="2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通信 / 航空航天专业虚拟仿真细分</w:t>
            </w:r>
          </w:p>
        </w:tc>
        <w:tc>
          <w:tcPr>
            <w:tcW w:type="dxa" w:w="3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开设通信工程或航空航天类本科专业的高校约 600+ 所，叠加一流课程建设专项</w:t>
            </w:r>
          </w:p>
        </w:tc>
        <w:tc>
          <w:tcPr>
            <w:tcW w:type="dxa" w:w="20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约 0.6~1.9 亿元 / 年</w:t>
            </w:r>
          </w:p>
        </w:tc>
      </w:tr>
      <w:tr>
        <w:trPr>
          <w:cantSplit/>
        </w:trPr>
        <w:tc>
          <w:tcPr>
            <w:tcW w:type="dxa" w:w="1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SOM</w:t>
            </w:r>
          </w:p>
        </w:tc>
        <w:tc>
          <w:tcPr>
            <w:tcW w:type="dxa" w:w="2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三年可获取</w:t>
            </w:r>
          </w:p>
        </w:tc>
        <w:tc>
          <w:tcPr>
            <w:tcW w:type="dxa" w:w="3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以本校为起点、深圳及周边高校先行，三年内累计试用/付费高校 10~20 所、课程共建 1~3 项</w:t>
            </w:r>
          </w:p>
        </w:tc>
        <w:tc>
          <w:tcPr>
            <w:tcW w:type="dxa" w:w="20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约 20~150 万元（三年累计，用于验证单位经济而非追求规模）</w:t>
            </w:r>
          </w:p>
        </w:tc>
      </w:tr>
    </w:tbl>
    <w:p>
      <w:pPr>
        <w:spacing w:after="60" w:line="312"/>
        <w:ind w:firstLine="420"/>
        <w:jc w:val="both"/>
      </w:pPr>
      <w:r>
        <w:rPr>
          <w:rFonts w:ascii="Arial" w:eastAsia="Microsoft YaHei" w:hAnsi="Arial"/>
        </w:rPr>
        <w:t xml:space="preserve">此外存在两类增量市场：商业航天企业培训（2025 年起行业新增企业快速攀升，新员工系统性培训需求刚显）与航天科普（全国科技馆/青少年宫体系），二者不作为近期收入主体，但为品牌与获客渠道。</w:t>
      </w:r>
    </w:p>
    <w:p>
      <w:pPr>
        <w:pStyle w:val="Heading2"/>
      </w:pPr>
      <w:r>
        <w:rPr>
          <w:rFonts w:ascii="Arial" w:eastAsia="Microsoft YaHei" w:hAnsi="Arial"/>
        </w:rPr>
        <w:t xml:space="preserve">5.2  竞争格局</w:t>
      </w:r>
    </w:p>
    <w:p>
      <w:pPr>
        <w:spacing w:after="160" w:before="60"/>
        <w:jc w:val="center"/>
      </w:pPr>
      <w:r>
        <w:rPr>
          <w:rFonts w:ascii="Arial" w:eastAsia="Microsoft YaHei" w:hAnsi="Arial"/>
          <w:color w:val="7F7F7F"/>
          <w:sz w:val="18"/>
          <w:szCs w:val="18"/>
        </w:rPr>
        <w:t xml:space="preserve">表 5-2  竞争者分析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500"/>
        <w:gridCol w:w="2626"/>
      </w:tblGrid>
      <w:tr>
        <w:trPr>
          <w:cantSplit/>
          <w:tblHeader/>
        </w:trPr>
        <w:tc>
          <w:tcPr>
            <w:tcW w:type="dxa" w:w="20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竞争者类型</w:t>
            </w:r>
          </w:p>
        </w:tc>
        <w:tc>
          <w:tcPr>
            <w:tcW w:type="dxa" w:w="1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代表</w:t>
            </w:r>
          </w:p>
        </w:tc>
        <w:tc>
          <w:tcPr>
            <w:tcW w:type="dxa" w:w="25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优势</w:t>
            </w:r>
          </w:p>
        </w:tc>
        <w:tc>
          <w:tcPr>
            <w:tcW w:type="dxa" w:w="26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软肋（星桥的机会）</w:t>
            </w:r>
          </w:p>
        </w:tc>
      </w:tr>
      <w:tr>
        <w:trPr>
          <w:cantSplit/>
        </w:trPr>
        <w:tc>
          <w:tcPr>
            <w:tcW w:type="dxa" w:w="20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科研开源框架</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ns-3、Hypatia、OMNeT++</w:t>
            </w:r>
          </w:p>
        </w:tc>
        <w:tc>
          <w:tcPr>
            <w:tcW w:type="dxa" w:w="2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学术公信力强、模型精细</w:t>
            </w:r>
          </w:p>
        </w:tc>
        <w:tc>
          <w:tcPr>
            <w:tcW w:type="dxa" w:w="2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面向科研而非教学：无实时可视化、部署重、无课程化封装</w:t>
            </w:r>
          </w:p>
        </w:tc>
      </w:tr>
      <w:tr>
        <w:trPr>
          <w:cantSplit/>
        </w:trPr>
        <w:tc>
          <w:tcPr>
            <w:tcW w:type="dxa" w:w="20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商业仿真软件</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STK、BTS 等行业工具</w:t>
            </w:r>
          </w:p>
        </w:tc>
        <w:tc>
          <w:tcPr>
            <w:tcW w:type="dxa" w:w="2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工程精度高、行业标配</w:t>
            </w:r>
          </w:p>
        </w:tc>
        <w:tc>
          <w:tcPr>
            <w:tcW w:type="dxa" w:w="2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授权昂贵、教学场景受限、网络级实时交互弱</w:t>
            </w:r>
          </w:p>
        </w:tc>
      </w:tr>
      <w:tr>
        <w:trPr>
          <w:cantSplit/>
        </w:trPr>
        <w:tc>
          <w:tcPr>
            <w:tcW w:type="dxa" w:w="20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虚拟仿真厂商</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高校定制开发项目（实验空间平台在架项目）</w:t>
            </w:r>
          </w:p>
        </w:tc>
        <w:tc>
          <w:tcPr>
            <w:tcW w:type="dxa" w:w="2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对接课程申报经验丰富</w:t>
            </w:r>
          </w:p>
        </w:tc>
        <w:tc>
          <w:tcPr>
            <w:tcW w:type="dxa" w:w="2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多为单星链路级/演示动画型；按项目制交付、迭代慢、价格高；缺包级真实性</w:t>
            </w:r>
          </w:p>
        </w:tc>
      </w:tr>
      <w:tr>
        <w:trPr>
          <w:cantSplit/>
        </w:trPr>
        <w:tc>
          <w:tcPr>
            <w:tcW w:type="dxa" w:w="20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潜在进入者</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大厂教育业务、出版社数字化部门</w:t>
            </w:r>
          </w:p>
        </w:tc>
        <w:tc>
          <w:tcPr>
            <w:tcW w:type="dxa" w:w="2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渠道与资金雄厚</w:t>
            </w:r>
          </w:p>
        </w:tc>
        <w:tc>
          <w:tcPr>
            <w:tcW w:type="dxa" w:w="2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缺乏卫星网络垂直 know-how 与经对账的仿真内核；教育细分市场对大厂吸引力有限</w:t>
            </w:r>
          </w:p>
        </w:tc>
      </w:tr>
    </w:tbl>
    <w:p>
      <w:pPr>
        <w:pStyle w:val="Heading2"/>
      </w:pPr>
      <w:r>
        <w:rPr>
          <w:rFonts w:ascii="Arial" w:eastAsia="Microsoft YaHei" w:hAnsi="Arial"/>
        </w:rPr>
        <w:t xml:space="preserve">5.3  差异化定位</w:t>
      </w:r>
    </w:p>
    <w:p>
      <w:pPr>
        <w:spacing w:after="60" w:line="312"/>
        <w:ind w:firstLine="420"/>
        <w:jc w:val="both"/>
      </w:pPr>
      <w:r>
        <w:rPr>
          <w:rFonts w:ascii="Arial" w:eastAsia="Microsoft YaHei" w:hAnsi="Arial"/>
        </w:rPr>
        <w:t xml:space="preserve">星桥的护城河由三层构成：第一层是“经理论对账的包级仿真内核”——对账体系需要排队论与网络工程的交叉能力，且必须逐项实测，难以速成；第二层是“实验内容与答案库”——六大实验的参数、观测点与评分标准持续积累，形成内容壁垒；第三层是“开源社区”——核心开源使 later-comers 即使复制代码，也难以复制社区教师共同维护的实验生态。定位一句话：不做最精确的仿真器，做最可信的教学平台。</w:t>
      </w:r>
    </w:p>
    <w:p>
      <w:pPr>
        <w:pStyle w:val="Heading2"/>
      </w:pPr>
      <w:r>
        <w:rPr>
          <w:rFonts w:ascii="Arial" w:eastAsia="Microsoft YaHei" w:hAnsi="Arial"/>
        </w:rPr>
        <w:t xml:space="preserve">5.4  市场窗口</w:t>
      </w:r>
    </w:p>
    <w:p>
      <w:pPr>
        <w:spacing w:after="60" w:line="312"/>
        <w:ind w:firstLine="420"/>
        <w:jc w:val="both"/>
      </w:pPr>
      <w:r>
        <w:rPr>
          <w:rFonts w:ascii="Arial" w:eastAsia="Microsoft YaHei" w:hAnsi="Arial"/>
        </w:rPr>
        <w:t xml:space="preserve">当前存在三重有利窗口：其一，千帆、GW 星座 2025 年起密集组网，“卫星网络”从前沿话题变为产业常识，课程需求逐步显现；其二，国家级一流课程“双万计划”与教育数字化战略推动高校持续投入虚拟仿真资源；其三，现有供给（科研工具与定制项目）结构性错位，尚无占据心智的教学品牌。窗口预计 2~3 年，率先完成课程共建、进入教师课堂的团队，更容易形成使用惯性与信任。</w:t>
      </w:r>
    </w:p>
    <w:p>
      <w:pPr>
        <w:pStyle w:val="Heading1"/>
        <w:pageBreakBefore/>
      </w:pPr>
      <w:r>
        <w:rPr>
          <w:rFonts w:ascii="Arial" w:eastAsia="Microsoft YaHei" w:hAnsi="Arial"/>
        </w:rPr>
        <w:t xml:space="preserve">第六章  商业模式</w:t>
      </w:r>
    </w:p>
    <w:p>
      <w:pPr>
        <w:pStyle w:val="Heading2"/>
      </w:pPr>
      <w:r>
        <w:rPr>
          <w:rFonts w:ascii="Arial" w:eastAsia="Microsoft YaHei" w:hAnsi="Arial"/>
        </w:rPr>
        <w:t xml:space="preserve">6.1  价值主张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9C9" w:sz="4"/>
              <w:left w:val="single" w:color="1F4E79" w:sz="24"/>
              <w:bottom w:val="single" w:color="C9C9C9" w:sz="4"/>
              <w:right w:val="single" w:color="C9C9C9" w:sz="4"/>
            </w:tcBorders>
            <w:shd w:fill="F5F9FD" w:val="clear"/>
            <w:tcMar>
              <w:top w:type="dxa" w:w="100"/>
              <w:left w:type="dxa" w:w="160"/>
              <w:bottom w:type="dxa" w:w="100"/>
              <w:right w:type="dxa" w:w="140"/>
            </w:tcMar>
          </w:tcPr>
          <w:p>
            <w:pPr>
              <w:spacing w:after="40"/>
            </w:pPr>
            <w:r>
              <w:rPr>
                <w:rFonts w:ascii="Arial" w:eastAsia="Microsoft YaHei" w:hAnsi="Arial"/>
                <w:b/>
                <w:bCs/>
                <w:color w:val="1F4E79"/>
                <w:sz w:val="21"/>
                <w:szCs w:val="21"/>
              </w:rPr>
              <w:t xml:space="preserve">对教师</w:t>
            </w:r>
          </w:p>
          <w:p>
            <w:pPr>
              <w:spacing w:line="300"/>
              <w:jc w:val="both"/>
            </w:pPr>
            <w:r>
              <w:rPr>
                <w:rFonts w:ascii="Arial" w:eastAsia="Microsoft YaHei" w:hAnsi="Arial"/>
                <w:sz w:val="20"/>
                <w:szCs w:val="20"/>
              </w:rPr>
              <w:t xml:space="preserve">零门槛开出有标准答案的卫星网络实验课，直接服务于一流课程申报与教学成果积累。</w:t>
            </w:r>
          </w:p>
        </w:tc>
      </w:tr>
    </w:tbl>
    <w:p>
      <w:pPr>
        <w:spacing w:after="40"/>
      </w:pPr>
      <w:r>
        <w:rPr>
          <w:rFonts w:ascii="Arial" w:eastAsia="Microsoft YaHei"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9C9" w:sz="4"/>
              <w:left w:val="single" w:color="1F4E79" w:sz="24"/>
              <w:bottom w:val="single" w:color="C9C9C9" w:sz="4"/>
              <w:right w:val="single" w:color="C9C9C9" w:sz="4"/>
            </w:tcBorders>
            <w:shd w:fill="F5F9FD" w:val="clear"/>
            <w:tcMar>
              <w:top w:type="dxa" w:w="100"/>
              <w:left w:type="dxa" w:w="160"/>
              <w:bottom w:type="dxa" w:w="100"/>
              <w:right w:type="dxa" w:w="140"/>
            </w:tcMar>
          </w:tcPr>
          <w:p>
            <w:pPr>
              <w:spacing w:after="40"/>
            </w:pPr>
            <w:r>
              <w:rPr>
                <w:rFonts w:ascii="Arial" w:eastAsia="Microsoft YaHei" w:hAnsi="Arial"/>
                <w:b/>
                <w:bCs/>
                <w:color w:val="1F4E79"/>
                <w:sz w:val="21"/>
                <w:szCs w:val="21"/>
              </w:rPr>
              <w:t xml:space="preserve">对学校</w:t>
            </w:r>
          </w:p>
          <w:p>
            <w:pPr>
              <w:spacing w:line="300"/>
              <w:jc w:val="both"/>
            </w:pPr>
            <w:r>
              <w:rPr>
                <w:rFonts w:ascii="Arial" w:eastAsia="Microsoft YaHei" w:hAnsi="Arial"/>
                <w:sz w:val="20"/>
                <w:szCs w:val="20"/>
              </w:rPr>
              <w:t xml:space="preserve">以一张教学服务器级的成本，获得可私有化部署、可持续迭代的开放实验平台，摆脱按项目定制的高价低频采购。</w:t>
            </w:r>
          </w:p>
        </w:tc>
      </w:tr>
    </w:tbl>
    <w:p>
      <w:pPr>
        <w:spacing w:after="40"/>
      </w:pPr>
      <w:r>
        <w:rPr>
          <w:rFonts w:ascii="Arial" w:eastAsia="Microsoft YaHei"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C9C9" w:sz="4"/>
              <w:left w:val="single" w:color="1F4E79" w:sz="24"/>
              <w:bottom w:val="single" w:color="C9C9C9" w:sz="4"/>
              <w:right w:val="single" w:color="C9C9C9" w:sz="4"/>
            </w:tcBorders>
            <w:shd w:fill="F5F9FD" w:val="clear"/>
            <w:tcMar>
              <w:top w:type="dxa" w:w="100"/>
              <w:left w:type="dxa" w:w="160"/>
              <w:bottom w:type="dxa" w:w="100"/>
              <w:right w:type="dxa" w:w="140"/>
            </w:tcMar>
          </w:tcPr>
          <w:p>
            <w:pPr>
              <w:spacing w:after="40"/>
            </w:pPr>
            <w:r>
              <w:rPr>
                <w:rFonts w:ascii="Arial" w:eastAsia="Microsoft YaHei" w:hAnsi="Arial"/>
                <w:b/>
                <w:bCs/>
                <w:color w:val="1F4E79"/>
                <w:sz w:val="21"/>
                <w:szCs w:val="21"/>
              </w:rPr>
              <w:t xml:space="preserve">对学生与产业</w:t>
            </w:r>
          </w:p>
          <w:p>
            <w:pPr>
              <w:spacing w:line="300"/>
              <w:jc w:val="both"/>
            </w:pPr>
            <w:r>
              <w:rPr>
                <w:rFonts w:ascii="Arial" w:eastAsia="Microsoft YaHei" w:hAnsi="Arial"/>
                <w:sz w:val="20"/>
                <w:szCs w:val="20"/>
              </w:rPr>
              <w:t xml:space="preserve">在校园里获得贴近商业航天岗位的网络系统认知训练；核心开源，优秀学生的贡献可被看见。</w:t>
            </w:r>
          </w:p>
        </w:tc>
      </w:tr>
    </w:tbl>
    <w:p>
      <w:pPr>
        <w:pStyle w:val="Heading2"/>
      </w:pPr>
      <w:r>
        <w:rPr>
          <w:rFonts w:ascii="Arial" w:eastAsia="Microsoft YaHei" w:hAnsi="Arial"/>
        </w:rPr>
        <w:t xml:space="preserve">6.2  收入模式：开源引流 + 四条收入线</w:t>
      </w:r>
    </w:p>
    <w:p>
      <w:pPr>
        <w:spacing w:after="160" w:before="60"/>
        <w:jc w:val="center"/>
      </w:pPr>
      <w:r>
        <w:rPr>
          <w:rFonts w:ascii="Arial" w:eastAsia="Microsoft YaHei" w:hAnsi="Arial"/>
          <w:color w:val="7F7F7F"/>
          <w:sz w:val="18"/>
          <w:szCs w:val="18"/>
        </w:rPr>
        <w:t xml:space="preserve">表 6-1  收入结构设计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2900"/>
        <w:gridCol w:w="2476"/>
      </w:tblGrid>
      <w:tr>
        <w:trPr>
          <w:cantSplit/>
          <w:tblHeader/>
        </w:trPr>
        <w:tc>
          <w:tcPr>
            <w:tcW w:type="dxa" w:w="175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收入线</w:t>
            </w:r>
          </w:p>
        </w:tc>
        <w:tc>
          <w:tcPr>
            <w:tcW w:type="dxa" w:w="1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对象</w:t>
            </w:r>
          </w:p>
        </w:tc>
        <w:tc>
          <w:tcPr>
            <w:tcW w:type="dxa" w:w="2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形态</w:t>
            </w:r>
          </w:p>
        </w:tc>
        <w:tc>
          <w:tcPr>
            <w:tcW w:type="dxa" w:w="247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定价思路（规划）</w:t>
            </w:r>
          </w:p>
        </w:tc>
      </w:tr>
      <w:tr>
        <w:trPr>
          <w:cantSplit/>
        </w:trPr>
        <w:tc>
          <w:tcPr>
            <w:tcW w:type="dxa" w:w="17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开源社区版</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个人学习者、科创团队</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GitHub 开源，完整核心功能</w:t>
            </w:r>
          </w:p>
        </w:tc>
        <w:tc>
          <w:tcPr>
            <w:tcW w:type="dxa" w:w="247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免费（获客与口碑主阵地）</w:t>
            </w:r>
          </w:p>
        </w:tc>
      </w:tr>
      <w:tr>
        <w:trPr>
          <w:cantSplit/>
        </w:trPr>
        <w:tc>
          <w:tcPr>
            <w:tcW w:type="dxa" w:w="17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高校订阅版</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高校院系</w:t>
            </w:r>
          </w:p>
        </w:tc>
        <w:tc>
          <w:tcPr>
            <w:tcW w:type="dxa" w:w="2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私有化部署 + 班级管理 + 实验库 + 自动报告 + 升级支持</w:t>
            </w:r>
          </w:p>
        </w:tc>
        <w:tc>
          <w:tcPr>
            <w:tcW w:type="dxa" w:w="247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试点期 1~3 万元/校/年；正式版按规模与功能分级定价</w:t>
            </w:r>
          </w:p>
        </w:tc>
      </w:tr>
      <w:tr>
        <w:trPr>
          <w:cantSplit/>
        </w:trPr>
        <w:tc>
          <w:tcPr>
            <w:tcW w:type="dxa" w:w="175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课程共建</w:t>
            </w:r>
          </w:p>
        </w:tc>
        <w:tc>
          <w:tcPr>
            <w:tcW w:type="dxa" w:w="1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一流课程建设团队</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联合定制实验与申报材料，共享课程成果</w:t>
            </w:r>
          </w:p>
        </w:tc>
        <w:tc>
          <w:tcPr>
            <w:tcW w:type="dxa" w:w="247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按项目 3~10 万元/项（试点期）</w:t>
            </w:r>
          </w:p>
        </w:tc>
      </w:tr>
      <w:tr>
        <w:trPr>
          <w:cantSplit/>
        </w:trPr>
        <w:tc>
          <w:tcPr>
            <w:tcW w:type="dxa" w:w="175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企业培训版</w:t>
            </w:r>
          </w:p>
        </w:tc>
        <w:tc>
          <w:tcPr>
            <w:tcW w:type="dxa" w:w="1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商业航天企业、院所</w:t>
            </w:r>
          </w:p>
        </w:tc>
        <w:tc>
          <w:tcPr>
            <w:tcW w:type="dxa" w:w="2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定制场景（自有星座构型）+ 集训服务</w:t>
            </w:r>
          </w:p>
        </w:tc>
        <w:tc>
          <w:tcPr>
            <w:tcW w:type="dxa" w:w="247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按项目报价，试点期 3 万元起</w:t>
            </w:r>
          </w:p>
        </w:tc>
      </w:tr>
    </w:tbl>
    <w:p>
      <w:pPr>
        <w:spacing w:after="60" w:line="312"/>
        <w:ind w:firstLine="420"/>
        <w:jc w:val="both"/>
      </w:pPr>
      <w:r>
        <w:rPr>
          <w:rFonts w:ascii="Arial" w:eastAsia="Microsoft YaHei" w:hAnsi="Arial"/>
        </w:rPr>
        <w:t xml:space="preserve">开源与商业的关系遵循“核心开放、服务收费”：仿真内核、可视化与基础实验永久开源以扩大生态；班级管理、实验自动评分、报告导出、私有星座定制与 SLA 支持构成商业版本。此模式已在开发者工具与教育信息化领域被反复验证，且与团队“教育普惠”的价值观自洽。</w:t>
      </w:r>
    </w:p>
    <w:p>
      <w:pPr>
        <w:pStyle w:val="Heading2"/>
      </w:pPr>
      <w:r>
        <w:rPr>
          <w:rFonts w:ascii="Arial" w:eastAsia="Microsoft YaHei" w:hAnsi="Arial"/>
        </w:rPr>
        <w:t xml:space="preserve">6.3  客户获取与服务</w:t>
      </w:r>
    </w:p>
    <w:p>
      <w:pPr>
        <w:pStyle w:val="ListParagraph"/>
        <w:numPr>
          <w:ilvl w:val="0"/>
          <w:numId w:val="3"/>
        </w:numPr>
        <w:spacing w:after="40" w:line="300"/>
        <w:jc w:val="both"/>
      </w:pPr>
      <w:r>
        <w:rPr>
          <w:rFonts w:ascii="Arial" w:eastAsia="Microsoft YaHei" w:hAnsi="Arial"/>
          <w:b/>
          <w:bCs/>
        </w:rPr>
        <w:t xml:space="preserve">学术与竞赛场景获客：</w:t>
      </w:r>
      <w:r>
        <w:rPr>
          <w:rFonts w:ascii="Arial" w:eastAsia="Microsoft YaHei" w:hAnsi="Arial"/>
        </w:rPr>
        <w:t xml:space="preserve">以赛促销路：中国国际大学生创新大赛、挑战杯、虚拟仿真实验教学项目评审等场合本身就是全国高校教师的聚集场；</w:t>
      </w:r>
    </w:p>
    <w:p>
      <w:pPr>
        <w:pStyle w:val="ListParagraph"/>
        <w:numPr>
          <w:ilvl w:val="0"/>
          <w:numId w:val="3"/>
        </w:numPr>
        <w:spacing w:after="40" w:line="300"/>
        <w:jc w:val="both"/>
      </w:pPr>
      <w:r>
        <w:rPr>
          <w:rFonts w:ascii="Arial" w:eastAsia="Microsoft YaHei" w:hAnsi="Arial"/>
          <w:b/>
          <w:bCs/>
        </w:rPr>
        <w:t xml:space="preserve">种子教师共创：</w:t>
      </w:r>
      <w:r>
        <w:rPr>
          <w:rFonts w:ascii="Arial" w:eastAsia="Microsoft YaHei" w:hAnsi="Arial"/>
        </w:rPr>
        <w:t xml:space="preserve">与 3~5 位种子教师共同打磨实验，以其课程为样板间，形成“同行的推荐最有效”的教研圈子传播；</w:t>
      </w:r>
    </w:p>
    <w:p>
      <w:pPr>
        <w:pStyle w:val="ListParagraph"/>
        <w:numPr>
          <w:ilvl w:val="0"/>
          <w:numId w:val="3"/>
        </w:numPr>
        <w:spacing w:after="40" w:line="300"/>
        <w:jc w:val="both"/>
      </w:pPr>
      <w:r>
        <w:rPr>
          <w:rFonts w:ascii="Arial" w:eastAsia="Microsoft YaHei" w:hAnsi="Arial"/>
          <w:b/>
          <w:bCs/>
        </w:rPr>
        <w:t xml:space="preserve">在地产业协同：</w:t>
      </w:r>
      <w:r>
        <w:rPr>
          <w:rFonts w:ascii="Arial" w:eastAsia="Microsoft YaHei" w:hAnsi="Arial"/>
        </w:rPr>
        <w:t xml:space="preserve">依托哈工大（深圳）及深圳本地商业航天产业带，联动紫丁香学生卫星等真实工程场景形成背书；</w:t>
      </w:r>
    </w:p>
    <w:p>
      <w:pPr>
        <w:pStyle w:val="ListParagraph"/>
        <w:numPr>
          <w:ilvl w:val="0"/>
          <w:numId w:val="3"/>
        </w:numPr>
        <w:spacing w:after="40" w:line="300"/>
        <w:jc w:val="both"/>
      </w:pPr>
      <w:r>
        <w:rPr>
          <w:rFonts w:ascii="Arial" w:eastAsia="Microsoft YaHei" w:hAnsi="Arial"/>
          <w:b/>
          <w:bCs/>
        </w:rPr>
        <w:t xml:space="preserve">内容营销：</w:t>
      </w:r>
      <w:r>
        <w:rPr>
          <w:rFonts w:ascii="Arial" w:eastAsia="Microsoft YaHei" w:hAnsi="Arial"/>
        </w:rPr>
        <w:t xml:space="preserve">开源仓库 + 实验指导书 + 教学视频公开，长尾流量沉淀为社区。</w:t>
      </w:r>
    </w:p>
    <w:p>
      <w:pPr>
        <w:pStyle w:val="Heading1"/>
        <w:pageBreakBefore/>
      </w:pPr>
      <w:r>
        <w:rPr>
          <w:rFonts w:ascii="Arial" w:eastAsia="Microsoft YaHei" w:hAnsi="Arial"/>
        </w:rPr>
        <w:t xml:space="preserve">第七章  营销与运营策略</w:t>
      </w:r>
    </w:p>
    <w:p>
      <w:pPr>
        <w:pStyle w:val="Heading2"/>
      </w:pPr>
      <w:r>
        <w:rPr>
          <w:rFonts w:ascii="Arial" w:eastAsia="Microsoft YaHei" w:hAnsi="Arial"/>
        </w:rPr>
        <w:t xml:space="preserve">7.1  三步走推广路径</w:t>
      </w:r>
    </w:p>
    <w:p>
      <w:pPr>
        <w:spacing w:after="160" w:before="60"/>
        <w:jc w:val="center"/>
      </w:pPr>
      <w:r>
        <w:rPr>
          <w:rFonts w:ascii="Arial" w:eastAsia="Microsoft YaHei" w:hAnsi="Arial"/>
          <w:color w:val="7F7F7F"/>
          <w:sz w:val="18"/>
          <w:szCs w:val="18"/>
        </w:rPr>
        <w:t xml:space="preserve">表 7-1  推广阶段规划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600"/>
        <w:gridCol w:w="3626"/>
      </w:tblGrid>
      <w:tr>
        <w:trPr>
          <w:cantSplit/>
          <w:tblHeader/>
        </w:trPr>
        <w:tc>
          <w:tcPr>
            <w:tcW w:type="dxa" w:w="15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阶段</w:t>
            </w:r>
          </w:p>
        </w:tc>
        <w:tc>
          <w:tcPr>
            <w:tcW w:type="dxa" w:w="13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时间</w:t>
            </w:r>
          </w:p>
        </w:tc>
        <w:tc>
          <w:tcPr>
            <w:tcW w:type="dxa" w:w="26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目标</w:t>
            </w:r>
          </w:p>
        </w:tc>
        <w:tc>
          <w:tcPr>
            <w:tcW w:type="dxa" w:w="36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关键动作</w:t>
            </w:r>
          </w:p>
        </w:tc>
      </w:tr>
      <w:tr>
        <w:trPr>
          <w:cantSplit/>
        </w:trPr>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本校验证</w:t>
            </w:r>
          </w:p>
        </w:tc>
        <w:tc>
          <w:tcPr>
            <w:tcW w:type="dxa" w:w="13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2026.9 ~ 2027.6</w:t>
            </w:r>
          </w:p>
        </w:tc>
        <w:tc>
          <w:tcPr>
            <w:tcW w:type="dxa" w:w="2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在本校 1~2 门课程真实授课，形成教学效果数据</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与通信类课程教师共建首个实验包；收集课前课后测评数据；产出教改论文与软著</w:t>
            </w:r>
          </w:p>
        </w:tc>
      </w:tr>
      <w:tr>
        <w:trPr>
          <w:cantSplit/>
        </w:trPr>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区域试点</w:t>
            </w:r>
          </w:p>
        </w:tc>
        <w:tc>
          <w:tcPr>
            <w:tcW w:type="dxa" w:w="13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2027.7 ~ 2028.6</w:t>
            </w:r>
          </w:p>
        </w:tc>
        <w:tc>
          <w:tcPr>
            <w:tcW w:type="dxa" w:w="2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深圳及周边 3~6 所高校试用（其中付费合作 1~3 所）</w:t>
            </w:r>
          </w:p>
        </w:tc>
        <w:tc>
          <w:tcPr>
            <w:tcW w:type="dxa" w:w="36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以样板课程切入；参加教学学术会议；开源社区初步形成（数百 star、Issue/PR 活跃）</w:t>
            </w:r>
          </w:p>
        </w:tc>
      </w:tr>
      <w:tr>
        <w:trPr>
          <w:cantSplit/>
        </w:trPr>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稳定运营</w:t>
            </w:r>
          </w:p>
        </w:tc>
        <w:tc>
          <w:tcPr>
            <w:tcW w:type="dxa" w:w="13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2028.7 起</w:t>
            </w:r>
          </w:p>
        </w:tc>
        <w:tc>
          <w:tcPr>
            <w:tcW w:type="dxa" w:w="2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付费学校稳定续费，视试点数据决定是否扩大推广</w:t>
            </w:r>
          </w:p>
        </w:tc>
        <w:tc>
          <w:tcPr>
            <w:tcW w:type="dxa" w:w="36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打磨产品化版本（含 SaaS 试点）；实验库开放投稿；申报虚拟仿真教学项目；不预设规模化节奏</w:t>
            </w:r>
          </w:p>
        </w:tc>
      </w:tr>
    </w:tbl>
    <w:p>
      <w:pPr>
        <w:pStyle w:val="Heading2"/>
      </w:pPr>
      <w:r>
        <w:rPr>
          <w:rFonts w:ascii="Arial" w:eastAsia="Microsoft YaHei" w:hAnsi="Arial"/>
        </w:rPr>
        <w:t xml:space="preserve">7.2  运营重心</w:t>
      </w:r>
    </w:p>
    <w:p>
      <w:pPr>
        <w:pStyle w:val="ListParagraph"/>
        <w:numPr>
          <w:ilvl w:val="0"/>
          <w:numId w:val="3"/>
        </w:numPr>
        <w:spacing w:after="40" w:line="300"/>
        <w:jc w:val="both"/>
      </w:pPr>
      <w:r>
        <w:rPr>
          <w:rFonts w:ascii="Arial" w:eastAsia="Microsoft YaHei" w:hAnsi="Arial"/>
        </w:rPr>
        <w:t xml:space="preserve">实验内容持续供给：每学期新增 1~2 个实验（如路由算法对比、雨衰影响、实时星历展示模式），保持课程新鲜度；</w:t>
      </w:r>
    </w:p>
    <w:p>
      <w:pPr>
        <w:pStyle w:val="ListParagraph"/>
        <w:numPr>
          <w:ilvl w:val="0"/>
          <w:numId w:val="3"/>
        </w:numPr>
        <w:spacing w:after="40" w:line="300"/>
        <w:jc w:val="both"/>
      </w:pPr>
      <w:r>
        <w:rPr>
          <w:rFonts w:ascii="Arial" w:eastAsia="Microsoft YaHei" w:hAnsi="Arial"/>
        </w:rPr>
        <w:t xml:space="preserve">社区与生态：开源仓库 Issue/PR 治理、教师共创群、学生贡献者计划（优秀实验设计署名进入官方实验库）；</w:t>
      </w:r>
    </w:p>
    <w:p>
      <w:pPr>
        <w:pStyle w:val="ListParagraph"/>
        <w:numPr>
          <w:ilvl w:val="0"/>
          <w:numId w:val="3"/>
        </w:numPr>
        <w:spacing w:after="40" w:line="300"/>
        <w:jc w:val="both"/>
      </w:pPr>
      <w:r>
        <w:rPr>
          <w:rFonts w:ascii="Arial" w:eastAsia="Microsoft YaHei" w:hAnsi="Arial"/>
        </w:rPr>
        <w:t xml:space="preserve">质量底线：全部对外版本必须通过可复现测试套件，保持“经对账”的品牌承诺不稀释。</w:t>
      </w:r>
    </w:p>
    <w:p>
      <w:pPr>
        <w:pStyle w:val="Heading1"/>
        <w:pageBreakBefore/>
      </w:pPr>
      <w:r>
        <w:rPr>
          <w:rFonts w:ascii="Arial" w:eastAsia="Microsoft YaHei" w:hAnsi="Arial"/>
        </w:rPr>
        <w:t xml:space="preserve">第八章  发展规划</w:t>
      </w:r>
    </w:p>
    <w:p>
      <w:pPr>
        <w:pStyle w:val="Heading2"/>
      </w:pPr>
      <w:r>
        <w:rPr>
          <w:rFonts w:ascii="Arial" w:eastAsia="Microsoft YaHei" w:hAnsi="Arial"/>
        </w:rPr>
        <w:t xml:space="preserve">8.1  技术路线</w:t>
      </w:r>
    </w:p>
    <w:p>
      <w:pPr>
        <w:spacing w:after="160" w:before="60"/>
        <w:jc w:val="center"/>
      </w:pPr>
      <w:r>
        <w:rPr>
          <w:rFonts w:ascii="Arial" w:eastAsia="Microsoft YaHei" w:hAnsi="Arial"/>
          <w:color w:val="7F7F7F"/>
          <w:sz w:val="18"/>
          <w:szCs w:val="18"/>
        </w:rPr>
        <w:t xml:space="preserve">表 8-1  技术演进路线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526"/>
      </w:tblGrid>
      <w:tr>
        <w:trPr>
          <w:cantSplit/>
          <w:tblHeader/>
        </w:trPr>
        <w:tc>
          <w:tcPr>
            <w:tcW w:type="dxa" w:w="16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阶段</w:t>
            </w:r>
          </w:p>
        </w:tc>
        <w:tc>
          <w:tcPr>
            <w:tcW w:type="dxa" w:w="2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技术目标</w:t>
            </w:r>
          </w:p>
        </w:tc>
        <w:tc>
          <w:tcPr>
            <w:tcW w:type="dxa" w:w="45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说明</w:t>
            </w:r>
          </w:p>
        </w:tc>
      </w:tr>
      <w:tr>
        <w:trPr>
          <w:cantSplit/>
        </w:trPr>
        <w:tc>
          <w:tcPr>
            <w:tcW w:type="dxa" w:w="1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近期（0~12 个月）</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教学产品化</w:t>
            </w:r>
          </w:p>
        </w:tc>
        <w:tc>
          <w:tcPr>
            <w:tcW w:type="dxa" w:w="45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一键启动安装包、免配置离线地球渲染、教师端班级管理与自动评分、实验指导书成套；接入 SGP4 真实轨道模型（TLE 星历），支持“真实 Starlink 星历”教学场景</w:t>
            </w:r>
          </w:p>
        </w:tc>
      </w:tr>
      <w:tr>
        <w:trPr>
          <w:cantSplit/>
        </w:trPr>
        <w:tc>
          <w:tcPr>
            <w:tcW w:type="dxa" w:w="1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中期（12~24 个月）</w:t>
            </w:r>
          </w:p>
        </w:tc>
        <w:tc>
          <w:tcPr>
            <w:tcW w:type="dxa" w:w="2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课程体系化</w:t>
            </w:r>
          </w:p>
        </w:tc>
        <w:tc>
          <w:tcPr>
            <w:tcW w:type="dxa" w:w="45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对接《计算机网络》《卫星通信》课程大纲的实验矩阵；gym 接口封装支持强化学习创新实验；实验数据集与评分标准开放</w:t>
            </w:r>
          </w:p>
        </w:tc>
      </w:tr>
      <w:tr>
        <w:trPr>
          <w:cantSplit/>
        </w:trPr>
        <w:tc>
          <w:tcPr>
            <w:tcW w:type="dxa" w:w="1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远期（24~36 个月）</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实时星历接入（方向性）</w:t>
            </w:r>
          </w:p>
        </w:tc>
        <w:tc>
          <w:tcPr>
            <w:tcW w:type="dxa" w:w="45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接入 TLE 实时星历，使仿真星座与真实星座同步运动；“数字孪生”式教学场景与多校联合实验作为探索方向，视资源与需求决定投入</w:t>
            </w:r>
          </w:p>
        </w:tc>
      </w:tr>
    </w:tbl>
    <w:p>
      <w:pPr>
        <w:pStyle w:val="Heading2"/>
      </w:pPr>
      <w:r>
        <w:rPr>
          <w:rFonts w:ascii="Arial" w:eastAsia="Microsoft YaHei" w:hAnsi="Arial"/>
        </w:rPr>
        <w:t xml:space="preserve">8.2  里程碑</w:t>
      </w:r>
    </w:p>
    <w:p>
      <w:pPr>
        <w:spacing w:after="160" w:before="60"/>
        <w:jc w:val="center"/>
      </w:pPr>
      <w:r>
        <w:rPr>
          <w:rFonts w:ascii="Arial" w:eastAsia="Microsoft YaHei" w:hAnsi="Arial"/>
          <w:color w:val="7F7F7F"/>
          <w:sz w:val="18"/>
          <w:szCs w:val="18"/>
        </w:rPr>
        <w:t xml:space="preserve">表 8-2  关键里程碑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cantSplit/>
          <w:tblHeader/>
        </w:trPr>
        <w:tc>
          <w:tcPr>
            <w:tcW w:type="dxa" w:w="18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时间</w:t>
            </w:r>
          </w:p>
        </w:tc>
        <w:tc>
          <w:tcPr>
            <w:tcW w:type="dxa" w:w="33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里程碑</w:t>
            </w:r>
          </w:p>
        </w:tc>
        <w:tc>
          <w:tcPr>
            <w:tcW w:type="dxa" w:w="39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验收标准</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2026 Q4</w:t>
            </w:r>
          </w:p>
        </w:tc>
        <w:tc>
          <w:tcPr>
            <w:tcW w:type="dxa" w:w="33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竞赛周期收官 + 软著 2 项受理</w:t>
            </w:r>
          </w:p>
        </w:tc>
        <w:tc>
          <w:tcPr>
            <w:tcW w:type="dxa" w:w="39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大赛省赛及以上奖项；软著进入受理流程</w:t>
            </w:r>
          </w:p>
        </w:tc>
      </w:tr>
      <w:tr>
        <w:trPr>
          <w:cantSplit/>
        </w:trPr>
        <w:tc>
          <w:tcPr>
            <w:tcW w:type="dxa" w:w="18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2027 Q2</w:t>
            </w:r>
          </w:p>
        </w:tc>
        <w:tc>
          <w:tcPr>
            <w:tcW w:type="dxa" w:w="33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本校课程落地 1~2 门</w:t>
            </w:r>
          </w:p>
        </w:tc>
        <w:tc>
          <w:tcPr>
            <w:tcW w:type="dxa" w:w="39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真实授课 ≥ 100 学生人次；课前课后测评形成对比数据</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2027 Q4</w:t>
            </w:r>
          </w:p>
        </w:tc>
        <w:tc>
          <w:tcPr>
            <w:tcW w:type="dxa" w:w="33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试用高校 3~6 所 + 教改论文 1 篇</w:t>
            </w:r>
          </w:p>
        </w:tc>
        <w:tc>
          <w:tcPr>
            <w:tcW w:type="dxa" w:w="39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其中付费合作 1~3 所；论文投稿实验类期刊</w:t>
            </w:r>
          </w:p>
        </w:tc>
      </w:tr>
      <w:tr>
        <w:trPr>
          <w:cantSplit/>
        </w:trPr>
        <w:tc>
          <w:tcPr>
            <w:tcW w:type="dxa" w:w="18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2028 Q4</w:t>
            </w:r>
          </w:p>
        </w:tc>
        <w:tc>
          <w:tcPr>
            <w:tcW w:type="dxa" w:w="33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付费学校 5~10 所，现金成本自给</w:t>
            </w:r>
          </w:p>
        </w:tc>
        <w:tc>
          <w:tcPr>
            <w:tcW w:type="dxa" w:w="39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年度收入覆盖服务器、内容与知识产权现金成本（约 10 万元）</w:t>
            </w:r>
          </w:p>
        </w:tc>
      </w:tr>
      <w:tr>
        <w:trPr>
          <w:cantSplit/>
        </w:trPr>
        <w:tc>
          <w:tcPr>
            <w:tcW w:type="dxa" w:w="18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2029 起</w:t>
            </w:r>
          </w:p>
        </w:tc>
        <w:tc>
          <w:tcPr>
            <w:tcW w:type="dxa" w:w="33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产品化版本与社区稳定运营</w:t>
            </w:r>
          </w:p>
        </w:tc>
        <w:tc>
          <w:tcPr>
            <w:tcW w:type="dxa" w:w="39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续费率过半；开源社区实验投稿常态化；视数据决定是否扩大投入</w:t>
            </w:r>
          </w:p>
        </w:tc>
      </w:tr>
    </w:tbl>
    <w:p>
      <w:pPr>
        <w:pStyle w:val="Heading1"/>
        <w:pageBreakBefore/>
      </w:pPr>
      <w:r>
        <w:rPr>
          <w:rFonts w:ascii="Arial" w:eastAsia="Microsoft YaHei" w:hAnsi="Arial"/>
        </w:rPr>
        <w:t xml:space="preserve">第九章  财务分析（规划）</w:t>
      </w:r>
    </w:p>
    <w:p>
      <w:pPr>
        <w:spacing w:after="60" w:line="312"/>
        <w:ind w:firstLine="420"/>
        <w:jc w:val="both"/>
      </w:pPr>
      <w:r>
        <w:rPr>
          <w:rFonts w:ascii="Arial" w:eastAsia="Microsoft YaHei" w:hAnsi="Arial"/>
        </w:rPr>
        <w:t xml:space="preserve">创意组阶段以“验证单位经济模型”为目标，财务数据均为基于明示假设的规划值。</w:t>
      </w:r>
    </w:p>
    <w:p>
      <w:pPr>
        <w:pStyle w:val="Heading2"/>
      </w:pPr>
      <w:r>
        <w:rPr>
          <w:rFonts w:ascii="Arial" w:eastAsia="Microsoft YaHei" w:hAnsi="Arial"/>
        </w:rPr>
        <w:t xml:space="preserve">9.1  启动资金与用途</w:t>
      </w:r>
    </w:p>
    <w:p>
      <w:pPr>
        <w:spacing w:after="160" w:before="60"/>
        <w:jc w:val="center"/>
      </w:pPr>
      <w:r>
        <w:rPr>
          <w:rFonts w:ascii="Arial" w:eastAsia="Microsoft YaHei" w:hAnsi="Arial"/>
          <w:color w:val="7F7F7F"/>
          <w:sz w:val="18"/>
          <w:szCs w:val="18"/>
        </w:rPr>
        <w:t xml:space="preserve">表 9-1  启动资金规划（总额约 8 万元）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cantSplit/>
          <w:tblHeader/>
        </w:trPr>
        <w:tc>
          <w:tcPr>
            <w:tcW w:type="dxa" w:w="22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用途</w:t>
            </w:r>
          </w:p>
        </w:tc>
        <w:tc>
          <w:tcPr>
            <w:tcW w:type="dxa" w:w="15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金额（万元）</w:t>
            </w:r>
          </w:p>
        </w:tc>
        <w:tc>
          <w:tcPr>
            <w:tcW w:type="dxa" w:w="53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说明</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云资源与带宽</w:t>
            </w:r>
          </w:p>
        </w:tc>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2.0</w:t>
            </w:r>
          </w:p>
        </w:tc>
        <w:tc>
          <w:tcPr>
            <w:tcW w:type="dxa" w:w="53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教学服务器 2 台（8 核 32G）+ 对象存储 + 备份带宽，支撑试点期并发</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知识产权</w:t>
            </w:r>
          </w:p>
        </w:tc>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1.5</w:t>
            </w:r>
          </w:p>
        </w:tc>
        <w:tc>
          <w:tcPr>
            <w:tcW w:type="dxa" w:w="53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软件著作权 2 项、必要的商标注册</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内容制作</w:t>
            </w:r>
          </w:p>
        </w:tc>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2.5</w:t>
            </w:r>
          </w:p>
        </w:tc>
        <w:tc>
          <w:tcPr>
            <w:tcW w:type="dxa" w:w="53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实验指导书排版、教学视频录制、教材级图表</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市场与差旅</w:t>
            </w:r>
          </w:p>
        </w:tc>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1.5</w:t>
            </w:r>
          </w:p>
        </w:tc>
        <w:tc>
          <w:tcPr>
            <w:tcW w:type="dxa" w:w="53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教学会议参展、种子院校拜访</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机动</w:t>
            </w:r>
          </w:p>
        </w:tc>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0.5</w:t>
            </w:r>
          </w:p>
        </w:tc>
        <w:tc>
          <w:tcPr>
            <w:tcW w:type="dxa" w:w="53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风险预留</w:t>
            </w:r>
          </w:p>
        </w:tc>
      </w:tr>
    </w:tbl>
    <w:p>
      <w:pPr>
        <w:spacing w:after="60" w:line="312"/>
        <w:ind w:firstLine="420"/>
        <w:jc w:val="both"/>
      </w:pPr>
      <w:r>
        <w:rPr>
          <w:rFonts w:ascii="Arial" w:eastAsia="Microsoft YaHei" w:hAnsi="Arial"/>
        </w:rPr>
        <w:t xml:space="preserve">资金来源：学校大创项目经费 + 竞赛奖金 + 学校创新创业孵化支持；暂不引入外部融资，优先以最小成本验证付费意愿。</w:t>
      </w:r>
    </w:p>
    <w:p>
      <w:pPr>
        <w:pStyle w:val="Heading2"/>
      </w:pPr>
      <w:r>
        <w:rPr>
          <w:rFonts w:ascii="Arial" w:eastAsia="Microsoft YaHei" w:hAnsi="Arial"/>
        </w:rPr>
        <w:t xml:space="preserve">9.2  成本结构与单位经济</w:t>
      </w:r>
    </w:p>
    <w:p>
      <w:pPr>
        <w:spacing w:after="60" w:line="312"/>
        <w:ind w:firstLine="420"/>
        <w:jc w:val="both"/>
      </w:pPr>
      <w:r>
        <w:rPr>
          <w:rFonts w:ascii="Arial" w:eastAsia="Microsoft YaHei" w:hAnsi="Arial"/>
        </w:rPr>
        <w:t xml:space="preserve">平台边际成本低是商业模式的基础：单实例状态流约 200 KB/s/学生（5 Hz × &lt;50 KB 帧压缩后典型值），一台 8 核教学服务器即可支撑 1~2 个教学班并发；软件交付无实体成本，主要成本为研发人力（在校团队 + 勤工助学）与内容制作。按试点订阅价 1~3 万元/校/年、单校支撑成本 &lt; 0.3 万元/年估算，单位经济为正——这是本项目最需要验证的假设。</w:t>
      </w:r>
    </w:p>
    <w:p>
      <w:pPr>
        <w:pStyle w:val="Heading2"/>
      </w:pPr>
      <w:r>
        <w:rPr>
          <w:rFonts w:ascii="Arial" w:eastAsia="Microsoft YaHei" w:hAnsi="Arial"/>
        </w:rPr>
        <w:t xml:space="preserve">9.3  收入预测与成本覆盖</w:t>
      </w:r>
    </w:p>
    <w:p>
      <w:pPr>
        <w:spacing w:after="160" w:before="60"/>
        <w:jc w:val="center"/>
      </w:pPr>
      <w:r>
        <w:rPr>
          <w:rFonts w:ascii="Arial" w:eastAsia="Microsoft YaHei" w:hAnsi="Arial"/>
          <w:color w:val="7F7F7F"/>
          <w:sz w:val="18"/>
          <w:szCs w:val="18"/>
        </w:rPr>
        <w:t xml:space="preserve">表 9-2  三年收入预测（单位：万元，中性 / 保守两档）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2526"/>
      </w:tblGrid>
      <w:tr>
        <w:trPr>
          <w:cantSplit/>
          <w:tblHeader/>
        </w:trPr>
        <w:tc>
          <w:tcPr>
            <w:tcW w:type="dxa" w:w="14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年度</w:t>
            </w:r>
          </w:p>
        </w:tc>
        <w:tc>
          <w:tcPr>
            <w:tcW w:type="dxa" w:w="17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订阅收入</w:t>
            </w:r>
          </w:p>
        </w:tc>
        <w:tc>
          <w:tcPr>
            <w:tcW w:type="dxa" w:w="17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课程共建</w:t>
            </w:r>
          </w:p>
        </w:tc>
        <w:tc>
          <w:tcPr>
            <w:tcW w:type="dxa" w:w="17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企业培训</w:t>
            </w:r>
          </w:p>
        </w:tc>
        <w:tc>
          <w:tcPr>
            <w:tcW w:type="dxa" w:w="25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合计（中性 / 保守）</w:t>
            </w:r>
          </w:p>
        </w:tc>
      </w:tr>
      <w:tr>
        <w:trPr>
          <w:cantSplit/>
        </w:trPr>
        <w:tc>
          <w:tcPr>
            <w:tcW w:type="dxa" w:w="14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2027</w:t>
            </w:r>
          </w:p>
        </w:tc>
        <w:tc>
          <w:tcPr>
            <w:tcW w:type="dxa" w:w="17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2~9（1~3 校）</w:t>
            </w:r>
          </w:p>
        </w:tc>
        <w:tc>
          <w:tcPr>
            <w:tcW w:type="dxa" w:w="17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5~10（1 项）</w:t>
            </w:r>
          </w:p>
        </w:tc>
        <w:tc>
          <w:tcPr>
            <w:tcW w:type="dxa" w:w="17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0~5</w:t>
            </w:r>
          </w:p>
        </w:tc>
        <w:tc>
          <w:tcPr>
            <w:tcW w:type="dxa" w:w="25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7~24 / 3~12</w:t>
            </w:r>
          </w:p>
        </w:tc>
      </w:tr>
      <w:tr>
        <w:trPr>
          <w:cantSplit/>
        </w:trPr>
        <w:tc>
          <w:tcPr>
            <w:tcW w:type="dxa" w:w="14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center"/>
            </w:pPr>
            <w:r>
              <w:rPr>
                <w:rFonts w:ascii="Arial" w:eastAsia="Microsoft YaHei" w:hAnsi="Arial"/>
                <w:sz w:val="20"/>
                <w:szCs w:val="20"/>
              </w:rPr>
              <w:t xml:space="preserve">2028</w:t>
            </w:r>
          </w:p>
        </w:tc>
        <w:tc>
          <w:tcPr>
            <w:tcW w:type="dxa" w:w="17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center"/>
            </w:pPr>
            <w:r>
              <w:rPr>
                <w:rFonts w:ascii="Arial" w:eastAsia="Microsoft YaHei" w:hAnsi="Arial"/>
                <w:sz w:val="20"/>
                <w:szCs w:val="20"/>
              </w:rPr>
              <w:t xml:space="preserve">8~24（4~8 校）</w:t>
            </w:r>
          </w:p>
        </w:tc>
        <w:tc>
          <w:tcPr>
            <w:tcW w:type="dxa" w:w="17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center"/>
            </w:pPr>
            <w:r>
              <w:rPr>
                <w:rFonts w:ascii="Arial" w:eastAsia="Microsoft YaHei" w:hAnsi="Arial"/>
                <w:sz w:val="20"/>
                <w:szCs w:val="20"/>
              </w:rPr>
              <w:t xml:space="preserve">10~25（1~2 项）</w:t>
            </w:r>
          </w:p>
        </w:tc>
        <w:tc>
          <w:tcPr>
            <w:tcW w:type="dxa" w:w="17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center"/>
            </w:pPr>
            <w:r>
              <w:rPr>
                <w:rFonts w:ascii="Arial" w:eastAsia="Microsoft YaHei" w:hAnsi="Arial"/>
                <w:sz w:val="20"/>
                <w:szCs w:val="20"/>
              </w:rPr>
              <w:t xml:space="preserve">2~8</w:t>
            </w:r>
          </w:p>
        </w:tc>
        <w:tc>
          <w:tcPr>
            <w:tcW w:type="dxa" w:w="25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center"/>
            </w:pPr>
            <w:r>
              <w:rPr>
                <w:rFonts w:ascii="Arial" w:eastAsia="Microsoft YaHei" w:hAnsi="Arial"/>
                <w:sz w:val="20"/>
                <w:szCs w:val="20"/>
              </w:rPr>
              <w:t xml:space="preserve">20~57 / 8~25</w:t>
            </w:r>
          </w:p>
        </w:tc>
      </w:tr>
      <w:tr>
        <w:trPr>
          <w:cantSplit/>
        </w:trPr>
        <w:tc>
          <w:tcPr>
            <w:tcW w:type="dxa" w:w="14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2029</w:t>
            </w:r>
          </w:p>
        </w:tc>
        <w:tc>
          <w:tcPr>
            <w:tcW w:type="dxa" w:w="17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15~45（8~15 校）</w:t>
            </w:r>
          </w:p>
        </w:tc>
        <w:tc>
          <w:tcPr>
            <w:tcW w:type="dxa" w:w="17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10~30</w:t>
            </w:r>
          </w:p>
        </w:tc>
        <w:tc>
          <w:tcPr>
            <w:tcW w:type="dxa" w:w="17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5~12</w:t>
            </w:r>
          </w:p>
        </w:tc>
        <w:tc>
          <w:tcPr>
            <w:tcW w:type="dxa" w:w="25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center"/>
            </w:pPr>
            <w:r>
              <w:rPr>
                <w:rFonts w:ascii="Arial" w:eastAsia="Microsoft YaHei" w:hAnsi="Arial"/>
                <w:sz w:val="20"/>
                <w:szCs w:val="20"/>
              </w:rPr>
              <w:t xml:space="preserve">30~87 / 12~40</w:t>
            </w:r>
          </w:p>
        </w:tc>
      </w:tr>
    </w:tbl>
    <w:p>
      <w:pPr>
        <w:spacing w:after="60" w:line="312"/>
        <w:ind w:firstLine="420"/>
        <w:jc w:val="both"/>
      </w:pPr>
      <w:r>
        <w:rPr>
          <w:rFonts w:ascii="Arial" w:eastAsia="Microsoft YaHei" w:hAnsi="Arial"/>
        </w:rPr>
        <w:t xml:space="preserve">财务目标以“覆盖现金成本”为限：服务器、带宽、知识产权与内容制作的年度现金成本约 5~10 万元，团队人力主要来自在校投入与勤工助学，不计薪。按中性情景，2028 年可覆盖全部现金成本；保守情景下落在 2029 年。是否加大投入，以本校与试点校的教学效果数据、付费续费率为准——这正是创意组阶段最需要验证的假设。敏感性主要来自高校采购周期（6~12 个月），对策是以共建项目（预算走课程建设经费、周期短）先行，订阅制随后跟进。</w:t>
      </w:r>
    </w:p>
    <w:p>
      <w:pPr>
        <w:pStyle w:val="Heading1"/>
        <w:pageBreakBefore/>
      </w:pPr>
      <w:r>
        <w:rPr>
          <w:rFonts w:ascii="Arial" w:eastAsia="Microsoft YaHei" w:hAnsi="Arial"/>
        </w:rPr>
        <w:t xml:space="preserve">第十章  团队介绍</w:t>
      </w:r>
    </w:p>
    <w:p>
      <w:pPr>
        <w:pStyle w:val="Heading2"/>
      </w:pPr>
      <w:r>
        <w:rPr>
          <w:rFonts w:ascii="Arial" w:eastAsia="Microsoft YaHei" w:hAnsi="Arial"/>
        </w:rPr>
        <w:t xml:space="preserve">10.1  团队构成</w:t>
      </w:r>
    </w:p>
    <w:p>
      <w:pPr>
        <w:spacing w:after="160" w:before="60"/>
        <w:jc w:val="center"/>
      </w:pPr>
      <w:r>
        <w:rPr>
          <w:rFonts w:ascii="Arial" w:eastAsia="Microsoft YaHei" w:hAnsi="Arial"/>
          <w:color w:val="7F7F7F"/>
          <w:sz w:val="18"/>
          <w:szCs w:val="18"/>
        </w:rPr>
        <w:t xml:space="preserve">表 10-1  团队成员与分工（可按最新名单更新）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cantSplit/>
          <w:tblHeader/>
        </w:trPr>
        <w:tc>
          <w:tcPr>
            <w:tcW w:type="dxa" w:w="16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成员</w:t>
            </w:r>
          </w:p>
        </w:tc>
        <w:tc>
          <w:tcPr>
            <w:tcW w:type="dxa" w:w="20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角色</w:t>
            </w:r>
          </w:p>
        </w:tc>
        <w:tc>
          <w:tcPr>
            <w:tcW w:type="dxa" w:w="54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主要贡献</w:t>
            </w:r>
          </w:p>
        </w:tc>
      </w:tr>
      <w:tr>
        <w:trPr>
          <w:cantSplit/>
        </w:trPr>
        <w:tc>
          <w:tcPr>
            <w:tcW w:type="dxa" w:w="1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李思达</w:t>
            </w:r>
          </w:p>
        </w:tc>
        <w:tc>
          <w:tcPr>
            <w:tcW w:type="dxa" w:w="20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负责人 / 仿真引擎与总体架构</w:t>
            </w:r>
          </w:p>
        </w:tc>
        <w:tc>
          <w:tcPr>
            <w:tcW w:type="dxa" w:w="5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自研 DES 仿真引擎；千星级扩展与协议设计；对账测试体系；项目路线规划</w:t>
            </w:r>
          </w:p>
        </w:tc>
      </w:tr>
      <w:tr>
        <w:trPr>
          <w:cantSplit/>
        </w:trPr>
        <w:tc>
          <w:tcPr>
            <w:tcW w:type="dxa" w:w="1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符浩原</w:t>
            </w:r>
          </w:p>
        </w:tc>
        <w:tc>
          <w:tcPr>
            <w:tcW w:type="dxa" w:w="20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仿真与测试工程</w:t>
            </w:r>
          </w:p>
        </w:tc>
        <w:tc>
          <w:tcPr>
            <w:tcW w:type="dxa" w:w="54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多域流与 QoS 机制；自动化测试与压测；实验参数设计</w:t>
            </w:r>
          </w:p>
        </w:tc>
      </w:tr>
      <w:tr>
        <w:trPr>
          <w:cantSplit/>
        </w:trPr>
        <w:tc>
          <w:tcPr>
            <w:tcW w:type="dxa" w:w="1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李璟哲</w:t>
            </w:r>
          </w:p>
        </w:tc>
        <w:tc>
          <w:tcPr>
            <w:tcW w:type="dxa" w:w="20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前端与可视化</w:t>
            </w:r>
          </w:p>
        </w:tc>
        <w:tc>
          <w:tcPr>
            <w:tcW w:type="dxa" w:w="5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CesiumJS 三维前端；插值渲染与时序图表；交互面板</w:t>
            </w:r>
          </w:p>
        </w:tc>
      </w:tr>
      <w:tr>
        <w:trPr>
          <w:cantSplit/>
        </w:trPr>
        <w:tc>
          <w:tcPr>
            <w:tcW w:type="dxa" w:w="1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焦健 教授</w:t>
            </w:r>
          </w:p>
        </w:tc>
        <w:tc>
          <w:tcPr>
            <w:tcW w:type="dxa" w:w="20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指导教师（信息科学与技术学院）</w:t>
            </w:r>
          </w:p>
        </w:tc>
        <w:tc>
          <w:tcPr>
            <w:tcW w:type="dxa" w:w="54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研究方向指导；教学场景把关；课程资源对接</w:t>
            </w:r>
          </w:p>
        </w:tc>
      </w:tr>
    </w:tbl>
    <w:p>
      <w:pPr>
        <w:spacing w:after="60" w:line="312"/>
        <w:ind w:firstLine="420"/>
        <w:jc w:val="both"/>
      </w:pPr>
      <w:r>
        <w:rPr>
          <w:rFonts w:ascii="Arial" w:eastAsia="Microsoft YaHei" w:hAnsi="Arial"/>
        </w:rPr>
        <w:t xml:space="preserve">团队三人自大一入学即共同投入本项目，全部代码与文档均可在版本库中追溯署名，项目与团队关系的真实性可查证。团队已按“仿真引擎 / 测试验证 / 前端交互”形成稳定分工与每周例会机制，并在七阶段研发中经受了长周期协作的检验。</w:t>
      </w:r>
    </w:p>
    <w:p>
      <w:pPr>
        <w:pStyle w:val="Heading2"/>
      </w:pPr>
      <w:r>
        <w:rPr>
          <w:rFonts w:ascii="Arial" w:eastAsia="Microsoft YaHei" w:hAnsi="Arial"/>
        </w:rPr>
        <w:t xml:space="preserve">10.2  院校支撑与人才培养（个人成长维度）</w:t>
      </w:r>
    </w:p>
    <w:p>
      <w:pPr>
        <w:spacing w:after="60" w:line="312"/>
        <w:ind w:firstLine="420"/>
        <w:jc w:val="both"/>
      </w:pPr>
      <w:r>
        <w:rPr>
          <w:rFonts w:ascii="Arial" w:eastAsia="Microsoft YaHei" w:hAnsi="Arial"/>
        </w:rPr>
        <w:t xml:space="preserve">本项目是哈工大（深圳）大一年度项目的直接成果：学校提供立项经费、实验室与中期检查机制，使三名大一新生得以在入学第一年进入真实科研训练。项目全程体现了“新工科”的建设导向——以真实产业问题（卫星网络教学工具缺位）为牵引，融合计算机网络、轨道力学、排队论、软件工程多学科知识，完成从选题调研、方案论证、工程实现到实测验证的完整闭环。团队成员在一年内从编程入门者成长为能独立设计仿真引擎的工程者，本身就是创新教育成效的最好证明。项目还得到了信息科学与技术学院焦健教授的持续指导，形成了“大一项目—教授课题组—竞赛孵化”的科教融汇链条。</w:t>
      </w:r>
    </w:p>
    <w:p>
      <w:pPr>
        <w:pStyle w:val="Heading2"/>
      </w:pPr>
      <w:r>
        <w:rPr>
          <w:rFonts w:ascii="Arial" w:eastAsia="Microsoft YaHei" w:hAnsi="Arial"/>
        </w:rPr>
        <w:t xml:space="preserve">10.3  团队发展规划</w:t>
      </w:r>
    </w:p>
    <w:p>
      <w:pPr>
        <w:pStyle w:val="ListParagraph"/>
        <w:numPr>
          <w:ilvl w:val="0"/>
          <w:numId w:val="3"/>
        </w:numPr>
        <w:spacing w:after="40" w:line="300"/>
        <w:jc w:val="both"/>
      </w:pPr>
      <w:r>
        <w:rPr>
          <w:rFonts w:ascii="Arial" w:eastAsia="Microsoft YaHei" w:hAnsi="Arial"/>
        </w:rPr>
        <w:t xml:space="preserve">补强市场与教育方向成员（经管/教育专业 1~2 人），负责课程共建洽谈与用户调研；</w:t>
      </w:r>
    </w:p>
    <w:p>
      <w:pPr>
        <w:pStyle w:val="ListParagraph"/>
        <w:numPr>
          <w:ilvl w:val="0"/>
          <w:numId w:val="3"/>
        </w:numPr>
        <w:spacing w:after="40" w:line="300"/>
        <w:jc w:val="both"/>
      </w:pPr>
      <w:r>
        <w:rPr>
          <w:rFonts w:ascii="Arial" w:eastAsia="Microsoft YaHei" w:hAnsi="Arial"/>
        </w:rPr>
        <w:t xml:space="preserve">邀请产业导师（商业航天企业工程师）加入顾问团，强化企业培训线的专业背书；</w:t>
      </w:r>
    </w:p>
    <w:p>
      <w:pPr>
        <w:pStyle w:val="ListParagraph"/>
        <w:numPr>
          <w:ilvl w:val="0"/>
          <w:numId w:val="3"/>
        </w:numPr>
        <w:spacing w:after="40" w:line="300"/>
        <w:jc w:val="both"/>
      </w:pPr>
      <w:r>
        <w:rPr>
          <w:rFonts w:ascii="Arial" w:eastAsia="Microsoft YaHei" w:hAnsi="Arial"/>
        </w:rPr>
        <w:t xml:space="preserve">建立梯队：每学年在指导教师课题组内招募 2~3 名低年级成员，保障项目延续性。</w:t>
      </w:r>
    </w:p>
    <w:p>
      <w:pPr>
        <w:pStyle w:val="Heading1"/>
        <w:pageBreakBefore/>
      </w:pPr>
      <w:r>
        <w:rPr>
          <w:rFonts w:ascii="Arial" w:eastAsia="Microsoft YaHei" w:hAnsi="Arial"/>
        </w:rPr>
        <w:t xml:space="preserve">第十一章  社会价值与教育价值</w:t>
      </w:r>
    </w:p>
    <w:p>
      <w:pPr>
        <w:pStyle w:val="Heading2"/>
      </w:pPr>
      <w:r>
        <w:rPr>
          <w:rFonts w:ascii="Arial" w:eastAsia="Microsoft YaHei" w:hAnsi="Arial"/>
        </w:rPr>
        <w:t xml:space="preserve">11.1  服务国家战略：卫星互联网人才自主培养</w:t>
      </w:r>
    </w:p>
    <w:p>
      <w:pPr>
        <w:spacing w:after="60" w:line="312"/>
        <w:ind w:firstLine="420"/>
        <w:jc w:val="both"/>
      </w:pPr>
      <w:r>
        <w:rPr>
          <w:rFonts w:ascii="Arial" w:eastAsia="Microsoft YaHei" w:hAnsi="Arial"/>
        </w:rPr>
        <w:t xml:space="preserve">卫星互联网是国家新型基础设施与太空经济竞争的核心赛道，47.5 万人的航空航天人才缺口需要高校规模化供给。星桥把“星座组网”这一原本依赖昂贵设备的实验内容，压缩到一台笔记本电脑即可完成，直接扩大了相关课程的供给能力——让没有卫星、没有机房预算的院校，也能开出高质量卫星网络实验课。</w:t>
      </w:r>
    </w:p>
    <w:p>
      <w:pPr>
        <w:pStyle w:val="Heading2"/>
      </w:pPr>
      <w:r>
        <w:rPr>
          <w:rFonts w:ascii="Arial" w:eastAsia="Microsoft YaHei" w:hAnsi="Arial"/>
        </w:rPr>
        <w:t xml:space="preserve">11.2  教育公平：优质实验资源的普惠分发</w:t>
      </w:r>
    </w:p>
    <w:p>
      <w:pPr>
        <w:spacing w:after="60" w:line="312"/>
        <w:ind w:firstLine="420"/>
        <w:jc w:val="both"/>
      </w:pPr>
      <w:r>
        <w:rPr>
          <w:rFonts w:ascii="Arial" w:eastAsia="Microsoft YaHei" w:hAnsi="Arial"/>
        </w:rPr>
        <w:t xml:space="preserve">核心开源 + 低硬件门槛的组合，使中西部院校、职业院校与资源受限的中学社团可以零成本获得与世界一流工具同源的实验环境。这既是技术普惠，也是对“虚拟仿真实验资源分布不均”这一结构性问题的直接回应。</w:t>
      </w:r>
    </w:p>
    <w:p>
      <w:pPr>
        <w:pStyle w:val="Heading2"/>
      </w:pPr>
      <w:r>
        <w:rPr>
          <w:rFonts w:ascii="Arial" w:eastAsia="Microsoft YaHei" w:hAnsi="Arial"/>
        </w:rPr>
        <w:t xml:space="preserve">11.3  航天科普与科学家精神培育</w:t>
      </w:r>
    </w:p>
    <w:p>
      <w:pPr>
        <w:spacing w:after="60" w:line="312"/>
        <w:ind w:firstLine="420"/>
        <w:jc w:val="both"/>
      </w:pPr>
      <w:r>
        <w:rPr>
          <w:rFonts w:ascii="Arial" w:eastAsia="Microsoft YaHei" w:hAnsi="Arial"/>
        </w:rPr>
        <w:t xml:space="preserve">三维地球上千颗卫星实时组网的画面天然具备科普感染力。平台可为科技馆、航天日主题活动提供离线展项，让青少年“亲手让一颗卫星上网”，在互动中理解系统工程之美，厚植航天报国情怀。</w:t>
      </w:r>
    </w:p>
    <w:p>
      <w:pPr>
        <w:pStyle w:val="Heading2"/>
      </w:pPr>
      <w:r>
        <w:rPr>
          <w:rFonts w:ascii="Arial" w:eastAsia="Microsoft YaHei" w:hAnsi="Arial"/>
        </w:rPr>
        <w:t xml:space="preserve">11.4  就业与产业带动</w:t>
      </w:r>
    </w:p>
    <w:p>
      <w:pPr>
        <w:spacing w:after="60" w:line="312"/>
        <w:ind w:firstLine="420"/>
        <w:jc w:val="both"/>
      </w:pPr>
      <w:r>
        <w:rPr>
          <w:rFonts w:ascii="Arial" w:eastAsia="Microsoft YaHei" w:hAnsi="Arial"/>
        </w:rPr>
        <w:t xml:space="preserve">近中期，项目通过课程共建与订阅服务带动在校研发、内容制作等岗位；若商业化验证顺利，可依托指导教师课题组与学校孵化机制形成小型维护团队。更重要的是间接带动：每一所接入星桥的院校，都在为商业航天产业输送具备网络系统思维的工程师。</w:t>
      </w:r>
    </w:p>
    <w:p>
      <w:pPr>
        <w:pStyle w:val="Heading1"/>
        <w:pageBreakBefore/>
      </w:pPr>
      <w:r>
        <w:rPr>
          <w:rFonts w:ascii="Arial" w:eastAsia="Microsoft YaHei" w:hAnsi="Arial"/>
        </w:rPr>
        <w:t xml:space="preserve">第十二章  风险分析与应对</w:t>
      </w:r>
    </w:p>
    <w:p>
      <w:pPr>
        <w:spacing w:after="160" w:before="60"/>
        <w:jc w:val="center"/>
      </w:pPr>
      <w:r>
        <w:rPr>
          <w:rFonts w:ascii="Arial" w:eastAsia="Microsoft YaHei" w:hAnsi="Arial"/>
          <w:color w:val="7F7F7F"/>
          <w:sz w:val="18"/>
          <w:szCs w:val="18"/>
        </w:rPr>
        <w:t xml:space="preserve">表 12-1  风险清单与应对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500"/>
        <w:gridCol w:w="3126"/>
      </w:tblGrid>
      <w:tr>
        <w:trPr>
          <w:cantSplit/>
          <w:tblHeader/>
        </w:trPr>
        <w:tc>
          <w:tcPr>
            <w:tcW w:type="dxa" w:w="15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风险类别</w:t>
            </w:r>
          </w:p>
        </w:tc>
        <w:tc>
          <w:tcPr>
            <w:tcW w:type="dxa" w:w="29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风险描述</w:t>
            </w:r>
          </w:p>
        </w:tc>
        <w:tc>
          <w:tcPr>
            <w:tcW w:type="dxa" w:w="15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发生可能性 / 影响</w:t>
            </w:r>
          </w:p>
        </w:tc>
        <w:tc>
          <w:tcPr>
            <w:tcW w:type="dxa" w:w="31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应对策略</w:t>
            </w:r>
          </w:p>
        </w:tc>
      </w:tr>
      <w:tr>
        <w:trPr>
          <w:cantSplit/>
        </w:trPr>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技术风险</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真实轨道（SGP4/TLE）与信道模型尚未接入，评审或用户可能质疑真实性</w:t>
            </w:r>
          </w:p>
        </w:tc>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中 / 中</w:t>
            </w:r>
          </w:p>
        </w:tc>
        <w:tc>
          <w:tcPr>
            <w:tcW w:type="dxa" w:w="31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已列入近期路线；当前圆轨道模型的时延对账精度反而更利于教学；接入后以真实 Starlink 星历形成新亮点</w:t>
            </w:r>
          </w:p>
        </w:tc>
      </w:tr>
      <w:tr>
        <w:trPr>
          <w:cantSplit/>
        </w:trPr>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市场风险</w:t>
            </w:r>
          </w:p>
        </w:tc>
        <w:tc>
          <w:tcPr>
            <w:tcW w:type="dxa" w:w="2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高校采购周期长、预算碎片化</w:t>
            </w:r>
          </w:p>
        </w:tc>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高 / 中</w:t>
            </w:r>
          </w:p>
        </w:tc>
        <w:tc>
          <w:tcPr>
            <w:tcW w:type="dxa" w:w="31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以课程共建经费（周期短）先行；开源免费版降低决策门槛；聚焦有课程建设任务的院校</w:t>
            </w:r>
          </w:p>
        </w:tc>
      </w:tr>
      <w:tr>
        <w:trPr>
          <w:cantSplit/>
        </w:trPr>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竞争风险</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虚拟仿真厂商或大厂进入细分</w:t>
            </w:r>
          </w:p>
        </w:tc>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中 / 中</w:t>
            </w:r>
          </w:p>
        </w:tc>
        <w:tc>
          <w:tcPr>
            <w:tcW w:type="dxa" w:w="31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开源社区 + 经对账内核 + 实验内容库三层壁垒；保持每学期内容迭代速度</w:t>
            </w:r>
          </w:p>
        </w:tc>
      </w:tr>
      <w:tr>
        <w:trPr>
          <w:cantSplit/>
        </w:trPr>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团队风险</w:t>
            </w:r>
          </w:p>
        </w:tc>
        <w:tc>
          <w:tcPr>
            <w:tcW w:type="dxa" w:w="2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学生团队时间与延续性约束</w:t>
            </w:r>
          </w:p>
        </w:tc>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中 / 高</w:t>
            </w:r>
          </w:p>
        </w:tc>
        <w:tc>
          <w:tcPr>
            <w:tcW w:type="dxa" w:w="31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依托指导教师课题组建立梯队；关键模块文档化；核心代码 MIT 开源可被社区承接</w:t>
            </w:r>
          </w:p>
        </w:tc>
      </w:tr>
      <w:tr>
        <w:trPr>
          <w:cantSplit/>
        </w:trPr>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合规风险</w:t>
            </w:r>
          </w:p>
        </w:tc>
        <w:tc>
          <w:tcPr>
            <w:tcW w:type="dxa" w:w="29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开源许可与数据合规</w:t>
            </w:r>
          </w:p>
        </w:tc>
        <w:tc>
          <w:tcPr>
            <w:tcW w:type="dxa" w:w="15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低 / 低</w:t>
            </w:r>
          </w:p>
        </w:tc>
        <w:tc>
          <w:tcPr>
            <w:tcW w:type="dxa" w:w="31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已完成许可梳理（MIT 路径，主链路无 GPL 组件）；TLE 等公开数据无合规障碍</w:t>
            </w:r>
          </w:p>
        </w:tc>
      </w:tr>
      <w:tr>
        <w:trPr>
          <w:cantSplit/>
        </w:trPr>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质量风险</w:t>
            </w:r>
          </w:p>
        </w:tc>
        <w:tc>
          <w:tcPr>
            <w:tcW w:type="dxa" w:w="29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快速扩张导致“经对账”承诺稀释</w:t>
            </w:r>
          </w:p>
        </w:tc>
        <w:tc>
          <w:tcPr>
            <w:tcW w:type="dxa" w:w="15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低 / 高</w:t>
            </w:r>
          </w:p>
        </w:tc>
        <w:tc>
          <w:tcPr>
            <w:tcW w:type="dxa" w:w="31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全部对外版本强制通过可复现测试套件；建立发布检查单制度</w:t>
            </w:r>
          </w:p>
        </w:tc>
      </w:tr>
    </w:tbl>
    <w:p>
      <w:pPr>
        <w:pStyle w:val="Heading1"/>
        <w:pageBreakBefore/>
      </w:pPr>
      <w:r>
        <w:rPr>
          <w:rFonts w:ascii="Arial" w:eastAsia="Microsoft YaHei" w:hAnsi="Arial"/>
        </w:rPr>
        <w:t xml:space="preserve">附  录</w:t>
      </w:r>
    </w:p>
    <w:p>
      <w:pPr>
        <w:pStyle w:val="Heading2"/>
      </w:pPr>
      <w:r>
        <w:rPr>
          <w:rFonts w:ascii="Arial" w:eastAsia="Microsoft YaHei" w:hAnsi="Arial"/>
        </w:rPr>
        <w:t xml:space="preserve">附录 A  评审维度对照表</w:t>
      </w:r>
    </w:p>
    <w:p>
      <w:pPr>
        <w:spacing w:after="160" w:before="60"/>
        <w:jc w:val="center"/>
      </w:pPr>
      <w:r>
        <w:rPr>
          <w:rFonts w:ascii="Arial" w:eastAsia="Microsoft YaHei" w:hAnsi="Arial"/>
          <w:color w:val="7F7F7F"/>
          <w:sz w:val="18"/>
          <w:szCs w:val="18"/>
        </w:rPr>
        <w:t xml:space="preserve">表 A-1  大赛评审要点与本计划书对应章节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评审维度（分值）</w:t>
            </w:r>
          </w:p>
        </w:tc>
        <w:tc>
          <w:tcPr>
            <w:tcW w:type="dxa" w:w="64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本计划书对应内容</w:t>
            </w:r>
          </w:p>
        </w:tc>
      </w:tr>
      <w:tr>
        <w:trPr>
          <w:cantSplit/>
        </w:trPr>
        <w:tc>
          <w:tcPr>
            <w:tcW w:type="dxa" w:w="2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个人成长（30）</w:t>
            </w:r>
          </w:p>
        </w:tc>
        <w:tc>
          <w:tcPr>
            <w:tcW w:type="dxa" w:w="6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1.2 项目缘起（扎根实际选题）；10.2 院校支撑与人才培养（新工科、科教融汇）；第二章（调研深入）；全文数据可复现（求真务实）</w:t>
            </w:r>
          </w:p>
        </w:tc>
      </w:tr>
      <w:tr>
        <w:trPr>
          <w:cantSplit/>
        </w:trPr>
        <w:tc>
          <w:tcPr>
            <w:tcW w:type="dxa" w:w="2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项目创新（30）</w:t>
            </w:r>
          </w:p>
        </w:tc>
        <w:tc>
          <w:tcPr>
            <w:tcW w:type="dxa" w:w="64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第四章四大创新点；3.3 六大实验（服务创新）；第六章开源+订阅模式（商业模式创新）；4.6 成果与知识产权</w:t>
            </w:r>
          </w:p>
        </w:tc>
      </w:tr>
      <w:tr>
        <w:trPr>
          <w:cantSplit/>
        </w:trPr>
        <w:tc>
          <w:tcPr>
            <w:tcW w:type="dxa" w:w="26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产业价值（25）</w:t>
            </w:r>
          </w:p>
        </w:tc>
        <w:tc>
          <w:tcPr>
            <w:tcW w:type="dxa" w:w="64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第五章市场分析（产业认知与定位）；第六、七章商业模式与营销；第九章财务规划；第十一章社会影响</w:t>
            </w:r>
          </w:p>
        </w:tc>
      </w:tr>
      <w:tr>
        <w:trPr>
          <w:cantSplit/>
        </w:trPr>
        <w:tc>
          <w:tcPr>
            <w:tcW w:type="dxa" w:w="26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团队协作（15）</w:t>
            </w:r>
          </w:p>
        </w:tc>
        <w:tc>
          <w:tcPr>
            <w:tcW w:type="dxa" w:w="64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第十章团队构成、分工机制、院校与课题组资源</w:t>
            </w:r>
          </w:p>
        </w:tc>
      </w:tr>
    </w:tbl>
    <w:p>
      <w:pPr>
        <w:pStyle w:val="Heading2"/>
      </w:pPr>
      <w:r>
        <w:rPr>
          <w:rFonts w:ascii="Arial" w:eastAsia="Microsoft YaHei" w:hAnsi="Arial"/>
        </w:rPr>
        <w:t xml:space="preserve">附录 B  数据来源说明</w:t>
      </w:r>
    </w:p>
    <w:p>
      <w:pPr>
        <w:pStyle w:val="ListParagraph"/>
        <w:numPr>
          <w:ilvl w:val="0"/>
          <w:numId w:val="3"/>
        </w:numPr>
        <w:spacing w:after="40" w:line="300"/>
        <w:jc w:val="both"/>
      </w:pPr>
      <w:r>
        <w:rPr>
          <w:rFonts w:ascii="Arial" w:eastAsia="Microsoft YaHei" w:hAnsi="Arial"/>
        </w:rPr>
        <w:t xml:space="preserve">平台技术指标：全部来自项目实测记录与自动化测试（固定随机种子，脚本随开源仓库提供）；</w:t>
      </w:r>
    </w:p>
    <w:p>
      <w:pPr>
        <w:pStyle w:val="ListParagraph"/>
        <w:numPr>
          <w:ilvl w:val="0"/>
          <w:numId w:val="3"/>
        </w:numPr>
        <w:spacing w:after="40" w:line="300"/>
        <w:jc w:val="both"/>
      </w:pPr>
      <w:r>
        <w:rPr>
          <w:rFonts w:ascii="Arial" w:eastAsia="Microsoft YaHei" w:hAnsi="Arial"/>
        </w:rPr>
        <w:t xml:space="preserve">航空航天人才缺口 47.5 万人：工业和信息化部《制造业人才发展规划指南》（转引自行业公开报道，2026）；</w:t>
      </w:r>
    </w:p>
    <w:p>
      <w:pPr>
        <w:pStyle w:val="ListParagraph"/>
        <w:numPr>
          <w:ilvl w:val="0"/>
          <w:numId w:val="3"/>
        </w:numPr>
        <w:spacing w:after="40" w:line="300"/>
        <w:jc w:val="both"/>
      </w:pPr>
      <w:r>
        <w:rPr>
          <w:rFonts w:ascii="Arial" w:eastAsia="Microsoft YaHei" w:hAnsi="Arial"/>
        </w:rPr>
        <w:t xml:space="preserve">2025 年新增商业航天企业 83 家（同比 +277%）、现存 9.7 万家（截至 2026 年 3 月）：行业公开统计报道；</w:t>
      </w:r>
    </w:p>
    <w:p>
      <w:pPr>
        <w:pStyle w:val="ListParagraph"/>
        <w:numPr>
          <w:ilvl w:val="0"/>
          <w:numId w:val="3"/>
        </w:numPr>
        <w:spacing w:after="40" w:line="300"/>
        <w:jc w:val="both"/>
      </w:pPr>
      <w:r>
        <w:rPr>
          <w:rFonts w:ascii="Arial" w:eastAsia="Microsoft YaHei" w:hAnsi="Arial"/>
        </w:rPr>
        <w:t xml:space="preserve">卫星互联网核心环节人才缺口 2.8 万人：2025 年卫星互联网产业人才分析报告（公开资料）；</w:t>
      </w:r>
    </w:p>
    <w:p>
      <w:pPr>
        <w:pStyle w:val="ListParagraph"/>
        <w:numPr>
          <w:ilvl w:val="0"/>
          <w:numId w:val="3"/>
        </w:numPr>
        <w:spacing w:after="40" w:line="300"/>
        <w:jc w:val="both"/>
      </w:pPr>
      <w:r>
        <w:rPr>
          <w:rFonts w:ascii="Arial" w:eastAsia="Microsoft YaHei" w:hAnsi="Arial"/>
        </w:rPr>
        <w:t xml:space="preserve">虚拟仿真实验教学课程属国家级一流本科课程类别、实验空间平台在架卫星通信类项目：教育部公开文件与国家实验空间平台（ilab-x.com）；</w:t>
      </w:r>
    </w:p>
    <w:p>
      <w:pPr>
        <w:pStyle w:val="ListParagraph"/>
        <w:numPr>
          <w:ilvl w:val="0"/>
          <w:numId w:val="3"/>
        </w:numPr>
        <w:spacing w:after="40" w:line="300"/>
        <w:jc w:val="both"/>
      </w:pPr>
      <w:r>
        <w:rPr>
          <w:rFonts w:ascii="Arial" w:eastAsia="Microsoft YaHei" w:hAnsi="Arial"/>
        </w:rPr>
        <w:t xml:space="preserve">市场规模测算假设：本科高校约 1300 所、开设通信/航空航天类专业高校约 600+ 所、目标专业年均实验软件投入 20~80 万元——均为可公开核验的量级估计，用于说明市场量级而非精确预测。</w:t>
      </w:r>
    </w:p>
    <w:p>
      <w:pPr>
        <w:pStyle w:val="Heading2"/>
      </w:pPr>
      <w:r>
        <w:rPr>
          <w:rFonts w:ascii="Arial" w:eastAsia="Microsoft YaHei" w:hAnsi="Arial"/>
        </w:rPr>
        <w:t xml:space="preserve">附录 C  术语表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术语</w:t>
            </w:r>
          </w:p>
        </w:tc>
        <w:tc>
          <w:tcPr>
            <w:tcW w:type="dxa" w:w="6826"/>
            <w:tcBorders>
              <w:top w:val="single" w:color="C9C9C9" w:sz="4"/>
              <w:left w:val="single" w:color="C9C9C9" w:sz="4"/>
              <w:bottom w:val="single" w:color="C9C9C9" w:sz="4"/>
              <w:right w:val="single" w:color="C9C9C9" w:sz="4"/>
            </w:tcBorders>
            <w:shd w:fill="1F4E79" w:val="clear"/>
            <w:tcMar>
              <w:top w:type="dxa" w:w="70"/>
              <w:left w:type="dxa" w:w="110"/>
              <w:bottom w:type="dxa" w:w="70"/>
              <w:right w:type="dxa" w:w="110"/>
            </w:tcMar>
            <w:vAlign w:val="center"/>
          </w:tcPr>
          <w:p>
            <w:pPr>
              <w:jc w:val="center"/>
            </w:pPr>
            <w:r>
              <w:rPr>
                <w:rFonts w:ascii="Arial" w:eastAsia="Microsoft YaHei" w:hAnsi="Arial"/>
                <w:b/>
                <w:bCs/>
                <w:color w:val="FFFFFF"/>
                <w:sz w:val="20"/>
                <w:szCs w:val="20"/>
              </w:rPr>
              <w:t xml:space="preserve">释义</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LEO</w:t>
            </w:r>
          </w:p>
        </w:tc>
        <w:tc>
          <w:tcPr>
            <w:tcW w:type="dxa" w:w="6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低地球轨道（Low Earth Orbit），通常指 300~2000 km 高度的卫星轨道</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DES</w:t>
            </w:r>
          </w:p>
        </w:tc>
        <w:tc>
          <w:tcPr>
            <w:tcW w:type="dxa" w:w="6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离散事件仿真（Discrete Event Simulation），以事件队列驱动的仿真方法</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ISL / GSL / SUL / SSL</w:t>
            </w:r>
          </w:p>
        </w:tc>
        <w:tc>
          <w:tcPr>
            <w:tcW w:type="dxa" w:w="6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星间链路 / 星地链路 / 无人机上行链路 / 船舶上行链路</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M/D/1</w:t>
            </w:r>
          </w:p>
        </w:tc>
        <w:tc>
          <w:tcPr>
            <w:tcW w:type="dxa" w:w="6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经典排队模型：泊松到达、定长服务、单服务台</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ARQ</w:t>
            </w:r>
          </w:p>
        </w:tc>
        <w:tc>
          <w:tcPr>
            <w:tcW w:type="dxa" w:w="6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自动重传请求（Automatic Repeat reQuest），可靠传输机制</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TLE / SGP4</w:t>
            </w:r>
          </w:p>
        </w:tc>
        <w:tc>
          <w:tcPr>
            <w:tcW w:type="dxa" w:w="6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双行根数轨道数据格式 / 其对应的标准轨道外推模型</w:t>
            </w:r>
          </w:p>
        </w:tc>
      </w:tr>
      <w:tr>
        <w:trPr>
          <w:cantSplit/>
        </w:trPr>
        <w:tc>
          <w:tcPr>
            <w:tcW w:type="dxa" w:w="2200"/>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SHA-256</w:t>
            </w:r>
          </w:p>
        </w:tc>
        <w:tc>
          <w:tcPr>
            <w:tcW w:type="dxa" w:w="6826"/>
            <w:tcBorders>
              <w:top w:val="single" w:color="C9C9C9" w:sz="4"/>
              <w:left w:val="single" w:color="C9C9C9" w:sz="4"/>
              <w:bottom w:val="single" w:color="C9C9C9" w:sz="4"/>
              <w:right w:val="single" w:color="C9C9C9" w:sz="4"/>
            </w:tcBorders>
            <w:shd w:fill="FFFFFF" w:val="clear"/>
            <w:tcMar>
              <w:top w:type="dxa" w:w="70"/>
              <w:left w:type="dxa" w:w="110"/>
              <w:bottom w:type="dxa" w:w="70"/>
              <w:right w:type="dxa" w:w="110"/>
            </w:tcMar>
            <w:vAlign w:val="center"/>
          </w:tcPr>
          <w:p>
            <w:pPr>
              <w:jc w:val="left"/>
            </w:pPr>
            <w:r>
              <w:rPr>
                <w:rFonts w:ascii="Arial" w:eastAsia="Microsoft YaHei" w:hAnsi="Arial"/>
                <w:sz w:val="20"/>
                <w:szCs w:val="20"/>
              </w:rPr>
              <w:t xml:space="preserve">密码学哈希函数，此处用于文件传输完整性逐字节校验</w:t>
            </w:r>
          </w:p>
        </w:tc>
      </w:tr>
      <w:tr>
        <w:trPr>
          <w:cantSplit/>
        </w:trPr>
        <w:tc>
          <w:tcPr>
            <w:tcW w:type="dxa" w:w="2200"/>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Walker 星座</w:t>
            </w:r>
          </w:p>
        </w:tc>
        <w:tc>
          <w:tcPr>
            <w:tcW w:type="dxa" w:w="6826"/>
            <w:tcBorders>
              <w:top w:val="single" w:color="C9C9C9" w:sz="4"/>
              <w:left w:val="single" w:color="C9C9C9" w:sz="4"/>
              <w:bottom w:val="single" w:color="C9C9C9" w:sz="4"/>
              <w:right w:val="single" w:color="C9C9C9" w:sz="4"/>
            </w:tcBorders>
            <w:shd w:fill="F2F7FB" w:val="clear"/>
            <w:tcMar>
              <w:top w:type="dxa" w:w="70"/>
              <w:left w:type="dxa" w:w="110"/>
              <w:bottom w:type="dxa" w:w="70"/>
              <w:right w:type="dxa" w:w="110"/>
            </w:tcMar>
            <w:vAlign w:val="center"/>
          </w:tcPr>
          <w:p>
            <w:pPr>
              <w:jc w:val="left"/>
            </w:pPr>
            <w:r>
              <w:rPr>
                <w:rFonts w:ascii="Arial" w:eastAsia="Microsoft YaHei" w:hAnsi="Arial"/>
                <w:sz w:val="20"/>
                <w:szCs w:val="20"/>
              </w:rPr>
              <w:t xml:space="preserve">Walker 描述的多轨道面均匀星座构型，Starlink 等均属此类</w:t>
            </w:r>
          </w:p>
        </w:tc>
      </w:tr>
    </w:tbl>
    <w:p>
      <w:pPr>
        <w:spacing w:after="200"/>
      </w:pPr>
      <w:r>
        <w:rPr>
          <w:rFonts w:ascii="Arial" w:eastAsia="Microsoft YaHei" w:hAnsi="Arial"/>
          <w:sz w:val="8"/>
          <w:szCs w:val="8"/>
        </w:rPr>
        <w:t xml:space="preserve"> </w:t>
      </w:r>
    </w:p>
    <w:p>
      <w:pPr>
        <w:jc w:val="center"/>
      </w:pPr>
      <w:r>
        <w:rPr>
          <w:rFonts w:ascii="Arial" w:eastAsia="Microsoft YaHei" w:hAnsi="Arial"/>
          <w:color w:val="7F7F7F"/>
          <w:sz w:val="18"/>
          <w:szCs w:val="18"/>
        </w:rPr>
        <w:t xml:space="preserve">—— 本计划书完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7F7F7F"/>
        <w:sz w:val="16"/>
        <w:szCs w:val="16"/>
      </w:rPr>
      <w:t xml:space="preserve">第 </w:t>
    </w:r>
    <w:r>
      <w:rPr>
        <w:rFonts w:ascii="Arial" w:eastAsia="Microsoft YaHei" w:hAnsi="Arial"/>
        <w:color w:val="7F7F7F"/>
        <w:sz w:val="16"/>
        <w:szCs w:val="16"/>
      </w:rPr>
      <w:fldChar w:fldCharType="begin"/>
      <w:instrText xml:space="preserve">PAGE</w:instrText>
      <w:fldChar w:fldCharType="separate"/>
      <w:fldChar w:fldCharType="end"/>
    </w:r>
    <w:r>
      <w:rPr>
        <w:rFonts w:ascii="Arial" w:eastAsia="Microsoft YaHei" w:hAnsi="Arial"/>
        <w:color w:val="7F7F7F"/>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7F7F7F"/>
        <w:sz w:val="16"/>
        <w:szCs w:val="16"/>
      </w:rPr>
      <w:t xml:space="preserve">星桥 · 卫星网络虚拟仿真实验平台 — 项目计划书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color w:val="1F4E79"/>
      <w:sz w:val="30"/>
      <w:szCs w:val="30"/>
    </w:rPr>
  </w:style>
  <w:style w:type="paragraph" w:styleId="Heading2">
    <w:name w:val="Heading 2"/>
    <w:basedOn w:val="Normal"/>
    <w:next w:val="Normal"/>
    <w:qFormat/>
    <w:pPr>
      <w:keepNext w:val="false"/>
      <w:keepLines w:val="false"/>
      <w:spacing w:after="120" w:before="200"/>
      <w:outlineLvl w:val="1"/>
    </w:pPr>
    <w:rPr>
      <w:rFonts w:ascii="Arial" w:eastAsia="Microsoft YaHei" w:hAnsi="Arial"/>
      <w:b/>
      <w:bCs/>
      <w:color w:val="2E75B6"/>
      <w:sz w:val="25"/>
      <w:szCs w:val="25"/>
    </w:rPr>
  </w:style>
  <w:style w:type="paragraph" w:styleId="Heading3">
    <w:name w:val="Heading 3"/>
    <w:basedOn w:val="Normal"/>
    <w:next w:val="Normal"/>
    <w:qFormat/>
    <w:pPr>
      <w:keepNext w:val="false"/>
      <w:keepLines w:val="false"/>
      <w:spacing w:after="80" w:before="140"/>
      <w:outlineLvl w:val="2"/>
    </w:pPr>
    <w:rPr>
      <w:rFonts w:ascii="Arial" w:eastAsia="Microsoft YaHei"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4c91c9f21d7ce7dc13c46414a2eaf08f9884b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星桥·卫星网络虚拟仿真实验平台项目计划书</dc:title>
  <dc:subject>中国国际大学生创新大赛 高教主赛道 本科生创意组</dc:subject>
  <dc:creator>李思达</dc:creator>
  <cp:keywords>卫星网络;虚拟仿真;实验教学;星桥;StarBridge</cp:keywords>
  <dc:description>哈尔滨工业大学（深圳）星桥项目组</dc:description>
  <cp:lastModifiedBy>李思达</cp:lastModifiedBy>
  <cp:revision>1</cp:revision>
  <dcterms:created xsi:type="dcterms:W3CDTF">2026-08-25T14:49:41.361Z</dcterms:created>
  <dcterms:modified xsi:type="dcterms:W3CDTF">2026-08-25T14:49:41.361Z</dcterms:modified>
</cp:coreProperties>
</file>

<file path=docProps/custom.xml><?xml version="1.0" encoding="utf-8"?>
<Properties xmlns="http://schemas.openxmlformats.org/officeDocument/2006/custom-properties" xmlns:vt="http://schemas.openxmlformats.org/officeDocument/2006/docPropsVTypes"/>
</file>