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6468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16468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16468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429731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670927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628453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628453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628453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628453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6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BodyText"/>
      </w:pPr>
      <w:bookmarkStart w:id="65" w:name="fig:001"/>
      <w:r>
        <w:t xml:space="preserve">Figure 10: Ввожу команду ./hello</w:t>
      </w:r>
      <w:bookmarkEnd w:id="65"/>
    </w:p>
    <w:bookmarkEnd w:id="0"/>
    <w:bookmarkEnd w:id="66"/>
    <w:bookmarkEnd w:id="67"/>
    <w:bookmarkStart w:id="9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2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628453"/>
            <wp:effectExtent b="0" l="0" r="0" t="0"/>
            <wp:docPr descr="Figure 11: Создаю копию файла hello.asm с именем lab04.asm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2"/>
    <w:bookmarkStart w:id="77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Бердыев Даянч.</w:t>
      </w:r>
    </w:p>
    <w:bookmarkStart w:id="0" w:name="fig:001"/>
    <w:p>
      <w:pPr>
        <w:pStyle w:val="CaptionedFigure"/>
      </w:pPr>
      <w:bookmarkStart w:id="76" w:name="fig:001"/>
      <w:r>
        <w:drawing>
          <wp:inline>
            <wp:extent cx="5334000" cy="3063711"/>
            <wp:effectExtent b="0" l="0" r="0" t="0"/>
            <wp:docPr descr="Figure 12: Ввожу свое имя фамилию.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77"/>
    <w:bookmarkStart w:id="82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1" w:name="fig:001"/>
      <w:r>
        <w:drawing>
          <wp:inline>
            <wp:extent cx="5334000" cy="2070738"/>
            <wp:effectExtent b="0" l="0" r="0" t="0"/>
            <wp:docPr descr="Figure 13: Запускаю получившийся исполняемый файл.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2"/>
    <w:bookmarkStart w:id="95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6" w:name="fig:001"/>
      <w:r>
        <w:drawing>
          <wp:inline>
            <wp:extent cx="5334000" cy="690562"/>
            <wp:effectExtent b="0" l="0" r="0" t="0"/>
            <wp:docPr descr="Figure 14: Копирую файлы hello.asm и lab4.asm с помошью команды cp hello.asm lab04.asm ~/work/study/2023-2024/“Архитектура компьютера”/arch-pc/labs/lab04/" title="" id="84" name="Picture"/>
            <a:graphic>
              <a:graphicData uri="http://schemas.openxmlformats.org/drawingml/2006/picture">
                <pic:pic>
                  <pic:nvPicPr>
                    <pic:cNvPr descr="image/1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14: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0" w:name="fig:001"/>
      <w:r>
        <w:drawing>
          <wp:inline>
            <wp:extent cx="5334000" cy="1745819"/>
            <wp:effectExtent b="0" l="0" r="0" t="0"/>
            <wp:docPr descr="Figure 15: Проверяю." title="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4" w:name="fig:001"/>
      <w:r>
        <w:drawing>
          <wp:inline>
            <wp:extent cx="5334000" cy="1756610"/>
            <wp:effectExtent b="0" l="0" r="0" t="0"/>
            <wp:docPr descr="Figure 16: Загржаю файлы на Github." title="" id="92" name="Picture"/>
            <a:graphic>
              <a:graphicData uri="http://schemas.openxmlformats.org/drawingml/2006/picture">
                <pic:pic>
                  <pic:nvPicPr>
                    <pic:cNvPr descr="image/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16: Загржаю файлы на Github.</w:t>
      </w:r>
    </w:p>
    <w:bookmarkEnd w:id="0"/>
    <w:bookmarkEnd w:id="95"/>
    <w:bookmarkEnd w:id="96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Зиани Сид Ахмед</dc:creator>
  <dc:language>ru-RU</dc:language>
  <cp:keywords/>
  <dcterms:created xsi:type="dcterms:W3CDTF">2024-01-29T02:31:57Z</dcterms:created>
  <dcterms:modified xsi:type="dcterms:W3CDTF">2024-01-29T02:31:57Z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