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56C6E"/>
          <w:sz w:val="50"/>
        </w:rPr>
        <w:t>ROADWATCH</w:t>
      </w:r>
    </w:p>
    <w:p>
      <w:pPr>
        <w:jc w:val="center"/>
      </w:pPr>
      <w:r>
        <w:rPr>
          <w:b/>
          <w:sz w:val="32"/>
        </w:rPr>
        <w:t>Project Presentation Notes and Validation Checklist</w:t>
      </w:r>
    </w:p>
    <w:p>
      <w:pPr>
        <w:spacing w:after="240" w:before="0"/>
        <w:jc w:val="center"/>
      </w:pPr>
      <w:r>
        <w:rPr>
          <w:b w:val="0"/>
          <w:i w:val="0"/>
          <w:color w:val="59636A"/>
          <w:sz w:val="20"/>
        </w:rPr>
        <w:t>Design of Smart Cities | Tamil Nadu Smart Cities Project | Sidak Singh | VIT Chennai</w:t>
      </w:r>
    </w:p>
    <w:p>
      <w:pPr>
        <w:pStyle w:val="Heading1"/>
      </w:pPr>
      <w:r>
        <w:t>1. Opening (30-45 seconds)</w:t>
      </w:r>
    </w:p>
    <w:p>
      <w:pPr>
        <w:spacing w:after="80" w:before="0"/>
      </w:pPr>
      <w:r>
        <w:rPr>
          <w:b w:val="0"/>
          <w:i w:val="0"/>
          <w:color w:val="22272B"/>
        </w:rPr>
        <w:t>“Roadwatch is a geospatial dashboard for organizing road-defect records for municipal review. It brings location markers, severity, timestamps, work status, workload indicators, and record-level actions into one interface. The current focus is the operator workflow: inspect a location, find the relevant record, and track its maintenance status.”</w:t>
      </w:r>
    </w:p>
    <w:p>
      <w:pPr>
        <w:pStyle w:val="Heading1"/>
      </w:pPr>
      <w:r>
        <w:t>2. Problem and objective (45 seconds)</w:t>
      </w:r>
    </w:p>
    <w:p>
      <w:pPr>
        <w:spacing w:after="80" w:before="0"/>
      </w:pPr>
      <w:r>
        <w:rPr>
          <w:b w:val="0"/>
          <w:i w:val="0"/>
          <w:color w:val="22272B"/>
        </w:rPr>
        <w:t>Road defects need to be reviewed by location and urgency. A map alone does not manage follow-up, while a table alone hides spatial patterns. Roadwatch links both views and adds severity summaries and maintenance-state actions. The intended use is to help municipal teams prioritize review and coordinate maintenance.</w:t>
      </w:r>
    </w:p>
    <w:p>
      <w:pPr>
        <w:pStyle w:val="Heading1"/>
      </w:pPr>
      <w:r>
        <w:t>3. Architecture and workflow (60 seconds)</w:t>
      </w:r>
    </w:p>
    <w:p>
      <w:r>
        <w:drawing>
          <wp:inline xmlns:a="http://schemas.openxmlformats.org/drawingml/2006/main" xmlns:pic="http://schemas.openxmlformats.org/drawingml/2006/picture">
            <wp:extent cx="6035040" cy="1775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7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b w:val="0"/>
          <w:i w:val="0"/>
          <w:color w:val="22272B"/>
          <w:sz w:val="19"/>
        </w:rPr>
        <w:t>Explain the sequence: records -&gt; shared filters -&gt; map/table and summaries -&gt; detail drawer -&gt; status action. Be explicit that the current data records are configured in the page and status updates are held in browser memory. A real deployment needs an authenticated API, database, and verified upstream data.</w:t>
      </w:r>
    </w:p>
    <w:p>
      <w:pPr>
        <w:pStyle w:val="Heading1"/>
      </w:pPr>
      <w:r>
        <w:t>4. Live interface walkthrough (90 seconds)</w:t>
      </w:r>
    </w:p>
    <w:p>
      <w:pPr>
        <w:pStyle w:val="ListBullet"/>
        <w:spacing w:after="40"/>
        <w:ind w:left="259" w:hanging="173"/>
      </w:pPr>
      <w:r>
        <w:rPr>
          <w:sz w:val="18"/>
        </w:rPr>
        <w:t>Open the overview and point out the KPI cards and critical-attention banner.</w:t>
      </w:r>
    </w:p>
    <w:p>
      <w:pPr>
        <w:pStyle w:val="ListBullet"/>
        <w:spacing w:after="40"/>
        <w:ind w:left="259" w:hanging="173"/>
      </w:pPr>
      <w:r>
        <w:rPr>
          <w:sz w:val="18"/>
        </w:rPr>
        <w:t>Use the 24-hour, 7-day and 30-day controls and explain how the current time window scopes the records.</w:t>
      </w:r>
    </w:p>
    <w:p>
      <w:pPr>
        <w:pStyle w:val="ListBullet"/>
        <w:spacing w:after="40"/>
        <w:ind w:left="259" w:hanging="173"/>
      </w:pPr>
      <w:r>
        <w:rPr>
          <w:sz w:val="18"/>
        </w:rPr>
        <w:t>Search by a road name and then by a defect identifier.</w:t>
      </w:r>
    </w:p>
    <w:p>
      <w:pPr>
        <w:pStyle w:val="ListBullet"/>
        <w:spacing w:after="40"/>
        <w:ind w:left="259" w:hanging="173"/>
      </w:pPr>
      <w:r>
        <w:rPr>
          <w:sz w:val="18"/>
        </w:rPr>
        <w:t>Use severity/status chips and sort by confidence or severity.</w:t>
      </w:r>
    </w:p>
    <w:p>
      <w:pPr>
        <w:pStyle w:val="ListBullet"/>
        <w:spacing w:after="40"/>
        <w:ind w:left="259" w:hanging="173"/>
      </w:pPr>
      <w:r>
        <w:rPr>
          <w:sz w:val="18"/>
        </w:rPr>
        <w:t>Click a map marker and then a table row; point out that both open the same record drawer.</w:t>
      </w:r>
    </w:p>
    <w:p>
      <w:pPr>
        <w:pStyle w:val="ListBullet"/>
        <w:spacing w:after="40"/>
        <w:ind w:left="259" w:hanging="173"/>
      </w:pPr>
      <w:r>
        <w:rPr>
          <w:sz w:val="18"/>
        </w:rPr>
        <w:t>For a record, show scheduling, repair, dismissal or reopening actions. Explain that the current browser version does not persist updates to a server.</w:t>
      </w:r>
    </w:p>
    <w:p>
      <w:pPr>
        <w:pStyle w:val="ListBullet"/>
        <w:spacing w:after="40"/>
        <w:ind w:left="259" w:hanging="173"/>
      </w:pPr>
      <w:r>
        <w:rPr>
          <w:sz w:val="18"/>
        </w:rPr>
        <w:t>Point to the map attribution and explain that road positions must come from validated field coordinates before operational dispatch.</w:t>
      </w:r>
    </w:p>
    <w:p>
      <w:pPr>
        <w:pStyle w:val="Heading1"/>
      </w:pPr>
      <w:r>
        <w:t>5. Implemented vs. required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56C6E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Implemented in current source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56C6E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Required before operational rollout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Leaflet basemap integration and severity-coded markers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Verified GPS feed and coordinate-quality checks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3F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Linked map, table, search, filters and sorting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3F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Backend API, persistent database and audit history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KPI, severity mix, trend display and record drawer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Authenticated roles and permission checks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3F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Client-side maintenance status actions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3F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Crew dispatch integration and notifications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Configured defect record fields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color w:val="22272B"/>
                <w:sz w:val="16"/>
              </w:rPr>
              <w:t>Validated upstream detector/reporting pipeline and recorded accuracy tests</w:t>
            </w:r>
          </w:p>
        </w:tc>
      </w:tr>
    </w:tbl>
    <w:p>
      <w:pPr>
        <w:pStyle w:val="Heading1"/>
      </w:pPr>
      <w:r>
        <w:t>6. Questions likely to be asked</w:t>
      </w:r>
    </w:p>
    <w:p>
      <w:pPr>
        <w:spacing w:after="60"/>
      </w:pPr>
      <w:r>
        <w:rPr>
          <w:b/>
          <w:color w:val="356C6E"/>
        </w:rPr>
        <w:t xml:space="preserve">What is the main contribution? </w:t>
      </w:r>
      <w:r>
        <w:t>A linked operator interface that unifies geospatial inspection and maintenance-status triage.</w:t>
      </w:r>
    </w:p>
    <w:p>
      <w:pPr>
        <w:spacing w:after="60"/>
      </w:pPr>
      <w:r>
        <w:rPr>
          <w:b/>
          <w:color w:val="356C6E"/>
        </w:rPr>
        <w:t xml:space="preserve">Does Roadwatch detect potholes using AI? </w:t>
      </w:r>
      <w:r>
        <w:t>The current source does not embed a trained vision model. It presents structured road-defect records; a detector can be integrated through a defined API later.</w:t>
      </w:r>
    </w:p>
    <w:p>
      <w:pPr>
        <w:spacing w:after="60"/>
      </w:pPr>
      <w:r>
        <w:rPr>
          <w:b/>
          <w:color w:val="356C6E"/>
        </w:rPr>
        <w:t xml:space="preserve">How are locations obtained? </w:t>
      </w:r>
      <w:r>
        <w:t>The interface uses configured latitude/longitude values. A field system should supply GPS-tagged records and validate coordinates before dispatch.</w:t>
      </w:r>
    </w:p>
    <w:p>
      <w:pPr>
        <w:spacing w:after="60"/>
      </w:pPr>
      <w:r>
        <w:rPr>
          <w:b/>
          <w:color w:val="356C6E"/>
        </w:rPr>
        <w:t xml:space="preserve">Are the status changes saved permanently? </w:t>
      </w:r>
      <w:r>
        <w:t>They currently update client-side state. Server persistence and audit history are next engineering requirements.</w:t>
      </w:r>
    </w:p>
    <w:p>
      <w:pPr>
        <w:spacing w:after="60"/>
      </w:pPr>
      <w:r>
        <w:rPr>
          <w:b/>
          <w:color w:val="356C6E"/>
        </w:rPr>
        <w:t xml:space="preserve">How was accuracy measured? </w:t>
      </w:r>
      <w:r>
        <w:t>No computer-vision accuracy or geolocation-error study has been conducted for this implementation. Avoid claiming accuracy metrics.</w:t>
      </w:r>
    </w:p>
    <w:p>
      <w:pPr>
        <w:spacing w:after="60"/>
      </w:pPr>
      <w:r>
        <w:rPr>
          <w:b/>
          <w:color w:val="356C6E"/>
        </w:rPr>
        <w:t xml:space="preserve">How does this relate to Smart Cities? </w:t>
      </w:r>
      <w:r>
        <w:t>It supports a digitally organized municipal road-maintenance workflow; public value must be evaluated in a future pilot.</w:t>
      </w:r>
    </w:p>
    <w:p>
      <w:pPr>
        <w:spacing w:after="60"/>
      </w:pPr>
      <w:r>
        <w:rPr>
          <w:b/>
          <w:color w:val="356C6E"/>
        </w:rPr>
        <w:t xml:space="preserve">Is the interface patentable? </w:t>
      </w:r>
      <w:r>
        <w:t>No legal novelty claim is made. Public prior art covers road-damage sensing, geolocation, mapping and maintenance reporting; an IP professional must review the detailed claims.</w:t>
      </w:r>
    </w:p>
    <w:p>
      <w:pPr>
        <w:pStyle w:val="Heading1"/>
      </w:pPr>
      <w:r>
        <w:t>7. Evidence to collect before submission</w:t>
      </w:r>
    </w:p>
    <w:p>
      <w:pPr>
        <w:pStyle w:val="ListBullet"/>
        <w:spacing w:after="40"/>
        <w:ind w:left="259" w:hanging="173"/>
      </w:pPr>
      <w:r>
        <w:rPr>
          <w:sz w:val="18"/>
        </w:rPr>
        <w:t>Capture dated screenshots of the map, filtered table, detail drawer, KPI views and status transitions.</w:t>
      </w:r>
    </w:p>
    <w:p>
      <w:pPr>
        <w:pStyle w:val="ListBullet"/>
        <w:spacing w:after="40"/>
        <w:ind w:left="259" w:hanging="173"/>
      </w:pPr>
      <w:r>
        <w:rPr>
          <w:sz w:val="18"/>
        </w:rPr>
        <w:t>Record the browser and screen size used for each test and maintain a pass/fail log.</w:t>
      </w:r>
    </w:p>
    <w:p>
      <w:pPr>
        <w:pStyle w:val="ListBullet"/>
        <w:spacing w:after="40"/>
        <w:ind w:left="259" w:hanging="173"/>
      </w:pPr>
      <w:r>
        <w:rPr>
          <w:sz w:val="18"/>
        </w:rPr>
        <w:t>Add an API/database test only after those components exist; do not describe planned items as implemented.</w:t>
      </w:r>
    </w:p>
    <w:p>
      <w:pPr>
        <w:pStyle w:val="ListBullet"/>
        <w:spacing w:after="40"/>
        <w:ind w:left="259" w:hanging="173"/>
      </w:pPr>
      <w:r>
        <w:rPr>
          <w:sz w:val="18"/>
        </w:rPr>
        <w:t>For a future detection evaluation, use a labeled, location-aware holdout set and report precision, recall, F1, latency and coordinate error.</w:t>
      </w:r>
    </w:p>
    <w:p>
      <w:pPr>
        <w:pStyle w:val="ListBullet"/>
        <w:spacing w:after="40"/>
        <w:ind w:left="259" w:hanging="173"/>
      </w:pPr>
      <w:r>
        <w:rPr>
          <w:sz w:val="18"/>
        </w:rPr>
        <w:t>Insert all team members, institution email, faculty guide, and approved project naming before submission.</w:t>
      </w:r>
    </w:p>
    <w:p>
      <w:pPr>
        <w:pStyle w:val="Heading1"/>
      </w:pPr>
      <w:r>
        <w:t>Suggested references</w:t>
      </w:r>
    </w:p>
    <w:p>
      <w:pPr>
        <w:spacing w:after="40"/>
        <w:ind w:left="288" w:hanging="288"/>
      </w:pPr>
      <w:r>
        <w:rPr>
          <w:sz w:val="16"/>
        </w:rPr>
        <w:t>[1] H. Maeda, Y. Sekimoto, T. Seto, T. Kashiyama, and H. Omata, “Road damage detection and classification using deep neural networks with smartphone images,” Computer-Aided Civil and Infrastructure Engineering, vol. 33, no. 12, pp. 1127–1141, 2018, doi: 10.1111/mice.12387.</w:t>
      </w:r>
    </w:p>
    <w:p>
      <w:pPr>
        <w:spacing w:after="40"/>
        <w:ind w:left="288" w:hanging="288"/>
      </w:pPr>
      <w:r>
        <w:rPr>
          <w:sz w:val="16"/>
        </w:rPr>
        <w:t>[2] D. Arya et al., “RDD2022: A multi-national image dataset for automatic road damage detection,” Geoscience Data Journal, vol. 11, no. 4, pp. 846–862, 2024, doi: 10.1002/gdj3.260.</w:t>
      </w:r>
    </w:p>
    <w:p>
      <w:pPr>
        <w:spacing w:after="40"/>
        <w:ind w:left="288" w:hanging="288"/>
      </w:pPr>
      <w:r>
        <w:rPr>
          <w:sz w:val="16"/>
        </w:rPr>
        <w:t>[3] S. H. Abdelwahed et al., “Advancements in real-time road damage detection: a comprehensive survey of methodologies and datasets,” Journal of Real-Time Image Processing, vol. 22, Art. no. 137, 2025, doi: 10.1007/s11554-025-01683-1.</w:t>
      </w:r>
    </w:p>
    <w:p>
      <w:pPr>
        <w:spacing w:after="40"/>
        <w:ind w:left="288" w:hanging="288"/>
      </w:pPr>
      <w:r>
        <w:rPr>
          <w:sz w:val="16"/>
        </w:rPr>
        <w:t>[4] Leaflet contributors, “Leaflet Quick Start Guide,” Leaflet documentation. [Online]. Available: https://leafletjs.com/examples/quick-start/ (accessed Oct. 11, 2026).</w:t>
      </w:r>
    </w:p>
    <w:p>
      <w:pPr>
        <w:spacing w:after="40"/>
        <w:ind w:left="288" w:hanging="288"/>
      </w:pPr>
      <w:r>
        <w:rPr>
          <w:sz w:val="16"/>
        </w:rPr>
        <w:t>[5] OpenStreetMap contributors, “Copyright and License.” [Online]. Available: https://www.openstreetmap.org/copyright (accessed Oct. 11, 2026).</w:t>
      </w:r>
    </w:p>
    <w:p>
      <w:pPr>
        <w:spacing w:after="40"/>
        <w:ind w:left="288" w:hanging="288"/>
      </w:pPr>
      <w:r>
        <w:rPr>
          <w:sz w:val="16"/>
        </w:rPr>
        <w:t>[6] United Nations, “Goal 11: Make cities and human settlements inclusive, safe, resilient and sustainable.” [Online]. Available: https://sdgs.un.org/goals/goal11 (accessed Oct. 11, 2026).</w:t>
      </w:r>
    </w:p>
    <w:p>
      <w:pPr>
        <w:spacing w:after="40"/>
        <w:ind w:left="288" w:hanging="288"/>
      </w:pPr>
      <w:r>
        <w:rPr>
          <w:sz w:val="16"/>
        </w:rPr>
        <w:t>[7] Ministry of Housing and Urban Affairs, Government of India, “Smart Cities Mission Achievements,” Press Information Bureau, Dec. 18, 2024. [Online]. Available: https://www.pib.gov.in/Pressreleaseshare.aspx?PRID=2085711.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A"/>
        <w:sz w:val="16"/>
      </w:rPr>
      <w:t xml:space="preserve">ROADWATCH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 w:eastAsia="Aptos"/>
      <w:color w:val="2227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56C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227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56C6E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" w:hAnsi="Aptos" w:eastAsia="Aptos"/>
      <w:b/>
      <w:color w:val="22272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