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1B3A8A"/>
          <w:sz w:val="52"/>
          <w:szCs w:val="52"/>
        </w:rPr>
        <w:t xml:space="preserve">Email Agent</w:t>
      </w:r>
    </w:p>
    <w:p>
      <w:pPr>
        <w:spacing w:after="40"/>
        <w:jc w:val="center"/>
      </w:pPr>
      <w:r>
        <w:rPr>
          <w:b/>
          <w:bCs/>
          <w:color w:val="2F6FED"/>
          <w:sz w:val="32"/>
          <w:szCs w:val="32"/>
        </w:rPr>
        <w:t xml:space="preserve">High-Level Architecture Design</w:t>
      </w:r>
    </w:p>
    <w:p>
      <w:pPr>
        <w:spacing w:after="500"/>
        <w:jc w:val="center"/>
      </w:pPr>
      <w:r>
        <w:rPr>
          <w:color w:val="5B6472"/>
          <w:sz w:val="21"/>
          <w:szCs w:val="21"/>
        </w:rPr>
        <w:t xml:space="preserve">LQABR — AI Lead Qualification &amp; Outreach  ·  Epic E4</w:t>
      </w:r>
    </w:p>
    <w:p>
      <w:pPr>
        <w:pBdr>
          <w:top w:val="single" w:color="D9DCE3" w:sz="4" w:space="8"/>
        </w:pBdr>
        <w:spacing w:after="40"/>
        <w:jc w:val="center"/>
      </w:pPr>
      <w:r>
        <w:rPr>
          <w:color w:val="5B6472"/>
          <w:sz w:val="18"/>
          <w:szCs w:val="18"/>
        </w:rPr>
        <w:t xml:space="preserve">Location: agents/email/</w:t>
      </w:r>
    </w:p>
    <w:p>
      <w:pPr>
        <w:spacing w:after="500"/>
        <w:jc w:val="center"/>
      </w:pPr>
      <w:r>
        <w:rPr>
          <w:color w:val="5B6472"/>
          <w:sz w:val="18"/>
          <w:szCs w:val="18"/>
        </w:rPr>
        <w:t xml:space="preserve">Last updated: 2026-07-28</w:t>
      </w:r>
    </w:p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1. Purpose &amp; Scope</w:t>
      </w:r>
    </w:p>
    <w:p>
      <w:pPr>
        <w:spacing w:after="140" w:line="300"/>
      </w:pPr>
      <w:r>
        <w:rPr>
          <w:sz w:val="21"/>
          <w:szCs w:val="21"/>
        </w:rPr>
        <w:t xml:space="preserve">The Email Agent is the first automated outreach stage in the LQABR pipeline. It has two responsibilities: draft and send a personalized first-touch email to a qualified lead, and translate that lead's engagement (delivered, opened, clicked) into an updated score that determines whether the lead advances to the next stage.</w:t>
      </w:r>
    </w:p>
    <w:p>
      <w:pPr>
        <w:spacing w:after="140" w:line="300"/>
      </w:pPr>
      <w:r>
        <w:rPr>
          <w:sz w:val="21"/>
          <w:szCs w:val="21"/>
        </w:rPr>
        <w:t xml:space="preserve">This document is a high-level architectural view intended for stakeholders and engineering leads. It covers system context, component responsibilities, key design decisions, and data flow at a conceptual level. Implementation-level detail — exact endpoints, status codes, and field-level API contracts — is maintained separately in the engineering reference, docs/EMAIL_AGENT_ARCHITECTURE.md.</w:t>
      </w:r>
    </w:p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2. System Context</w:t>
      </w:r>
    </w:p>
    <w:p>
      <w:pPr>
        <w:spacing w:after="140" w:line="300"/>
      </w:pPr>
      <w:r>
        <w:rPr>
          <w:sz w:val="21"/>
          <w:szCs w:val="21"/>
        </w:rPr>
        <w:t xml:space="preserve">The Email Agent is one of six agents in the LQABR pipeline. A lead flows through the pipeline in a fixed order, with HubSpot acting as the single system of record at every stage:</w:t>
      </w:r>
    </w:p>
    <w:p>
      <w:pPr>
        <w:spacing w:after="140" w:line="300"/>
      </w:pPr>
      <w:r>
        <w:rPr>
          <w:b/>
          <w:bCs/>
          <w:color w:val="1B3A8A"/>
          <w:sz w:val="21"/>
          <w:szCs w:val="21"/>
        </w:rPr>
        <w:t xml:space="preserve">Ingestion  →  Lead Profile  →  Email Agent  →  Text/Voice Agent  →  Scheduling Agent  →  Orchestrator (cross-cutting)</w:t>
      </w:r>
    </w:p>
    <w:p>
      <w:pPr>
        <w:spacing w:after="140" w:line="300"/>
      </w:pPr>
      <w:r>
        <w:rPr>
          <w:sz w:val="21"/>
          <w:szCs w:val="21"/>
        </w:rPr>
        <w:t xml:space="preserve">It integrates with three external systems: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HubSpot — the CRM of record for lead profile data, engagement status, and probability score.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Mailgun — transactional email delivery plus delivery/open/click tracking, delivered back via a signed webhook.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An LLM provider (currently Anthropic's Claude, via Google's Agent Development Kit) — the reasoning engine that drafts outreach copy and decides which tool to call.</w:t>
      </w:r>
    </w:p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3. Architecture Overview</w:t>
      </w:r>
    </w:p>
    <w:p>
      <w:pPr>
        <w:spacing w:after="140" w:line="300"/>
      </w:pPr>
      <w:r>
        <w:rPr>
          <w:sz w:val="21"/>
          <w:szCs w:val="21"/>
        </w:rPr>
        <w:t xml:space="preserve">The architecture separates into two independent data flows sharing the same HubSpot record: an outbound flow (drafting and sending) driven by the LLM agent, and an inbound flow (engagement scoring) driven by a separate, passive webhook service that reacts to Mailgun's callbacks.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508362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B6472"/>
          <w:sz w:val="18"/>
          <w:szCs w:val="18"/>
        </w:rPr>
        <w:t xml:space="preserve">Figure 1 — Email Agent data flow: outbound draft &amp; send (steps 1–7), inbound engagement scoring (steps 8–11).</w:t>
      </w:r>
    </w:p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4.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F6F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shd w:fill="2F6F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Agent (LLM + tools)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Decides what to send and when. Reads lead data, drafts personalized copy, triggers the send.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HubSpot CRM Adapter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only code path that talks to HubSpot. Owns retries and all property-level read/write logic.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Mailgun Client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only code path that sends transactional email through Mailgun, with tracking enabled.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Mailgun Webhook Service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independently deployed service that receives Mailgun's signed delivery/open/click events and scores them.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Probability Engine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source of truth for point values and promotion thresholds — shared by every agent, never duplicated.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Manager Integration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Resolves API credentials from Google Secret Manager rather than storing them in code.</w:t>
            </w:r>
          </w:p>
        </w:tc>
      </w:tr>
    </w:tbl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5. Key Design Decisions</w:t>
      </w:r>
    </w:p>
    <w:p>
      <w:pPr>
        <w:pStyle w:val="Heading2"/>
        <w:spacing w:after="100" w:before="220"/>
      </w:pPr>
      <w:r>
        <w:rPr>
          <w:b/>
          <w:bCs/>
          <w:color w:val="1B3A8A"/>
          <w:sz w:val="24"/>
          <w:szCs w:val="24"/>
        </w:rPr>
        <w:t xml:space="preserve">5.1 LLM-authored copy, grounded in real data</w:t>
      </w:r>
    </w:p>
    <w:p>
      <w:pPr>
        <w:spacing w:after="140" w:line="300"/>
      </w:pPr>
      <w:r>
        <w:rPr>
          <w:sz w:val="21"/>
          <w:szCs w:val="21"/>
        </w:rPr>
        <w:t xml:space="preserve">Outreach copy is drafted by the agent itself rather than filled into a single fixed template. This trades a small amount of predictability for meaningfully better personalization. The risk of fabricated claims is mitigated by an explicit grounding rule: the agent may only reference facts already present in the lead's HubSpot profile, and must write around any missing field rather than invent one. A static fallback template still exists purely as a safety net for the rare case where no draft is supplied.</w:t>
      </w:r>
    </w:p>
    <w:p>
      <w:pPr>
        <w:pStyle w:val="Heading2"/>
        <w:spacing w:after="100" w:before="220"/>
      </w:pPr>
      <w:r>
        <w:rPr>
          <w:b/>
          <w:bCs/>
          <w:color w:val="1B3A8A"/>
          <w:sz w:val="24"/>
          <w:szCs w:val="24"/>
        </w:rPr>
        <w:t xml:space="preserve">5.2 Independent verification before every send</w:t>
      </w:r>
    </w:p>
    <w:p>
      <w:pPr>
        <w:spacing w:after="140" w:line="300"/>
      </w:pPr>
      <w:r>
        <w:rPr>
          <w:sz w:val="21"/>
          <w:szCs w:val="21"/>
        </w:rPr>
        <w:t xml:space="preserve">The send path re-verifies that the target is a real HubSpot contact at the moment of sending, independent of whatever list the agent used to decide who to contact. This closes a gap where a cached or partial view of leads could otherwise allow contacting an invalid address, and ensures the agent cannot invent a recipient.</w:t>
      </w:r>
    </w:p>
    <w:p>
      <w:pPr>
        <w:pStyle w:val="Heading2"/>
        <w:spacing w:after="100" w:before="220"/>
      </w:pPr>
      <w:r>
        <w:rPr>
          <w:b/>
          <w:bCs/>
          <w:color w:val="1B3A8A"/>
          <w:sz w:val="24"/>
          <w:szCs w:val="24"/>
        </w:rPr>
        <w:t xml:space="preserve">5.3 Fail loud, never fail silent</w:t>
      </w:r>
    </w:p>
    <w:p>
      <w:pPr>
        <w:spacing w:after="140" w:line="300"/>
      </w:pPr>
      <w:r>
        <w:rPr>
          <w:sz w:val="21"/>
          <w:szCs w:val="21"/>
        </w:rPr>
        <w:t xml:space="preserve">Every external call — to HubSpot or to Mailgun — either succeeds or returns an explicit, surfaced error. Nothing is retried into invisibility beyond each client's own bounded retry/backoff policy, and a failed send is always reported rather than swallowed.</w:t>
      </w:r>
    </w:p>
    <w:p>
      <w:pPr>
        <w:pStyle w:val="Heading2"/>
        <w:spacing w:after="100" w:before="220"/>
      </w:pPr>
      <w:r>
        <w:rPr>
          <w:b/>
          <w:bCs/>
          <w:color w:val="1B3A8A"/>
          <w:sz w:val="24"/>
          <w:szCs w:val="24"/>
        </w:rPr>
        <w:t xml:space="preserve">5.4 Signed, asynchronous engagement scoring</w:t>
      </w:r>
    </w:p>
    <w:p>
      <w:pPr>
        <w:spacing w:after="140" w:line="300"/>
      </w:pPr>
      <w:r>
        <w:rPr>
          <w:sz w:val="21"/>
          <w:szCs w:val="21"/>
        </w:rPr>
        <w:t xml:space="preserve">Engagement is only ever recorded from a cryptographically signed Mailgun event, verified via HMAC before anything is trusted. This is a deliberate security boundary: no other part of the system, including the LLM agent itself, can claim an email was opened or clicked without that signed evidence.</w:t>
      </w:r>
    </w:p>
    <w:p>
      <w:pPr>
        <w:pStyle w:val="Heading2"/>
        <w:spacing w:after="100" w:before="220"/>
      </w:pPr>
      <w:r>
        <w:rPr>
          <w:b/>
          <w:bCs/>
          <w:color w:val="1B3A8A"/>
          <w:sz w:val="24"/>
          <w:szCs w:val="24"/>
        </w:rPr>
        <w:t xml:space="preserve">5.5 Probability as the single progression signal</w:t>
      </w:r>
    </w:p>
    <w:p>
      <w:pPr>
        <w:spacing w:after="140" w:line="300"/>
      </w:pPr>
      <w:r>
        <w:rPr>
          <w:sz w:val="21"/>
          <w:szCs w:val="21"/>
        </w:rPr>
        <w:t xml:space="preserve">There is one score, on one HubSpot record, that every consumer reads to decide whether a lead should progress. No agent maintains its own separate notion of pipeline stage — this avoids the class of bugs where two parts of the system disagree about where a lead actually is.</w:t>
      </w:r>
    </w:p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6. Data Flow Summary</w:t>
      </w:r>
    </w:p>
    <w:p>
      <w:pPr>
        <w:pStyle w:val="Heading2"/>
        <w:spacing w:after="100" w:before="220"/>
      </w:pPr>
      <w:r>
        <w:rPr>
          <w:b/>
          <w:bCs/>
          <w:color w:val="1B3A8A"/>
          <w:sz w:val="24"/>
          <w:szCs w:val="24"/>
        </w:rPr>
        <w:t xml:space="preserve">6.1 Outbound — draft and send</w:t>
      </w:r>
    </w:p>
    <w:p>
      <w:pPr>
        <w:spacing w:after="140" w:line="300"/>
      </w:pPr>
      <w:r>
        <w:rPr>
          <w:sz w:val="21"/>
          <w:szCs w:val="21"/>
        </w:rPr>
        <w:t xml:space="preserve">The orchestrator (or an operator) asks the agent to work a lead. The agent reads that lead's real profile from HubSpot, drafts a personalized subject and body from it, and sends the message through Mailgun with tracking enabled. On the first send for a lead, HubSpot is updated to reflect that outreach has begun.</w:t>
      </w:r>
    </w:p>
    <w:p>
      <w:pPr>
        <w:pStyle w:val="Heading2"/>
        <w:spacing w:after="100" w:before="220"/>
      </w:pPr>
      <w:r>
        <w:rPr>
          <w:b/>
          <w:bCs/>
          <w:color w:val="1B3A8A"/>
          <w:sz w:val="24"/>
          <w:szCs w:val="24"/>
        </w:rPr>
        <w:t xml:space="preserve">6.2 Inbound — engagement and scoring</w:t>
      </w:r>
    </w:p>
    <w:p>
      <w:pPr>
        <w:spacing w:after="140" w:line="300"/>
      </w:pPr>
      <w:r>
        <w:rPr>
          <w:sz w:val="21"/>
          <w:szCs w:val="21"/>
        </w:rPr>
        <w:t xml:space="preserve">When Mailgun reports that a message was delivered, opened, or clicked, it calls the webhook service directly — not the agent process. The webhook validates the event's signature, converts it into a score increment, and writes the lead's updated status and probability back to HubSpot in a single update. Once that score crosses a fixed threshold, the lead is considered ready for the next stage, and the orchestrator picks it up from there.</w:t>
      </w:r>
    </w:p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7. Non-Functional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60"/>
      </w:tblGrid>
      <w:tr>
        <w:tc>
          <w:tcPr>
            <w:tcW w:type="dxa" w:w="2400"/>
            <w:shd w:fill="2F6F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900"/>
            <w:shd w:fill="2F6F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060"/>
            <w:shd w:fill="2F6F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HMAC-signed webhook events; credentials in Secret Manager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plaintext credentials in code; unsigned events rejected outright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Bounded retry with backoff on every external call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transient HubSpot outage triggers Mailgun's own retry rather than losing the event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engagement ties back to one HubSpot contact via a correlation id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at send time, read back at webhook time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provider is swappable behind one wiring module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Currently Anthropic Claude; a Gemini model string routes natively instead</w:t>
            </w:r>
          </w:p>
        </w:tc>
      </w:tr>
    </w:tbl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8. Current Limitations &amp; Roadmap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The webhook service is not yet deployed to a public endpoint, so live engagement scoring is not currently active — until it is deployed (Cloud Run) and registered with Mailgun, engagement is synced through a manual local utility instead.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HubSpot does not yet have a dedicated property for cross-agent pipeline stage on the email channel; stage is inferred from the probability score by every consumer rather than stored directly.</w:t>
      </w:r>
    </w:p>
    <w:p>
      <w:pPr>
        <w:pStyle w:val="Heading1"/>
        <w:pBdr>
          <w:bottom w:val="single" w:color="2F6FED" w:sz="6" w:space="4"/>
        </w:pBdr>
        <w:spacing w:after="160" w:before="320"/>
      </w:pPr>
      <w:r>
        <w:rPr>
          <w:b/>
          <w:bCs/>
          <w:color w:val="1B3A8A"/>
          <w:sz w:val="28"/>
          <w:szCs w:val="28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Full engineering reference: docs/EMAIL_AGENT_ARCHITECTURE.md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Pipeline overview and epic map: docs/EPICS.md (Epic E4)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Interactive data-flow diagram: docs/email_agent_data_flow.html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1cdb900fab55e727c595b8977fc07a363691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2026-07-28T09:26:45.816Z</dcterms:created>
  <dcterms:modified xsi:type="dcterms:W3CDTF">2026-07-28T09:26:45.816Z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