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color w:val="5b2a86"/>
          <w:sz w:val="30"/>
          <w:szCs w:val="30"/>
          <w:rtl w:val="0"/>
        </w:rPr>
        <w:t xml:space="preserve">Converting Written Healthcare Policy into Executable Rules</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333333"/>
          <w:sz w:val="24"/>
          <w:szCs w:val="24"/>
          <w:rtl w:val="0"/>
        </w:rPr>
        <w:t xml:space="preserve">A Strategic Opportunity for Cotiviti in Healthcare Content Management</w:t>
      </w:r>
      <w:r w:rsidDel="00000000" w:rsidR="00000000" w:rsidRPr="00000000">
        <w:rPr>
          <w:rtl w:val="0"/>
        </w:rPr>
      </w:r>
    </w:p>
    <w:p w:rsidR="00000000" w:rsidDel="00000000" w:rsidP="00000000" w:rsidRDefault="00000000" w:rsidRPr="00000000" w14:paraId="00000003">
      <w:pPr>
        <w:pBdr>
          <w:bottom w:color="5b2a86" w:space="1" w:sz="6" w:val="single"/>
        </w:pBdr>
        <w:spacing w:after="160" w:lineRule="auto"/>
        <w:rPr/>
      </w:pPr>
      <w:r w:rsidDel="00000000" w:rsidR="00000000" w:rsidRPr="00000000">
        <w:rPr>
          <w:i w:val="1"/>
          <w:iCs w:val="1"/>
          <w:color w:val="555555"/>
          <w:sz w:val="18"/>
          <w:szCs w:val="18"/>
          <w:rtl w:val="0"/>
        </w:rPr>
        <w:t xml:space="preserve">Siddhanth Kalyanaraman  •   M.S. Artificial Intelligence, Boston University   •   </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Topic Concept</w:t>
      </w:r>
    </w:p>
    <w:p w:rsidR="00000000" w:rsidDel="00000000" w:rsidP="00000000" w:rsidRDefault="00000000" w:rsidRPr="00000000" w14:paraId="00000005">
      <w:pPr>
        <w:spacing w:after="70" w:line="235" w:lineRule="auto"/>
        <w:jc w:val="both"/>
        <w:rPr/>
      </w:pPr>
      <w:r w:rsidDel="00000000" w:rsidR="00000000" w:rsidRPr="00000000">
        <w:rPr>
          <w:rtl w:val="0"/>
        </w:rPr>
        <w:t xml:space="preserve">Content management in healthcare turns on one hard problem. Written policy, including coverage determinations, billing and coding rules, payer and provider contracts, and clinical practice guidelines, is authored in prose for people to read, yet it has to be applied to billions of claims by software. Turning that prose into a form software can run covers a spectrum: explicit rules, meaning the if/then logic; code that carries out those rules; features, the structured variables a policy depends on; and models, the learned approximations used where the logic is too fuzzy to write by hand. A trustworthy design keeps these jobs separate. A language model translates the prose into a structured rule that points back to its source, that rule is expressed as deterministic code so any decision later made from it stays consistent and auditable, and a person verifies the rule before it is put to use.</w:t>
      </w:r>
    </w:p>
    <w:p w:rsidR="00000000" w:rsidDel="00000000" w:rsidP="00000000" w:rsidRDefault="00000000" w:rsidRPr="00000000" w14:paraId="00000006">
      <w:pPr>
        <w:pStyle w:val="Heading1"/>
        <w:rPr/>
      </w:pPr>
      <w:r w:rsidDel="00000000" w:rsidR="00000000" w:rsidRPr="00000000">
        <w:rPr>
          <w:rtl w:val="0"/>
        </w:rPr>
        <w:t xml:space="preserve">Relevant Trends: From Earlier Approaches to a Language Model Pipeline</w:t>
      </w:r>
    </w:p>
    <w:p w:rsidR="00000000" w:rsidDel="00000000" w:rsidP="00000000" w:rsidRDefault="00000000" w:rsidRPr="00000000" w14:paraId="00000007">
      <w:pPr>
        <w:spacing w:after="70" w:line="235" w:lineRule="auto"/>
        <w:jc w:val="both"/>
        <w:rPr/>
      </w:pPr>
      <w:r w:rsidDel="00000000" w:rsidR="00000000" w:rsidRPr="00000000">
        <w:rPr>
          <w:rtl w:val="0"/>
        </w:rPr>
        <w:t xml:space="preserve">Historically this work was done in one of three ways. The first is manual authoring, where clinical and policy analysts read the prose and write the edits by hand. It is accurate, but it is slow and costly, and the rule library falls out of step every time a policy is revised. The second is the legacy rules engine, which makes the resulting logic deterministic and easy to audit, yet the rules still have to be written by hand and grow brittle as policy expands. The third, and more recent, is the cloud based claims tool. These read the messy documents on the claim side and automate parts of the workflow, but they raise concerns about protected health information and about explaining how a decision was reached, and most of them work on claims rather than on the policy itself.</w:t>
      </w:r>
    </w:p>
    <w:p w:rsidR="00000000" w:rsidDel="00000000" w:rsidP="00000000" w:rsidRDefault="00000000" w:rsidRPr="00000000" w14:paraId="00000008">
      <w:pPr>
        <w:spacing w:after="70" w:line="235" w:lineRule="auto"/>
        <w:jc w:val="both"/>
        <w:rPr/>
      </w:pPr>
      <w:r w:rsidDel="00000000" w:rsidR="00000000" w:rsidRPr="00000000">
        <w:rPr>
          <w:rtl w:val="0"/>
        </w:rPr>
        <w:t xml:space="preserve">The proof of concept built takes a fourth path that goes straight at the authoring step. It reads CMS Benefit Policy Manual chapters with pdfplumber, splits them into chunks at the level of individual policy sections, embeds them on the local machine, and stores them in a vector database. One conversational interface then offers four modes, summarized below: Ask, Summarize, Compare, and Policy to Code. Ask and Summarize use retrieval augmented generation, retrieving the most relevant passages and answering only from them. Comparison is done between chapters or versions and apt sections are retrieved using RAG. Policy to Code converts an English policy paragraph into two artifacts: a runnable Python module whose decision function is generated from the policy, and a structured JSON rule set, with every rule quoting the exact sentence it came from. Throughout, the model runs on the local machine and is used only to translate language into structure; it never makes a coverage decision itself. The Python it produces is ordinary deterministic code, so any decision reached by running it would be consistent and reproducible. Running live claims through that code to return decisions, and adding a human review step, are the natural next stages, not part of the current build.</w:t>
      </w:r>
    </w:p>
    <w:p w:rsidR="00000000" w:rsidDel="00000000" w:rsidP="00000000" w:rsidRDefault="00000000" w:rsidRPr="00000000" w14:paraId="00000009">
      <w:pPr>
        <w:spacing w:after="70" w:line="235" w:lineRule="auto"/>
        <w:jc w:val="both"/>
        <w:rPr/>
      </w:pPr>
      <w:r w:rsidDel="00000000" w:rsidR="00000000" w:rsidRPr="00000000">
        <w:rPr>
          <w:rtl w:val="0"/>
        </w:rPr>
        <w:t xml:space="preserve">Retrieval augmented generation is what makes the result trustworthy: by tying every answer to passages pulled from the actual policy rather than to the model’s memory, it lowers the chance of an invented answer and produces the section level citations that let a reviewer trace each statement to its source.</w:t>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200"/>
        <w:gridCol w:w="3620"/>
        <w:tblGridChange w:id="0">
          <w:tblGrid>
            <w:gridCol w:w="1900"/>
            <w:gridCol w:w="4200"/>
            <w:gridCol w:w="36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2a86" w:val="clear"/>
            <w:tcMar>
              <w:top w:w="60.0" w:type="dxa"/>
              <w:left w:w="110.0" w:type="dxa"/>
              <w:bottom w:w="60.0" w:type="dxa"/>
              <w:right w:w="110.0" w:type="dxa"/>
            </w:tcMar>
          </w:tcPr>
          <w:p w:rsidR="00000000" w:rsidDel="00000000" w:rsidP="00000000" w:rsidRDefault="00000000" w:rsidRPr="00000000" w14:paraId="0000000A">
            <w:pPr>
              <w:spacing w:after="0" w:line="252.00000000000003" w:lineRule="auto"/>
              <w:rPr/>
            </w:pPr>
            <w:r w:rsidDel="00000000" w:rsidR="00000000" w:rsidRPr="00000000">
              <w:rPr>
                <w:b w:val="1"/>
                <w:bCs w:val="1"/>
                <w:color w:val="ffffff"/>
                <w:sz w:val="19"/>
                <w:szCs w:val="19"/>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a86" w:val="clear"/>
            <w:tcMar>
              <w:top w:w="60.0" w:type="dxa"/>
              <w:left w:w="110.0" w:type="dxa"/>
              <w:bottom w:w="60.0" w:type="dxa"/>
              <w:right w:w="110.0" w:type="dxa"/>
            </w:tcMar>
          </w:tcPr>
          <w:p w:rsidR="00000000" w:rsidDel="00000000" w:rsidP="00000000" w:rsidRDefault="00000000" w:rsidRPr="00000000" w14:paraId="0000000B">
            <w:pPr>
              <w:spacing w:after="0" w:line="252.00000000000003" w:lineRule="auto"/>
              <w:rPr/>
            </w:pPr>
            <w:r w:rsidDel="00000000" w:rsidR="00000000" w:rsidRPr="00000000">
              <w:rPr>
                <w:b w:val="1"/>
                <w:bCs w:val="1"/>
                <w:color w:val="ffffff"/>
                <w:sz w:val="19"/>
                <w:szCs w:val="19"/>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a86" w:val="clear"/>
            <w:tcMar>
              <w:top w:w="60.0" w:type="dxa"/>
              <w:left w:w="110.0" w:type="dxa"/>
              <w:bottom w:w="60.0" w:type="dxa"/>
              <w:right w:w="110.0" w:type="dxa"/>
            </w:tcMar>
          </w:tcPr>
          <w:p w:rsidR="00000000" w:rsidDel="00000000" w:rsidP="00000000" w:rsidRDefault="00000000" w:rsidRPr="00000000" w14:paraId="0000000C">
            <w:pPr>
              <w:spacing w:after="0" w:line="252.00000000000003" w:lineRule="auto"/>
              <w:rPr/>
            </w:pPr>
            <w:r w:rsidDel="00000000" w:rsidR="00000000" w:rsidRPr="00000000">
              <w:rPr>
                <w:b w:val="1"/>
                <w:bCs w:val="1"/>
                <w:color w:val="ffffff"/>
                <w:sz w:val="19"/>
                <w:szCs w:val="19"/>
                <w:rtl w:val="0"/>
              </w:rPr>
              <w:t xml:space="preserve">Why it helps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cf7" w:val="clear"/>
            <w:tcMar>
              <w:top w:w="60.0" w:type="dxa"/>
              <w:left w:w="110.0" w:type="dxa"/>
              <w:bottom w:w="60.0" w:type="dxa"/>
              <w:right w:w="110.0" w:type="dxa"/>
            </w:tcMar>
          </w:tcPr>
          <w:p w:rsidR="00000000" w:rsidDel="00000000" w:rsidP="00000000" w:rsidRDefault="00000000" w:rsidRPr="00000000" w14:paraId="0000000D">
            <w:pPr>
              <w:spacing w:after="0" w:line="252.00000000000003" w:lineRule="auto"/>
              <w:rPr/>
            </w:pPr>
            <w:r w:rsidDel="00000000" w:rsidR="00000000" w:rsidRPr="00000000">
              <w:rPr>
                <w:b w:val="0"/>
                <w:bCs w:val="0"/>
                <w:color w:val="000000"/>
                <w:sz w:val="19"/>
                <w:szCs w:val="19"/>
                <w:rtl w:val="0"/>
              </w:rPr>
              <w:t xml:space="preserve">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E">
            <w:pPr>
              <w:spacing w:after="0" w:line="252.00000000000003" w:lineRule="auto"/>
              <w:rPr/>
            </w:pPr>
            <w:r w:rsidDel="00000000" w:rsidR="00000000" w:rsidRPr="00000000">
              <w:rPr>
                <w:b w:val="0"/>
                <w:bCs w:val="0"/>
                <w:color w:val="000000"/>
                <w:sz w:val="19"/>
                <w:szCs w:val="19"/>
                <w:rtl w:val="0"/>
              </w:rPr>
              <w:t xml:space="preserve">Answers a question from the policy text, retrieved by RAG, with a citation to the exact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F">
            <w:pPr>
              <w:spacing w:after="0" w:line="252.00000000000003" w:lineRule="auto"/>
              <w:rPr/>
            </w:pPr>
            <w:r w:rsidDel="00000000" w:rsidR="00000000" w:rsidRPr="00000000">
              <w:rPr>
                <w:b w:val="0"/>
                <w:bCs w:val="0"/>
                <w:color w:val="000000"/>
                <w:sz w:val="19"/>
                <w:szCs w:val="19"/>
                <w:rtl w:val="0"/>
              </w:rPr>
              <w:t xml:space="preserve">Grounded answers a reviewer can trace to the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cf7" w:val="clear"/>
            <w:tcMar>
              <w:top w:w="60.0" w:type="dxa"/>
              <w:left w:w="110.0" w:type="dxa"/>
              <w:bottom w:w="60.0" w:type="dxa"/>
              <w:right w:w="110.0" w:type="dxa"/>
            </w:tcMar>
          </w:tcPr>
          <w:p w:rsidR="00000000" w:rsidDel="00000000" w:rsidP="00000000" w:rsidRDefault="00000000" w:rsidRPr="00000000" w14:paraId="00000010">
            <w:pPr>
              <w:spacing w:after="0" w:line="252.00000000000003" w:lineRule="auto"/>
              <w:rPr/>
            </w:pPr>
            <w:r w:rsidDel="00000000" w:rsidR="00000000" w:rsidRPr="00000000">
              <w:rPr>
                <w:b w:val="0"/>
                <w:bCs w:val="0"/>
                <w:color w:val="000000"/>
                <w:sz w:val="19"/>
                <w:szCs w:val="19"/>
                <w:rtl w:val="0"/>
              </w:rPr>
              <w:t xml:space="preserve">Summarize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1">
            <w:pPr>
              <w:spacing w:after="0" w:line="252.00000000000003" w:lineRule="auto"/>
              <w:rPr/>
            </w:pPr>
            <w:r w:rsidDel="00000000" w:rsidR="00000000" w:rsidRPr="00000000">
              <w:rPr>
                <w:b w:val="0"/>
                <w:bCs w:val="0"/>
                <w:color w:val="000000"/>
                <w:sz w:val="19"/>
                <w:szCs w:val="19"/>
                <w:rtl w:val="0"/>
              </w:rPr>
              <w:t xml:space="preserve">Condenses a section or topic into plain language, still tied to its citations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2">
            <w:pPr>
              <w:spacing w:after="0" w:line="252.00000000000003" w:lineRule="auto"/>
              <w:rPr/>
            </w:pPr>
            <w:r w:rsidDel="00000000" w:rsidR="00000000" w:rsidRPr="00000000">
              <w:rPr>
                <w:b w:val="0"/>
                <w:bCs w:val="0"/>
                <w:color w:val="000000"/>
                <w:sz w:val="19"/>
                <w:szCs w:val="19"/>
                <w:rtl w:val="0"/>
              </w:rPr>
              <w:t xml:space="preserve">Faster reading of dense policy without losing the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cf7" w:val="clear"/>
            <w:tcMar>
              <w:top w:w="60.0" w:type="dxa"/>
              <w:left w:w="110.0" w:type="dxa"/>
              <w:bottom w:w="60.0" w:type="dxa"/>
              <w:right w:w="110.0" w:type="dxa"/>
            </w:tcMar>
          </w:tcPr>
          <w:p w:rsidR="00000000" w:rsidDel="00000000" w:rsidP="00000000" w:rsidRDefault="00000000" w:rsidRPr="00000000" w14:paraId="00000013">
            <w:pPr>
              <w:spacing w:after="0" w:line="252.00000000000003" w:lineRule="auto"/>
              <w:rPr/>
            </w:pPr>
            <w:r w:rsidDel="00000000" w:rsidR="00000000" w:rsidRPr="00000000">
              <w:rPr>
                <w:b w:val="0"/>
                <w:bCs w:val="0"/>
                <w:color w:val="000000"/>
                <w:sz w:val="19"/>
                <w:szCs w:val="19"/>
                <w:rtl w:val="0"/>
              </w:rPr>
              <w:t xml:space="preserve">Compare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4">
            <w:pPr>
              <w:spacing w:after="0" w:line="252.00000000000003" w:lineRule="auto"/>
              <w:rPr/>
            </w:pPr>
            <w:r w:rsidDel="00000000" w:rsidR="00000000" w:rsidRPr="00000000">
              <w:rPr>
                <w:b w:val="0"/>
                <w:bCs w:val="0"/>
                <w:color w:val="000000"/>
                <w:sz w:val="19"/>
                <w:szCs w:val="19"/>
                <w:rtl w:val="0"/>
              </w:rPr>
              <w:t xml:space="preserve">Tables the differences across chapters or two versions of a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5">
            <w:pPr>
              <w:spacing w:after="0" w:line="252.00000000000003" w:lineRule="auto"/>
              <w:rPr/>
            </w:pPr>
            <w:r w:rsidDel="00000000" w:rsidR="00000000" w:rsidRPr="00000000">
              <w:rPr>
                <w:b w:val="0"/>
                <w:bCs w:val="0"/>
                <w:color w:val="000000"/>
                <w:sz w:val="19"/>
                <w:szCs w:val="19"/>
                <w:rtl w:val="0"/>
              </w:rPr>
              <w:t xml:space="preserve">Surfaces what changed and where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cf7" w:val="clear"/>
            <w:tcMar>
              <w:top w:w="60.0" w:type="dxa"/>
              <w:left w:w="110.0" w:type="dxa"/>
              <w:bottom w:w="60.0" w:type="dxa"/>
              <w:right w:w="110.0" w:type="dxa"/>
            </w:tcMar>
          </w:tcPr>
          <w:p w:rsidR="00000000" w:rsidDel="00000000" w:rsidP="00000000" w:rsidRDefault="00000000" w:rsidRPr="00000000" w14:paraId="00000016">
            <w:pPr>
              <w:spacing w:after="0" w:line="252.00000000000003" w:lineRule="auto"/>
              <w:rPr/>
            </w:pPr>
            <w:r w:rsidDel="00000000" w:rsidR="00000000" w:rsidRPr="00000000">
              <w:rPr>
                <w:b w:val="0"/>
                <w:bCs w:val="0"/>
                <w:color w:val="000000"/>
                <w:sz w:val="19"/>
                <w:szCs w:val="19"/>
                <w:rtl w:val="0"/>
              </w:rPr>
              <w:t xml:space="preserve">Policy to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7">
            <w:pPr>
              <w:spacing w:after="0" w:line="252.00000000000003" w:lineRule="auto"/>
              <w:rPr/>
            </w:pPr>
            <w:r w:rsidDel="00000000" w:rsidR="00000000" w:rsidRPr="00000000">
              <w:rPr>
                <w:b w:val="0"/>
                <w:bCs w:val="0"/>
                <w:color w:val="000000"/>
                <w:sz w:val="19"/>
                <w:szCs w:val="19"/>
                <w:rtl w:val="0"/>
              </w:rPr>
              <w:t xml:space="preserve">Converts a policy paragraph into a Python module and a JSON rule set, each quoting its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8">
            <w:pPr>
              <w:spacing w:after="0" w:line="252.00000000000003" w:lineRule="auto"/>
              <w:rPr/>
            </w:pPr>
            <w:r w:rsidDel="00000000" w:rsidR="00000000" w:rsidRPr="00000000">
              <w:rPr>
                <w:b w:val="0"/>
                <w:bCs w:val="0"/>
                <w:color w:val="000000"/>
                <w:sz w:val="19"/>
                <w:szCs w:val="19"/>
                <w:rtl w:val="0"/>
              </w:rPr>
              <w:t xml:space="preserve">Turns prose into auditable, executable logic</w:t>
            </w:r>
            <w:r w:rsidDel="00000000" w:rsidR="00000000" w:rsidRPr="00000000">
              <w:rPr>
                <w:rtl w:val="0"/>
              </w:rPr>
            </w:r>
          </w:p>
        </w:tc>
      </w:tr>
    </w:tbl>
    <w:p w:rsidR="00000000" w:rsidDel="00000000" w:rsidP="00000000" w:rsidRDefault="00000000" w:rsidRPr="00000000" w14:paraId="00000019">
      <w:pPr>
        <w:pStyle w:val="Heading1"/>
        <w:rPr/>
      </w:pPr>
      <w:r w:rsidDel="00000000" w:rsidR="00000000" w:rsidRPr="00000000">
        <w:rPr>
          <w:rtl w:val="0"/>
        </w:rPr>
        <w:t xml:space="preserve">Opportunities</w:t>
      </w:r>
    </w:p>
    <w:p w:rsidR="00000000" w:rsidDel="00000000" w:rsidP="00000000" w:rsidRDefault="00000000" w:rsidRPr="00000000" w14:paraId="0000001A">
      <w:pPr>
        <w:spacing w:after="70" w:line="235" w:lineRule="auto"/>
        <w:jc w:val="both"/>
        <w:rPr/>
      </w:pPr>
      <w:r w:rsidDel="00000000" w:rsidR="00000000" w:rsidRPr="00000000">
        <w:rPr>
          <w:rtl w:val="0"/>
        </w:rPr>
        <w:t xml:space="preserve">Several opportunities follow from treating policy as structured, executable content. The first is to automate the authoring step, where a model drafts candidate rules from new or changed policy, grounded in an organization’s own content library and checked by an expert, shortening the gap between a revision and the edit that puts it into effect. The second is change impact analysis: comparing two versions of a policy and showing which edits and which claims are affected, which supports both prepay updates and postpay reprocessing. A third is consistency, since shared encoded rules reduce the variation between individual reviewers so similar claims are handled the same way. Underlying all of them is explainability, because a decision that cites the exact clause and the version in force is far easier to defend on appeal, and the same citations speed audits.</w:t>
      </w:r>
    </w:p>
    <w:p w:rsidR="00000000" w:rsidDel="00000000" w:rsidP="00000000" w:rsidRDefault="00000000" w:rsidRPr="00000000" w14:paraId="0000001B">
      <w:pPr>
        <w:pStyle w:val="Heading1"/>
        <w:rPr/>
      </w:pPr>
      <w:r w:rsidDel="00000000" w:rsidR="00000000" w:rsidRPr="00000000">
        <w:rPr>
          <w:rtl w:val="0"/>
        </w:rPr>
        <w:t xml:space="preserve">Threats</w:t>
      </w:r>
    </w:p>
    <w:p w:rsidR="00000000" w:rsidDel="00000000" w:rsidP="00000000" w:rsidRDefault="00000000" w:rsidRPr="00000000" w14:paraId="0000001C">
      <w:pPr>
        <w:spacing w:after="70" w:line="235" w:lineRule="auto"/>
        <w:jc w:val="both"/>
        <w:rPr/>
      </w:pPr>
      <w:r w:rsidDel="00000000" w:rsidR="00000000" w:rsidRPr="00000000">
        <w:rPr>
          <w:rtl w:val="0"/>
        </w:rPr>
        <w:t xml:space="preserve">The threats are equally concrete. Faithfulness comes first: coverage language is often ambiguous or leans on clinical judgment, so a model can produce a rule that reads well yet misstates the intent. Accountability and fairness follow, because a wrong or biased rule can drive an improper denial, and regulators are tightening rules on AI in coverage and prior authorization, which raises the bar for auditability. There is also the standing tension between privacy and capability: a small local model keeps patient data in place but reads dense policy less reliably, while a larger hosted model reads better yet reintroduces the exposure the local design avoids. Finally, proprietary code sets such as CPT are copyrighted, which limits what content can be freely ingested or shared, as this project’s use of public CMS and Task Force material already showed.</w:t>
      </w:r>
    </w:p>
    <w:p w:rsidR="00000000" w:rsidDel="00000000" w:rsidP="00000000" w:rsidRDefault="00000000" w:rsidRPr="00000000" w14:paraId="0000001D">
      <w:pPr>
        <w:pStyle w:val="Heading1"/>
        <w:rPr/>
      </w:pPr>
      <w:r w:rsidDel="00000000" w:rsidR="00000000" w:rsidRPr="00000000">
        <w:rPr>
          <w:rtl w:val="0"/>
        </w:rPr>
        <w:t xml:space="preserve">Proposed Strategic Options for Cotiviti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54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 authoring assistant for policy to edit conversion.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 internal tool for Cotiviti’s content and clinical teams that drafts candidate edits from new or revised policy, grounded in Cotiviti’s own content library, with every draft tied to its source clause and routed to an expert for sign off. Run on a local or private model, it keeps protected data inside the payer boundary and turns Cotiviti’s content advantage into a generative AI strength rather than a place where it can be undercut.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54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provider </w:t>
      </w:r>
      <w:r w:rsidDel="00000000" w:rsidR="00000000" w:rsidRPr="00000000">
        <w:rPr>
          <w:b w:val="1"/>
          <w:bCs w:val="1"/>
          <w:rtl w:val="0"/>
        </w:rPr>
        <w:t xml:space="preserve">facing a claim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checker.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apply policy only after a claim arrives, expose the same encoded rules to providers so a claim can be checked against coverage policy before it is submitted, each flag showing the governing clause. Where the first option makes Cotiviti’s internal work faster, this one moves Cotiviti upstream and opens a product line beyond payer contracts: by helping claims arrive correct the first time it lowers the denials, appeals, and provider abrasion of a purely after the fact model, and positions Cotiviti as a bridge between payers and providers rather than only a payer side auditor.</w:t>
      </w:r>
    </w:p>
    <w:p w:rsidR="00000000" w:rsidDel="00000000" w:rsidP="00000000" w:rsidRDefault="00000000" w:rsidRPr="00000000" w14:paraId="00000020">
      <w:pPr>
        <w:spacing w:after="70" w:line="235" w:lineRule="auto"/>
        <w:jc w:val="both"/>
        <w:rPr/>
      </w:pPr>
      <w:r w:rsidDel="00000000" w:rsidR="00000000" w:rsidRPr="00000000">
        <w:rPr>
          <w:rtl w:val="0"/>
        </w:rPr>
        <w:t xml:space="preserve">Both options rest on the same foundation: the model only translates policy into cited rules, the check that runs against a claim stays deterministic and traceable, and explainability is the differentiator, whether the output serves Cotiviti’s own reviewers or a provider before submission.</w:t>
      </w:r>
    </w:p>
    <w:p w:rsidR="00000000" w:rsidDel="00000000" w:rsidP="00000000" w:rsidRDefault="00000000" w:rsidRPr="00000000" w14:paraId="00000021">
      <w:pPr>
        <w:pStyle w:val="Heading1"/>
        <w:rPr/>
      </w:pPr>
      <w:r w:rsidDel="00000000" w:rsidR="00000000" w:rsidRPr="00000000">
        <w:rPr>
          <w:rtl w:val="0"/>
        </w:rPr>
        <w:t xml:space="preserve">Methods and Sources</w:t>
      </w:r>
    </w:p>
    <w:p w:rsidR="00000000" w:rsidDel="00000000" w:rsidP="00000000" w:rsidRDefault="00000000" w:rsidRPr="00000000" w14:paraId="00000022">
      <w:pPr>
        <w:spacing w:after="70" w:line="235" w:lineRule="auto"/>
        <w:jc w:val="both"/>
        <w:rPr/>
      </w:pPr>
      <w:r w:rsidDel="00000000" w:rsidR="00000000" w:rsidRPr="00000000">
        <w:rPr>
          <w:rtl w:val="0"/>
        </w:rPr>
        <w:t xml:space="preserve">The analysis draws on Cotiviti and industry materials, public CMS policy, U.S. Preventive Services Task Force guidelines, and recent academic and industry work on language models in claims and contract analysis. The proof of concept was built on this material, using the CMS Benefit Policy Manual for coverage policy and the Task Force aspirin recommendations for version comparison, turning written policy into auditable, executable rules with a citation behind every answer and every rule.</w:t>
      </w:r>
    </w:p>
    <w:p w:rsidR="00000000" w:rsidDel="00000000" w:rsidP="00000000" w:rsidRDefault="00000000" w:rsidRPr="00000000" w14:paraId="00000023">
      <w:pPr>
        <w:pStyle w:val="Heading1"/>
        <w:rPr/>
      </w:pPr>
      <w:r w:rsidDel="00000000" w:rsidR="00000000" w:rsidRPr="00000000">
        <w:rPr>
          <w:rtl w:val="0"/>
        </w:rPr>
        <w:t xml:space="preserve">References</w:t>
      </w:r>
    </w:p>
    <w:p w:rsidR="00000000" w:rsidDel="00000000" w:rsidP="00000000" w:rsidRDefault="00000000" w:rsidRPr="00000000" w14:paraId="00000024">
      <w:pPr>
        <w:spacing w:after="120" w:line="264" w:lineRule="auto"/>
        <w:ind w:left="360" w:hanging="360"/>
        <w:rPr/>
      </w:pPr>
      <w:r w:rsidDel="00000000" w:rsidR="00000000" w:rsidRPr="00000000">
        <w:rPr>
          <w:rtl w:val="0"/>
        </w:rPr>
        <w:t xml:space="preserve">Centers for Medicare &amp; Medicaid Services. (n.d.). </w:t>
      </w:r>
      <w:r w:rsidDel="00000000" w:rsidR="00000000" w:rsidRPr="00000000">
        <w:rPr>
          <w:i w:val="1"/>
          <w:iCs w:val="1"/>
          <w:rtl w:val="0"/>
        </w:rPr>
        <w:t xml:space="preserve">Medicare benefit policy manual, Chapter 15: Covered medical and other health services (Pub. 100-02). </w:t>
      </w:r>
      <w:hyperlink r:id="rId6">
        <w:r w:rsidDel="00000000" w:rsidR="00000000" w:rsidRPr="00000000">
          <w:rPr>
            <w:color w:val="1155cc"/>
            <w:u w:val="single"/>
            <w:rtl w:val="0"/>
          </w:rPr>
          <w:t xml:space="preserve">https://www.cms.gov/Regulations-and-Guidance/Guidance/Manuals/downloads/bp102c15.pdf</w:t>
        </w:r>
      </w:hyperlink>
      <w:r w:rsidDel="00000000" w:rsidR="00000000" w:rsidRPr="00000000">
        <w:rPr>
          <w:rtl w:val="0"/>
        </w:rPr>
      </w:r>
    </w:p>
    <w:p w:rsidR="00000000" w:rsidDel="00000000" w:rsidP="00000000" w:rsidRDefault="00000000" w:rsidRPr="00000000" w14:paraId="00000025">
      <w:pPr>
        <w:spacing w:after="120" w:line="264" w:lineRule="auto"/>
        <w:ind w:left="360" w:hanging="360"/>
        <w:rPr/>
      </w:pPr>
      <w:r w:rsidDel="00000000" w:rsidR="00000000" w:rsidRPr="00000000">
        <w:rPr>
          <w:rtl w:val="0"/>
        </w:rPr>
        <w:t xml:space="preserve">Centers for Medicare &amp; Medicaid Services. (n.d.). </w:t>
      </w:r>
      <w:r w:rsidDel="00000000" w:rsidR="00000000" w:rsidRPr="00000000">
        <w:rPr>
          <w:i w:val="1"/>
          <w:iCs w:val="1"/>
          <w:rtl w:val="0"/>
        </w:rPr>
        <w:t xml:space="preserve">Medicare benefit policy manual, Chapter 16: General exclusions from coverage (Pub. 100-02). </w:t>
      </w:r>
      <w:hyperlink r:id="rId7">
        <w:r w:rsidDel="00000000" w:rsidR="00000000" w:rsidRPr="00000000">
          <w:rPr>
            <w:color w:val="1155cc"/>
            <w:u w:val="single"/>
            <w:rtl w:val="0"/>
          </w:rPr>
          <w:t xml:space="preserve">https://www.cms.gov/Regulations-and-Guidance/Guidance/Manuals/downloads/bp102c16.pdf</w:t>
        </w:r>
      </w:hyperlink>
      <w:r w:rsidDel="00000000" w:rsidR="00000000" w:rsidRPr="00000000">
        <w:rPr>
          <w:rtl w:val="0"/>
        </w:rPr>
      </w:r>
    </w:p>
    <w:p w:rsidR="00000000" w:rsidDel="00000000" w:rsidP="00000000" w:rsidRDefault="00000000" w:rsidRPr="00000000" w14:paraId="00000026">
      <w:pPr>
        <w:spacing w:after="120" w:line="264" w:lineRule="auto"/>
        <w:ind w:left="360" w:hanging="360"/>
        <w:rPr/>
      </w:pPr>
      <w:r w:rsidDel="00000000" w:rsidR="00000000" w:rsidRPr="00000000">
        <w:rPr>
          <w:rtl w:val="0"/>
        </w:rPr>
        <w:t xml:space="preserve">CodeREM Labs. (n.d.). </w:t>
      </w:r>
      <w:r w:rsidDel="00000000" w:rsidR="00000000" w:rsidRPr="00000000">
        <w:rPr>
          <w:i w:val="1"/>
          <w:iCs w:val="1"/>
          <w:rtl w:val="0"/>
        </w:rPr>
        <w:t xml:space="preserve">AI automation for medical claims processing. </w:t>
      </w:r>
      <w:hyperlink r:id="rId8">
        <w:r w:rsidDel="00000000" w:rsidR="00000000" w:rsidRPr="00000000">
          <w:rPr>
            <w:color w:val="1155cc"/>
            <w:u w:val="single"/>
            <w:rtl w:val="0"/>
          </w:rPr>
          <w:t xml:space="preserve">https://www.coderemlabs.com/insights/medical-claims-ai</w:t>
        </w:r>
      </w:hyperlink>
      <w:r w:rsidDel="00000000" w:rsidR="00000000" w:rsidRPr="00000000">
        <w:rPr>
          <w:rtl w:val="0"/>
        </w:rPr>
      </w:r>
    </w:p>
    <w:p w:rsidR="00000000" w:rsidDel="00000000" w:rsidP="00000000" w:rsidRDefault="00000000" w:rsidRPr="00000000" w14:paraId="00000027">
      <w:pPr>
        <w:spacing w:after="120" w:line="264" w:lineRule="auto"/>
        <w:ind w:left="360" w:hanging="360"/>
        <w:rPr/>
      </w:pPr>
      <w:r w:rsidDel="00000000" w:rsidR="00000000" w:rsidRPr="00000000">
        <w:rPr>
          <w:rtl w:val="0"/>
        </w:rPr>
        <w:t xml:space="preserve">Cotiviti. (2025, May 12). </w:t>
      </w:r>
      <w:r w:rsidDel="00000000" w:rsidR="00000000" w:rsidRPr="00000000">
        <w:rPr>
          <w:i w:val="1"/>
          <w:iCs w:val="1"/>
          <w:rtl w:val="0"/>
        </w:rPr>
        <w:t xml:space="preserve">Cotiviti named highest-designated leader by Everest Group in the Payment Integrity Solutions PEAK Matrix assessment 2025 </w:t>
      </w:r>
      <w:r w:rsidDel="00000000" w:rsidR="00000000" w:rsidRPr="00000000">
        <w:rPr>
          <w:rtl w:val="0"/>
        </w:rPr>
        <w:t xml:space="preserve">[Press release]. </w:t>
      </w:r>
      <w:hyperlink r:id="rId9">
        <w:r w:rsidDel="00000000" w:rsidR="00000000" w:rsidRPr="00000000">
          <w:rPr>
            <w:color w:val="1155cc"/>
            <w:u w:val="single"/>
            <w:rtl w:val="0"/>
          </w:rPr>
          <w:t xml:space="preserve">https://www.cotiviti.com/press-release</w:t>
        </w:r>
      </w:hyperlink>
      <w:r w:rsidDel="00000000" w:rsidR="00000000" w:rsidRPr="00000000">
        <w:rPr>
          <w:rtl w:val="0"/>
        </w:rPr>
      </w:r>
    </w:p>
    <w:p w:rsidR="00000000" w:rsidDel="00000000" w:rsidP="00000000" w:rsidRDefault="00000000" w:rsidRPr="00000000" w14:paraId="00000028">
      <w:pPr>
        <w:spacing w:after="120" w:line="264" w:lineRule="auto"/>
        <w:ind w:left="360" w:hanging="360"/>
        <w:rPr/>
      </w:pPr>
      <w:r w:rsidDel="00000000" w:rsidR="00000000" w:rsidRPr="00000000">
        <w:rPr>
          <w:rtl w:val="0"/>
        </w:rPr>
        <w:t xml:space="preserve">EXL Service. (n.d.). </w:t>
      </w:r>
      <w:r w:rsidDel="00000000" w:rsidR="00000000" w:rsidRPr="00000000">
        <w:rPr>
          <w:i w:val="1"/>
          <w:iCs w:val="1"/>
          <w:rtl w:val="0"/>
        </w:rPr>
        <w:t xml:space="preserve">AI-powered insurance workflows: Operationalizing LLMs with EXL Insurance LLM </w:t>
      </w:r>
      <w:r w:rsidDel="00000000" w:rsidR="00000000" w:rsidRPr="00000000">
        <w:rPr>
          <w:rtl w:val="0"/>
        </w:rPr>
        <w:t xml:space="preserve">[White paper]. </w:t>
      </w:r>
      <w:hyperlink r:id="rId10">
        <w:r w:rsidDel="00000000" w:rsidR="00000000" w:rsidRPr="00000000">
          <w:rPr>
            <w:color w:val="1155cc"/>
            <w:u w:val="single"/>
            <w:rtl w:val="0"/>
          </w:rPr>
          <w:t xml:space="preserve">https://www.exlservice.com/insights/white-paper</w:t>
        </w:r>
      </w:hyperlink>
      <w:r w:rsidDel="00000000" w:rsidR="00000000" w:rsidRPr="00000000">
        <w:rPr>
          <w:rtl w:val="0"/>
        </w:rPr>
      </w:r>
    </w:p>
    <w:p w:rsidR="00000000" w:rsidDel="00000000" w:rsidP="00000000" w:rsidRDefault="00000000" w:rsidRPr="00000000" w14:paraId="00000029">
      <w:pPr>
        <w:spacing w:after="120" w:line="264" w:lineRule="auto"/>
        <w:ind w:left="360" w:hanging="360"/>
        <w:rPr/>
      </w:pPr>
      <w:r w:rsidDel="00000000" w:rsidR="00000000" w:rsidRPr="00000000">
        <w:rPr>
          <w:rtl w:val="0"/>
        </w:rPr>
        <w:t xml:space="preserve">John Snow Labs. (2026). </w:t>
      </w:r>
      <w:r w:rsidDel="00000000" w:rsidR="00000000" w:rsidRPr="00000000">
        <w:rPr>
          <w:i w:val="1"/>
          <w:iCs w:val="1"/>
          <w:rtl w:val="0"/>
        </w:rPr>
        <w:t xml:space="preserve">AI-powered automation of appealing prior authorization denials with John Snow Labs’ Medical LLM. </w:t>
      </w:r>
      <w:hyperlink r:id="rId11">
        <w:r w:rsidDel="00000000" w:rsidR="00000000" w:rsidRPr="00000000">
          <w:rPr>
            <w:color w:val="1155cc"/>
            <w:u w:val="single"/>
            <w:rtl w:val="0"/>
          </w:rPr>
          <w:t xml:space="preserve">https://www.johnsnowlabs.com</w:t>
        </w:r>
      </w:hyperlink>
      <w:r w:rsidDel="00000000" w:rsidR="00000000" w:rsidRPr="00000000">
        <w:rPr>
          <w:rtl w:val="0"/>
        </w:rPr>
      </w:r>
    </w:p>
    <w:p w:rsidR="00000000" w:rsidDel="00000000" w:rsidP="00000000" w:rsidRDefault="00000000" w:rsidRPr="00000000" w14:paraId="0000002A">
      <w:pPr>
        <w:spacing w:after="120" w:line="264" w:lineRule="auto"/>
        <w:ind w:left="360" w:hanging="360"/>
        <w:rPr/>
      </w:pPr>
      <w:r w:rsidDel="00000000" w:rsidR="00000000" w:rsidRPr="00000000">
        <w:rPr>
          <w:rtl w:val="0"/>
        </w:rPr>
        <w:t xml:space="preserve">Kant, M., Nabi, S., Kant, M., Scharrer, R., Ma, M., &amp; Nabi, M. (2025). </w:t>
      </w:r>
      <w:r w:rsidDel="00000000" w:rsidR="00000000" w:rsidRPr="00000000">
        <w:rPr>
          <w:i w:val="1"/>
          <w:iCs w:val="1"/>
          <w:rtl w:val="0"/>
        </w:rPr>
        <w:t xml:space="preserve">Towards robust legal reasoning: Harnessing logical LLMs in law </w:t>
      </w:r>
      <w:r w:rsidDel="00000000" w:rsidR="00000000" w:rsidRPr="00000000">
        <w:rPr>
          <w:rtl w:val="0"/>
        </w:rPr>
        <w:t xml:space="preserve">[Preprint]. arXiv. </w:t>
      </w:r>
      <w:hyperlink r:id="rId12">
        <w:r w:rsidDel="00000000" w:rsidR="00000000" w:rsidRPr="00000000">
          <w:rPr>
            <w:color w:val="1155cc"/>
            <w:u w:val="single"/>
            <w:rtl w:val="0"/>
          </w:rPr>
          <w:t xml:space="preserve">https://arxiv.org/abs/2502.17638</w:t>
        </w:r>
      </w:hyperlink>
      <w:r w:rsidDel="00000000" w:rsidR="00000000" w:rsidRPr="00000000">
        <w:rPr>
          <w:rtl w:val="0"/>
        </w:rPr>
      </w:r>
    </w:p>
    <w:p w:rsidR="00000000" w:rsidDel="00000000" w:rsidP="00000000" w:rsidRDefault="00000000" w:rsidRPr="00000000" w14:paraId="0000002B">
      <w:pPr>
        <w:spacing w:after="120" w:line="264" w:lineRule="auto"/>
        <w:ind w:left="360" w:hanging="360"/>
        <w:rPr/>
      </w:pPr>
      <w:r w:rsidDel="00000000" w:rsidR="00000000" w:rsidRPr="00000000">
        <w:rPr>
          <w:rtl w:val="0"/>
        </w:rPr>
        <w:t xml:space="preserve">Munich Re. (2024). </w:t>
      </w:r>
      <w:r w:rsidDel="00000000" w:rsidR="00000000" w:rsidRPr="00000000">
        <w:rPr>
          <w:i w:val="1"/>
          <w:iCs w:val="1"/>
          <w:rtl w:val="0"/>
        </w:rPr>
        <w:t xml:space="preserve">Large language models in underwriting and claims. </w:t>
      </w:r>
      <w:hyperlink r:id="rId13">
        <w:r w:rsidDel="00000000" w:rsidR="00000000" w:rsidRPr="00000000">
          <w:rPr>
            <w:color w:val="1155cc"/>
            <w:u w:val="single"/>
            <w:rtl w:val="0"/>
          </w:rPr>
          <w:t xml:space="preserve">https://www.munichre.com</w:t>
        </w:r>
      </w:hyperlink>
      <w:r w:rsidDel="00000000" w:rsidR="00000000" w:rsidRPr="00000000">
        <w:rPr>
          <w:rtl w:val="0"/>
        </w:rPr>
      </w:r>
    </w:p>
    <w:p w:rsidR="00000000" w:rsidDel="00000000" w:rsidP="00000000" w:rsidRDefault="00000000" w:rsidRPr="00000000" w14:paraId="0000002C">
      <w:pPr>
        <w:spacing w:after="120" w:line="264" w:lineRule="auto"/>
        <w:ind w:left="360" w:hanging="360"/>
        <w:rPr/>
      </w:pPr>
      <w:r w:rsidDel="00000000" w:rsidR="00000000" w:rsidRPr="00000000">
        <w:rPr>
          <w:rtl w:val="0"/>
        </w:rPr>
        <w:t xml:space="preserve">U.S. Preventive Services Task Force. (2016). </w:t>
      </w:r>
      <w:r w:rsidDel="00000000" w:rsidR="00000000" w:rsidRPr="00000000">
        <w:rPr>
          <w:i w:val="1"/>
          <w:iCs w:val="1"/>
          <w:rtl w:val="0"/>
        </w:rPr>
        <w:t xml:space="preserve">Aspirin use for the primary prevention of cardiovascular disease and colorectal cancer: Recommendation statement. </w:t>
      </w:r>
      <w:hyperlink r:id="rId14">
        <w:r w:rsidDel="00000000" w:rsidR="00000000" w:rsidRPr="00000000">
          <w:rPr>
            <w:color w:val="1155cc"/>
            <w:u w:val="single"/>
            <w:rtl w:val="0"/>
          </w:rPr>
          <w:t xml:space="preserve">https://www.uspreventiveservicestaskforce.org</w:t>
        </w:r>
      </w:hyperlink>
      <w:r w:rsidDel="00000000" w:rsidR="00000000" w:rsidRPr="00000000">
        <w:rPr>
          <w:rtl w:val="0"/>
        </w:rPr>
      </w:r>
    </w:p>
    <w:p w:rsidR="00000000" w:rsidDel="00000000" w:rsidP="00000000" w:rsidRDefault="00000000" w:rsidRPr="00000000" w14:paraId="0000002D">
      <w:pPr>
        <w:spacing w:after="120" w:line="264" w:lineRule="auto"/>
        <w:ind w:left="360" w:hanging="360"/>
        <w:rPr/>
      </w:pPr>
      <w:r w:rsidDel="00000000" w:rsidR="00000000" w:rsidRPr="00000000">
        <w:rPr>
          <w:rtl w:val="0"/>
        </w:rPr>
        <w:t xml:space="preserve">U.S. Preventive Services Task Force. (2022). </w:t>
      </w:r>
      <w:r w:rsidDel="00000000" w:rsidR="00000000" w:rsidRPr="00000000">
        <w:rPr>
          <w:i w:val="1"/>
          <w:iCs w:val="1"/>
          <w:rtl w:val="0"/>
        </w:rPr>
        <w:t xml:space="preserve">Aspirin use to prevent cardiovascular disease: Recommendation statement. </w:t>
      </w:r>
      <w:hyperlink r:id="rId15">
        <w:r w:rsidDel="00000000" w:rsidR="00000000" w:rsidRPr="00000000">
          <w:rPr>
            <w:color w:val="1155cc"/>
            <w:u w:val="single"/>
            <w:rtl w:val="0"/>
          </w:rPr>
          <w:t xml:space="preserve">https://www.uspreventiveservicestaskforce.org</w:t>
        </w:r>
      </w:hyperlink>
      <w:r w:rsidDel="00000000" w:rsidR="00000000" w:rsidRPr="00000000">
        <w:rPr>
          <w:rtl w:val="0"/>
        </w:rPr>
      </w:r>
    </w:p>
    <w:p w:rsidR="00000000" w:rsidDel="00000000" w:rsidP="00000000" w:rsidRDefault="00000000" w:rsidRPr="00000000" w14:paraId="0000002E">
      <w:pPr>
        <w:spacing w:before="120" w:lineRule="auto"/>
        <w:rPr/>
      </w:pPr>
      <w:r w:rsidDel="00000000" w:rsidR="00000000" w:rsidRPr="00000000">
        <w:rPr>
          <w:i w:val="1"/>
          <w:iCs w:val="1"/>
          <w:color w:val="777777"/>
          <w:sz w:val="18"/>
          <w:szCs w:val="18"/>
          <w:rtl w:val="0"/>
        </w:rPr>
        <w:t xml:space="preserve">APA 7th edition. All sources accessed June 2026.</w:t>
      </w:r>
      <w:r w:rsidDel="00000000" w:rsidR="00000000" w:rsidRPr="00000000">
        <w:rPr>
          <w:rtl w:val="0"/>
        </w:rPr>
      </w:r>
    </w:p>
    <w:sectPr>
      <w:pgSz w:h="15840" w:w="12240" w:orient="portrait"/>
      <w:pgMar w:bottom="980" w:top="1020" w:left="1160" w:right="11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50" w:line="240" w:lineRule="auto"/>
      <w:ind w:left="0" w:right="0" w:firstLine="0"/>
      <w:jc w:val="left"/>
    </w:pPr>
    <w:rPr>
      <w:rFonts w:ascii="Arial" w:cs="Arial" w:eastAsia="Arial" w:hAnsi="Arial"/>
      <w:b w:val="1"/>
      <w:bCs w:val="1"/>
      <w:i w:val="0"/>
      <w:iCs w:val="0"/>
      <w:smallCaps w:val="0"/>
      <w:strike w:val="0"/>
      <w:color w:val="5b2a86"/>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ohnsnowlabs.com/ai-powered-automation-of-prior-authorization-denials-with-john-snow-labs-medical-llm-as-a-judge/" TargetMode="External"/><Relationship Id="rId10" Type="http://schemas.openxmlformats.org/officeDocument/2006/relationships/hyperlink" Target="https://www.exlservice.com/insights/white-paper/ai-powered-insurance-workflows-operationalizing-llms-with-exl-insurance-llm" TargetMode="External"/><Relationship Id="rId13" Type="http://schemas.openxmlformats.org/officeDocument/2006/relationships/hyperlink" Target="https://www.munichre.com/us-life/en/insights/future-of-risk/large-language-models-in-underwriting-and-claims.html" TargetMode="External"/><Relationship Id="rId12" Type="http://schemas.openxmlformats.org/officeDocument/2006/relationships/hyperlink" Target="https://arxiv.org/abs/2502.176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tiviti.com/press-release/cotiviti-named-highest-designated-leader-by-everest-group-in-payment-integrity-solutions-peak-matrix-assessment-2025" TargetMode="External"/><Relationship Id="rId15" Type="http://schemas.openxmlformats.org/officeDocument/2006/relationships/hyperlink" Target="https://www.uspreventiveservicestaskforce.org/uspstf/recommendation/aspirin-to-prevent-cardiovascular-disease-preventive-medication" TargetMode="External"/><Relationship Id="rId14" Type="http://schemas.openxmlformats.org/officeDocument/2006/relationships/hyperlink" Target="https://www.uspreventiveservicestaskforce.org/uspstf/announcements/final-recommendation-statement-aspirin-use-primary-prevention-cardiovascular-disease-and-colorectal-cancer" TargetMode="External"/><Relationship Id="rId5" Type="http://schemas.openxmlformats.org/officeDocument/2006/relationships/styles" Target="styles.xml"/><Relationship Id="rId6" Type="http://schemas.openxmlformats.org/officeDocument/2006/relationships/hyperlink" Target="https://www.cms.gov/Regulations-and-Guidance/Guidance/Manuals/downloads/bp102c15.pdf" TargetMode="External"/><Relationship Id="rId7" Type="http://schemas.openxmlformats.org/officeDocument/2006/relationships/hyperlink" Target="https://www.cms.gov/Regulations-and-Guidance/Guidance/Manuals/downloads/bp102c16.pdf" TargetMode="External"/><Relationship Id="rId8" Type="http://schemas.openxmlformats.org/officeDocument/2006/relationships/hyperlink" Target="https://www.coderemlabs.com/insights/medical-claim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