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2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36.png" ContentType="image/png"/>
  <Override PartName="/word/media/rId37.png" ContentType="image/png"/>
  <Override PartName="/word/media/rId3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</w:t>
      </w:r>
      <w:r>
        <w:t xml:space="preserve"> </w:t>
      </w:r>
      <w:r>
        <w:t xml:space="preserve">&amp;</w:t>
      </w:r>
      <w:r>
        <w:t xml:space="preserve"> </w:t>
      </w:r>
      <w:r>
        <w:t xml:space="preserve">[coauthors]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While the choice</w:t>
      </w:r>
      <w:r>
        <w:t xml:space="preserve"> </w:t>
      </w:r>
      <w:r>
        <w:t xml:space="preserve">to use GUI-based software’s has been driven by a perception of</w:t>
      </w:r>
      <w:r>
        <w:t xml:space="preserve"> </w:t>
      </w:r>
      <w:r>
        <w:t xml:space="preserve">convenience, flexibility and accessibility, there are now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programming. These tools are</w:t>
      </w:r>
      <w:r>
        <w:t xml:space="preserve"> </w:t>
      </w:r>
      <w:r>
        <w:t xml:space="preserve">flexible and allow for generation of reproducible, high-quality and</w:t>
      </w:r>
      <w:r>
        <w:t xml:space="preserve"> </w:t>
      </w:r>
      <w:r>
        <w:t xml:space="preserve">publication ready brain visualisations in only a few lines of code</w:t>
      </w:r>
      <w:r>
        <w:t xml:space="preserve"> </w:t>
      </w:r>
      <w:r>
        <w:t xml:space="preserve">(Figure 1), especially within 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chances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interactivity. We conclude by introducing examples of R-packages which</w:t>
      </w:r>
      <w:r>
        <w:t xml:space="preserve"> </w:t>
      </w:r>
      <w:r>
        <w:t xml:space="preserve">allow for visualisation of region-of-interest (ROI), voxel, vertex and</w:t>
      </w:r>
      <w:r>
        <w:t xml:space="preserve"> </w:t>
      </w:r>
      <w:r>
        <w:t xml:space="preserve">edge level data, followed by a brief discussion of limitations and</w:t>
      </w:r>
      <w:r>
        <w:t xml:space="preserve"> </w:t>
      </w:r>
      <w:r>
        <w:t xml:space="preserve">functionality gaps in code-based brain visualisation 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(cite). One common solution proposed for achieving</w:t>
      </w:r>
      <w:r>
        <w:t xml:space="preserve"> </w:t>
      </w:r>
      <w:r>
        <w:t xml:space="preserve">robust and reliable discoveries has been to encourage scientific output</w:t>
      </w:r>
      <w:r>
        <w:t xml:space="preserve"> </w:t>
      </w:r>
      <w:r>
        <w:t xml:space="preserve">which can be transparently evaluated and potentially replicated. In</w:t>
      </w:r>
      <w:r>
        <w:t xml:space="preserve"> </w:t>
      </w:r>
      <w:r>
        <w:t xml:space="preserve">practise, what this usually means is openly sharing detailed methods,</w:t>
      </w:r>
      <w:r>
        <w:t xml:space="preserve"> </w:t>
      </w:r>
      <w:r>
        <w:t xml:space="preserve">materials, code and data. While there is a trend towards increasing</w:t>
      </w:r>
      <w:r>
        <w:t xml:space="preserve"> </w:t>
      </w:r>
      <w:r>
        <w:t xml:space="preserve">transparency and code sharing in neuroimaging research (cite), the</w:t>
      </w:r>
      <w:r>
        <w:t xml:space="preserve"> </w:t>
      </w:r>
      <w:r>
        <w:t xml:space="preserve">sharing of code used to generate figures which include brain renderings</w:t>
      </w:r>
      <w:r>
        <w:t xml:space="preserve"> </w:t>
      </w:r>
      <w:r>
        <w:t xml:space="preserve">and spatial maps has been relatively neglected. This gap in</w:t>
      </w:r>
      <w:r>
        <w:t xml:space="preserve"> </w:t>
      </w:r>
      <w:r>
        <w:t xml:space="preserve">reproducibility is partly driven by the fact that brain figures are</w:t>
      </w:r>
      <w:r>
        <w:t xml:space="preserve"> </w:t>
      </w:r>
      <w:r>
        <w:t xml:space="preserve">often created using a manual process of tinkering with sliders, buttons</w:t>
      </w:r>
      <w:r>
        <w:t xml:space="preserve"> </w:t>
      </w:r>
      <w:r>
        <w:t xml:space="preserve">and overlays on a GUI, concluding with a screenshot and sometimes</w:t>
      </w:r>
      <w:r>
        <w:t xml:space="preserve"> </w:t>
      </w:r>
      <w:r>
        <w:t xml:space="preserve">beatification in image processing software like Illustrator. This</w:t>
      </w:r>
      <w:r>
        <w:t xml:space="preserve"> </w:t>
      </w:r>
      <w:r>
        <w:t xml:space="preserve">process inherently makes neuroimaging visualisations difficult, if not</w:t>
      </w:r>
      <w:r>
        <w:t xml:space="preserve"> </w:t>
      </w:r>
      <w:r>
        <w:t xml:space="preserve">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Being able to code the inputs and settings</w:t>
      </w:r>
      <w:r>
        <w:t xml:space="preserve"> </w:t>
      </w:r>
      <w:r>
        <w:t xml:space="preserve">allows for the easy production of multiple figures, such as those</w:t>
      </w:r>
      <w:r>
        <w:t xml:space="preserve"> </w:t>
      </w:r>
      <w:r>
        <w:t xml:space="preserve">resulting from multiple analyses which require similar visualisations.</w:t>
      </w:r>
      <w:r>
        <w:t xml:space="preserve"> </w:t>
      </w:r>
      <w:r>
        <w:t xml:space="preserve">Likewise, an arduous request from a reviewer to alter the data</w:t>
      </w:r>
      <w:r>
        <w:t xml:space="preserve"> </w:t>
      </w:r>
      <w:r>
        <w:t xml:space="preserve">processing or analysis becomes less of a burden when the figure can be</w:t>
      </w:r>
      <w:r>
        <w:t xml:space="preserve"> </w:t>
      </w:r>
      <w:r>
        <w:t xml:space="preserve">re-generated with a few lines of code, as opposed to re-pasting and</w:t>
      </w:r>
      <w:r>
        <w:t xml:space="preserve"> </w:t>
      </w:r>
      <w:r>
        <w:t xml:space="preserve">re-illustrating them. Having a code-base with reprogrammable inputs can</w:t>
      </w:r>
      <w:r>
        <w:t xml:space="preserve"> </w:t>
      </w:r>
      <w:r>
        <w:t xml:space="preserve">mean that the generation of visualisations requires less time, energy</w:t>
      </w:r>
      <w:r>
        <w:t xml:space="preserve"> </w:t>
      </w:r>
      <w:r>
        <w:t xml:space="preserve">and effort than manual GUI-based generation. Keep in mind that the gains</w:t>
      </w:r>
      <w:r>
        <w:t xml:space="preserve"> </w:t>
      </w:r>
      <w:r>
        <w:t xml:space="preserve">of writing code for your figures are cumulative, and in addition to</w:t>
      </w:r>
      <w:r>
        <w:t xml:space="preserve"> </w:t>
      </w:r>
      <w:r>
        <w:t xml:space="preserve">improving your programming, you start to build a codebase for figure</w:t>
      </w:r>
      <w:r>
        <w:t xml:space="preserve"> </w:t>
      </w:r>
      <w:r>
        <w:t xml:space="preserve">generation that you can continue to reuse and share through your</w:t>
      </w:r>
      <w:r>
        <w:t xml:space="preserve"> </w:t>
      </w:r>
      <w:r>
        <w:t xml:space="preserve">scientific career.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While tools to automatically detect artefacts, denoise the data</w:t>
      </w:r>
      <w:r>
        <w:t xml:space="preserve"> </w:t>
      </w:r>
      <w:r>
        <w:t xml:space="preserve">and generate derivatives are becoming more robust,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infeasible to use traditional</w:t>
      </w:r>
      <w:r>
        <w:t xml:space="preserve"> </w:t>
      </w:r>
      <w:r>
        <w:t xml:space="preserve">GUI based tool to visually check the data.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code over each image of a large datasets making quality controls of</w:t>
      </w:r>
      <w:r>
        <w:t xml:space="preserve"> </w:t>
      </w:r>
      <w:r>
        <w:t xml:space="preserve">each data processing or analysis step accessible and achievable.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studies, but the brain visualisation</w:t>
      </w:r>
      <w:r>
        <w:t xml:space="preserve"> </w:t>
      </w:r>
      <w:r>
        <w:t xml:space="preserve">resulting from these analyses is outsourced to a septate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analysis to a GUI-based visualisation process be a cumbersome</w:t>
      </w:r>
      <w:r>
        <w:t xml:space="preserve"> </w:t>
      </w:r>
      <w:r>
        <w:t xml:space="preserve">deviation from the scientific workflow and can make debugging errors</w:t>
      </w:r>
      <w:r>
        <w:t xml:space="preserve"> </w:t>
      </w:r>
      <w:r>
        <w:t xml:space="preserve">more difficult, as you have to regularly switch program to visually</w:t>
      </w:r>
      <w:r>
        <w:t xml:space="preserve"> </w:t>
      </w:r>
      <w:r>
        <w:t xml:space="preserve">examine the results of any modifications to analyses. Using the brain</w:t>
      </w:r>
      <w:r>
        <w:t xml:space="preserve"> </w:t>
      </w:r>
      <w:r>
        <w:t xml:space="preserve">visualisation tools that already exist within your chosen programming</w:t>
      </w:r>
      <w:r>
        <w:t xml:space="preserve"> </w:t>
      </w:r>
      <w:r>
        <w:t xml:space="preserve">environment can provide instant visual feedback on the impact of</w:t>
      </w:r>
      <w:r>
        <w:t xml:space="preserve"> </w:t>
      </w:r>
      <w:r>
        <w:t xml:space="preserve">modifications to processing or analyses. While some GUI-based tools do</w:t>
      </w:r>
      <w:r>
        <w:t xml:space="preserve"> </w:t>
      </w:r>
      <w:r>
        <w:t xml:space="preserve">offer command-line access to generate visualisations, they can lack</w:t>
      </w:r>
      <w:r>
        <w:t xml:space="preserve"> </w:t>
      </w:r>
      <w:r>
        <w:t xml:space="preserve">flexibility to easily generate publication ready figures and can lose</w:t>
      </w:r>
      <w:r>
        <w:t xml:space="preserve"> </w:t>
      </w:r>
      <w:r>
        <w:t xml:space="preserve">the benefits provided by your preferred programming environment.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notebooks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Journals that publish neuroimaging studies are increasingly</w:t>
      </w:r>
      <w:r>
        <w:t xml:space="preserve"> </w:t>
      </w:r>
      <w:r>
        <w:t xml:space="preserve">moving towards allowing reproducible manuscripts, including reproducible</w:t>
      </w:r>
      <w:r>
        <w:t xml:space="preserve"> </w:t>
      </w:r>
      <w:r>
        <w:t xml:space="preserve">figures (cite e-life,f1000,plos), with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dimensional (e.g. fMRI data). Thus, communicating</w:t>
      </w:r>
      <w:r>
        <w:t xml:space="preserve"> </w:t>
      </w:r>
      <w:r>
        <w:t xml:space="preserve">findings or evaluating quality using static 2D slices is</w:t>
      </w:r>
      <w:r>
        <w:t xml:space="preserve"> </w:t>
      </w:r>
      <w:r>
        <w:t xml:space="preserve">challenging. While well-curated 3D renderings can help with spatial</w:t>
      </w:r>
      <w:r>
        <w:t xml:space="preserve"> </w:t>
      </w:r>
      <w:r>
        <w:t xml:space="preserve">localisation (cite madan), in the end, static images can only provide an</w:t>
      </w:r>
      <w:r>
        <w:t xml:space="preserve"> </w:t>
      </w:r>
      <w:r>
        <w:t xml:space="preserve">incomplete representation of the data. A added advantage of some of</w:t>
      </w:r>
      <w:r>
        <w:t xml:space="preserve"> </w:t>
      </w:r>
      <w:r>
        <w:t xml:space="preserve">code-based tools is that you 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</w:t>
      </w:r>
      <w:r>
        <w:t xml:space="preserve"> </w:t>
      </w:r>
      <w:r>
        <w:t xml:space="preserve">figures or animations, which can improve scientific communication of</w:t>
      </w:r>
      <w:r>
        <w:t xml:space="preserve"> </w:t>
      </w:r>
      <w:r>
        <w:t xml:space="preserve">findings. Many code-based software tools now allow for the generation of</w:t>
      </w:r>
      <w:r>
        <w:t xml:space="preserve"> </w:t>
      </w:r>
      <w:r>
        <w:t xml:space="preserve">animated brain visualisations (cite blog) or interactive widgets which</w:t>
      </w:r>
      <w:r>
        <w:t xml:space="preserve"> </w:t>
      </w:r>
      <w:r>
        <w:t xml:space="preserve">allow users to zoom, rotate and scroll through slices. Linking to or</w:t>
      </w:r>
      <w:r>
        <w:t xml:space="preserve"> </w:t>
      </w:r>
      <w:r>
        <w:t xml:space="preserve">even embedding these videos or interactive figures in papers can greatly</w:t>
      </w:r>
      <w:r>
        <w:t xml:space="preserve"> </w:t>
      </w:r>
      <w:r>
        <w:t xml:space="preserve">enhance the communication of findings.</w:t>
      </w:r>
    </w:p>
    <w:bookmarkEnd w:id="23"/>
    <w:bookmarkStart w:id="28" w:name="Xbfec3e275e633d4fe12400e84812cadf0bd9576"/>
    <w:p>
      <w:pPr>
        <w:pStyle w:val="Heading3"/>
      </w:pPr>
      <w:r>
        <w:t xml:space="preserve">Examples of neuroimaging visualisation packages available in R</w:t>
      </w:r>
    </w:p>
    <w:bookmarkStart w:id="24" w:name="voxel-level-visualisations."/>
    <w:p>
      <w:pPr>
        <w:pStyle w:val="Heading5"/>
      </w:pPr>
      <w:r>
        <w:rPr>
          <w:iCs/>
          <w:i/>
        </w:rP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</w:t>
      </w:r>
      <w:r>
        <w:t xml:space="preserve"> </w:t>
      </w:r>
      <w:r>
        <w:rPr>
          <w:iCs/>
          <w:i/>
        </w:rPr>
        <w:t xml:space="preserve">nifti</w:t>
      </w:r>
      <w:r>
        <w:t xml:space="preserve">,</w:t>
      </w:r>
      <w:r>
        <w:t xml:space="preserve"> </w:t>
      </w:r>
      <w:r>
        <w:rPr>
          <w:iCs/>
          <w:i/>
        </w:rPr>
        <w:t xml:space="preserve">analyze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afni</w:t>
      </w:r>
      <w:r>
        <w:t xml:space="preserve"> </w:t>
      </w:r>
      <w:r>
        <w:t xml:space="preserve">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</w:t>
      </w:r>
      <w:r>
        <w:t xml:space="preserve"> </w:t>
      </w:r>
      <w:r>
        <w:t xml:space="preserve">slices in the desired orientations, while also providing precise control</w:t>
      </w:r>
      <w:r>
        <w:t xml:space="preserve"> </w:t>
      </w:r>
      <w:r>
        <w:t xml:space="preserve">over overlaied images, colour scales, legend placement and other</w:t>
      </w:r>
      <w:r>
        <w:t xml:space="preserve"> </w:t>
      </w:r>
      <w:r>
        <w:t xml:space="preserve">aesthetic settings (Fig 1A). Smoothing and re-sampling of images is</w:t>
      </w:r>
      <w:r>
        <w:t xml:space="preserve"> </w:t>
      </w:r>
      <w:r>
        <w:t xml:space="preserve">sometimes required for visualisation purposes, which can be achieved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  <w:iCs/>
          <w:i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bookmarkEnd w:id="24"/>
    <w:bookmarkStart w:id="25" w:name="vertex-level-visualisations."/>
    <w:p>
      <w:pPr>
        <w:pStyle w:val="Heading5"/>
      </w:pPr>
      <w:r>
        <w:rPr>
          <w:iCs/>
          <w:i/>
        </w:rP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obtained using Freesurfer. It contains</w:t>
      </w:r>
      <w:r>
        <w:t xml:space="preserve"> </w:t>
      </w:r>
      <w:r>
        <w:t xml:space="preserve">many flexible functions for visualising individual-level and group-level</w:t>
      </w:r>
      <w:r>
        <w:t xml:space="preserve"> </w:t>
      </w:r>
      <w:r>
        <w:t xml:space="preserve">measures such as cortical thickness, volume or surface area (Fig 1B).</w:t>
      </w:r>
      <w:r>
        <w:t xml:space="preserve"> </w:t>
      </w:r>
      <w:r>
        <w:t xml:space="preserve">The package also comes with extensive guides and documentations to</w:t>
      </w:r>
      <w:r>
        <w:t xml:space="preserve"> </w:t>
      </w:r>
      <w:r>
        <w:t xml:space="preserve">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 the cerebellum and sub-cortex. In</w:t>
      </w:r>
      <w:r>
        <w:t xml:space="preserve"> </w:t>
      </w:r>
      <w:r>
        <w:t xml:space="preserve">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1C; cite).</w:t>
      </w:r>
    </w:p>
    <w:bookmarkEnd w:id="25"/>
    <w:bookmarkStart w:id="26" w:name="roi-level-visualisations."/>
    <w:p>
      <w:pPr>
        <w:pStyle w:val="Heading5"/>
      </w:pPr>
      <w:r>
        <w:rPr>
          <w:iCs/>
          <w:i/>
        </w:rP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subcortical and white matter ROIs in 2D and 3D (Fig 1D). Usually,</w:t>
      </w:r>
      <w:r>
        <w:t xml:space="preserve"> </w:t>
      </w:r>
      <w:r>
        <w:t xml:space="preserve">ROI-level interpretations are dependent on a standerdised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 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6"/>
    <w:bookmarkStart w:id="27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27"/>
    <w:bookmarkEnd w:id="28"/>
    <w:bookmarkStart w:id="30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strond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1"/>
          <w:numId w:val="1002"/>
        </w:numPr>
        <w:pStyle w:val="Compact"/>
      </w:pPr>
      <w:r>
        <w:t xml:space="preserve">But fsbrain has a function;</w:t>
      </w:r>
      <w:r>
        <w:t xml:space="preserve"> </w:t>
      </w:r>
      <w:hyperlink r:id="rId29">
        <w:r>
          <w:rPr>
            <w:rStyle w:val="Hyperlink"/>
          </w:rPr>
          <w:t xml:space="preserve">https://github.com/dfsp-spirit/fsbrain/blob/cb1b9d667a9449b214b20f6420038af2541e48b4/R/vis_dti_tracks.R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t xml:space="preserve">For tools which require non-standard or uncommon atlases or ROIs.</w:t>
      </w:r>
    </w:p>
    <w:p>
      <w:pPr>
        <w:numPr>
          <w:ilvl w:val="1"/>
          <w:numId w:val="1003"/>
        </w:numPr>
        <w:pStyle w:val="Compact"/>
      </w:pPr>
      <w:r>
        <w:t xml:space="preserve">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 easier, as long as</w:t>
      </w:r>
      <w:r>
        <w:t xml:space="preserve"> </w:t>
      </w:r>
      <w:r>
        <w:t xml:space="preserve">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</w:t>
      </w:r>
    </w:p>
    <w:p>
      <w:pPr>
        <w:numPr>
          <w:ilvl w:val="1"/>
          <w:numId w:val="1004"/>
        </w:numPr>
        <w:pStyle w:val="Compact"/>
      </w:pPr>
      <w:r>
        <w:t xml:space="preserve">Have to use complex tools like pyVista</w:t>
      </w:r>
    </w:p>
    <w:bookmarkEnd w:id="30"/>
    <w:bookmarkStart w:id="39" w:name="figure-1"/>
    <w:p>
      <w:pPr>
        <w:pStyle w:val="Heading3"/>
      </w:pPr>
      <w:r>
        <w:t xml:space="preserve">Figure 1</w:t>
      </w:r>
    </w:p>
    <w:p>
      <w:pPr>
        <w:numPr>
          <w:ilvl w:val="0"/>
          <w:numId w:val="1005"/>
        </w:numPr>
        <w:pStyle w:val="Compact"/>
      </w:pPr>
      <w:r>
        <w:t xml:space="preserve">The below figures will be combined into a multi-panel figure with</w:t>
      </w:r>
      <w:r>
        <w:t xml:space="preserve"> </w:t>
      </w:r>
      <w:r>
        <w:t xml:space="preserve">the corresponding code underneath.</w:t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Using this Workbench path: '/Applications/workbench/bin_macosx64/wb_command'.</w:t>
      </w:r>
    </w:p>
    <w:p>
      <w:pPr>
        <w:pStyle w:val="SourceCode"/>
      </w:pP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surfL_fname)</w:t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"lateral"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"fsbrain"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fsbrain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vis.subject.morph.native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subjects_dir =</w:t>
      </w:r>
      <w:r>
        <w:rPr>
          <w:rStyle w:val="NormalTok"/>
        </w:rPr>
        <w:t xml:space="preserve"> subjects_dir,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subject_id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'thickness'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hemi=</w:t>
      </w:r>
      <w:r>
        <w:rPr>
          <w:rStyle w:val="StringTok"/>
        </w:rPr>
        <w:t xml:space="preserve">'both'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views=</w:t>
      </w:r>
      <w:r>
        <w:rPr>
          <w:rStyle w:val="StringTok"/>
        </w:rPr>
        <w:t xml:space="preserve">"t4"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draw_colorbar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NormalTok"/>
        </w:rPr>
        <w:t xml:space="preserve">cowplot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plot_grid</w:t>
      </w:r>
      <w:r>
        <w:rPr>
          <w:rStyle w:val="NormalTok"/>
        </w:rPr>
        <w:t xml:space="preserve">(cortex, subcortex,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rel_widths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7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8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 &amp; [coauthors]</dc:creator>
  <cp:keywords/>
  <dcterms:created xsi:type="dcterms:W3CDTF">2022-03-18T03:12:06Z</dcterms:created>
  <dcterms:modified xsi:type="dcterms:W3CDTF">2022-03-18T03:12:06Z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