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VISTA Phase 2 — Master Technical Plan</w:t>
      </w:r>
    </w:p>
    <w:p>
      <w:pPr>
        <w:jc w:val="center"/>
      </w:pPr>
      <w:r>
        <w:rPr>
          <w:i/>
        </w:rPr>
        <w:t>Shared discussion and implementation direction | SIH 2026</w:t>
      </w:r>
    </w:p>
    <w:p/>
    <w:p>
      <w:r>
        <w:t>Purpose: establish one technically defensible direction for VISTA before the team splits implementation work. This document deliberately does not cover the SIH Grand Finale execution plan or the 36-hour final-round strategy.</w:t>
      </w:r>
    </w:p>
    <w:p>
      <w:pPr>
        <w:pStyle w:val="Heading1"/>
      </w:pPr>
      <w:r>
        <w:t>1. Where VISTA stands after the research</w:t>
      </w:r>
    </w:p>
    <w:p>
      <w:r>
        <w:t>VISTA Phase 1 is a working browser-based disaster-impact prototype: it ingests before/after satellite imagery, performs pixel-level temporal change detection, displays a 32×32 spatial grid, and exports reports/CSV. The research shows that satellite disaster assessment itself is established. Closely related systems include Microsoft HASTE, UN/Google DISHA, UNOSAT rapid damage products, xBD, and browser-based change-detection projects.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Phase 1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Phase 2 target</w:t>
            </w:r>
          </w:p>
        </w:tc>
      </w:tr>
      <w:tr>
        <w:tc>
          <w:tcPr>
            <w:tcW w:type="dxa" w:w="3360"/>
          </w:tcPr>
          <w:p>
            <w:r>
              <w:t>Detection</w:t>
            </w:r>
          </w:p>
        </w:tc>
        <w:tc>
          <w:tcPr>
            <w:tcW w:type="dxa" w:w="3360"/>
          </w:tcPr>
          <w:p>
            <w:r>
              <w:t>Pixel difference heuristic</w:t>
            </w:r>
          </w:p>
        </w:tc>
        <w:tc>
          <w:tcPr>
            <w:tcW w:type="dxa" w:w="3360"/>
          </w:tcPr>
          <w:p>
            <w:r>
              <w:t>Earth-observation foundation model + multimodal change analysis</w:t>
            </w:r>
          </w:p>
        </w:tc>
      </w:tr>
      <w:tr>
        <w:tc>
          <w:tcPr>
            <w:tcW w:type="dxa" w:w="3360"/>
          </w:tcPr>
          <w:p>
            <w:r>
              <w:t>Data</w:t>
            </w:r>
          </w:p>
        </w:tc>
        <w:tc>
          <w:tcPr>
            <w:tcW w:type="dxa" w:w="3360"/>
          </w:tcPr>
          <w:p>
            <w:r>
              <w:t>RGB imagery</w:t>
            </w:r>
          </w:p>
        </w:tc>
        <w:tc>
          <w:tcPr>
            <w:tcW w:type="dxa" w:w="3360"/>
          </w:tcPr>
          <w:p>
            <w:r>
              <w:t>Sentinel-1 SAR + Sentinel-2 multispectral; EOS-05-ready adapter</w:t>
            </w:r>
          </w:p>
        </w:tc>
      </w:tr>
      <w:tr>
        <w:tc>
          <w:tcPr>
            <w:tcW w:type="dxa" w:w="3360"/>
          </w:tcPr>
          <w:p>
            <w:r>
              <w:t>Output</w:t>
            </w:r>
          </w:p>
        </w:tc>
        <w:tc>
          <w:tcPr>
            <w:tcW w:type="dxa" w:w="3360"/>
          </w:tcPr>
          <w:p>
            <w:r>
              <w:t>Heuristic sector severity</w:t>
            </w:r>
          </w:p>
        </w:tc>
        <w:tc>
          <w:tcPr>
            <w:tcW w:type="dxa" w:w="3360"/>
          </w:tcPr>
          <w:p>
            <w:r>
              <w:t>Impact/damage probability + confidence + priority</w:t>
            </w:r>
          </w:p>
        </w:tc>
      </w:tr>
      <w:tr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Visual inspection</w:t>
            </w:r>
          </w:p>
        </w:tc>
        <w:tc>
          <w:tcPr>
            <w:tcW w:type="dxa" w:w="3360"/>
          </w:tcPr>
          <w:p>
            <w:r>
              <w:t>Held-out evaluation, F1, IoU, confusion matrix, ablations</w:t>
            </w:r>
          </w:p>
        </w:tc>
      </w:tr>
      <w:tr>
        <w:tc>
          <w:tcPr>
            <w:tcW w:type="dxa" w:w="3360"/>
          </w:tcPr>
          <w:p>
            <w:r>
              <w:t>Positioning</w:t>
            </w:r>
          </w:p>
        </w:tc>
        <w:tc>
          <w:tcPr>
            <w:tcW w:type="dxa" w:w="3360"/>
          </w:tcPr>
          <w:p>
            <w:r>
              <w:t>Structural damage claim</w:t>
            </w:r>
          </w:p>
        </w:tc>
        <w:tc>
          <w:tcPr>
            <w:tcW w:type="dxa" w:w="3360"/>
          </w:tcPr>
          <w:p>
            <w:r>
              <w:t>Rapid disaster-impact triage with optional building-level assessment</w:t>
            </w:r>
          </w:p>
        </w:tc>
      </w:tr>
    </w:tbl>
    <w:p/>
    <w:p>
      <w:r>
        <w:rPr>
          <w:b/>
        </w:rPr>
        <w:t xml:space="preserve">Important: </w:t>
      </w:r>
      <w:r>
        <w:t>The key positioning change is important: VISTA should not claim that a raw 10 m Sentinel-2 spectral difference directly proves that an individual building is structurally destroyed. It estimates observable impact and prioritizes areas for more precise assessment.</w:t>
      </w:r>
    </w:p>
    <w:p>
      <w:pPr>
        <w:pStyle w:val="Heading1"/>
      </w:pPr>
      <w:r>
        <w:t>2. What is actually novel about VISTA</w:t>
      </w:r>
    </w:p>
    <w:p>
      <w:pPr>
        <w:pStyle w:val="ListBullet"/>
      </w:pPr>
      <w:r>
        <w:t>The underlying task is not novel. Pre/post satellite change detection, building damage assessment, grid-based triage, and humanitarian mapping already exist.</w:t>
      </w:r>
    </w:p>
    <w:p>
      <w:pPr>
        <w:pStyle w:val="ListBullet"/>
      </w:pPr>
      <w:r>
        <w:t>The useful engineering contribution is the combination: browser-first product, India-focused disaster presets, low-cost/open satellite inputs, multimodal triage, confidence/evidence presentation, and a pathway from rapid regional screening to precision assessment.</w:t>
      </w:r>
    </w:p>
    <w:p>
      <w:pPr>
        <w:pStyle w:val="ListBullet"/>
      </w:pPr>
      <w:r>
        <w:t>The strongest differentiator should be sensor complementarity rather than claiming a new damage-detection algorithm.</w:t>
      </w:r>
    </w:p>
    <w:p>
      <w:pPr>
        <w:pStyle w:val="ListBullet"/>
      </w:pPr>
      <w:r>
        <w:t>VISTA should be framed as a decision-support layer: it tells responders where to investigate first, rather than replacing field teams or high-resolution building assessment.</w:t>
      </w:r>
    </w:p>
    <w:p>
      <w:pPr>
        <w:pStyle w:val="Heading1"/>
      </w:pPr>
      <w:r>
        <w:t>3. Target architecture</w:t>
      </w:r>
    </w:p>
    <w:p>
      <w:pPr>
        <w:spacing w:after="120"/>
        <w:ind w:left="360" w:right="360"/>
      </w:pPr>
      <w:r>
        <w:rPr>
          <w:rFonts w:ascii="Consolas" w:hAnsi="Consolas"/>
          <w:sz w:val="17"/>
        </w:rPr>
        <w:t>EOS-05 (when authorized data access is available)</w:t>
        <w:br/>
        <w:t xml:space="preserve">        │</w:t>
        <w:br/>
        <w:t xml:space="preserve">        ▼</w:t>
        <w:br/>
        <w:t>Rapid temporal/event signal</w:t>
        <w:br/>
        <w:t xml:space="preserve">        │</w:t>
        <w:br/>
        <w:t xml:space="preserve">        ├───────────────┐</w:t>
        <w:br/>
        <w:t xml:space="preserve">        ▼               ▼</w:t>
        <w:br/>
        <w:t>Sentinel-1 SAR     Sentinel-2 MSI</w:t>
        <w:br/>
        <w:t>all-weather        multispectral</w:t>
        <w:br/>
        <w:t xml:space="preserve">        │               │</w:t>
        <w:br/>
        <w:t xml:space="preserve">        └───────┬───────┘</w:t>
        <w:br/>
        <w:t xml:space="preserve">                ▼</w:t>
        <w:br/>
        <w:t xml:space="preserve">      Geospatial preprocessing</w:t>
        <w:br/>
        <w:t xml:space="preserve">  co-registration / cloud masking /</w:t>
        <w:br/>
        <w:t xml:space="preserve">  normalization / SAR preparation</w:t>
        <w:br/>
        <w:t xml:space="preserve">                │</w:t>
        <w:br/>
        <w:t xml:space="preserve">                ▼</w:t>
        <w:br/>
        <w:t xml:space="preserve">       Impact/change model</w:t>
        <w:br/>
        <w:t xml:space="preserve">       Prithvi-based or</w:t>
        <w:br/>
        <w:t xml:space="preserve">       task-specific segmentation</w:t>
        <w:br/>
        <w:t xml:space="preserve">                │</w:t>
        <w:br/>
        <w:t xml:space="preserve">                ▼</w:t>
        <w:br/>
        <w:t xml:space="preserve">   Impact / damage probability map</w:t>
        <w:br/>
        <w:t xml:space="preserve">                │</w:t>
        <w:br/>
        <w:t xml:space="preserve">                ▼</w:t>
        <w:br/>
        <w:t xml:space="preserve"> Confidence + evidence engine</w:t>
        <w:br/>
        <w:t xml:space="preserve">                │</w:t>
        <w:br/>
        <w:t xml:space="preserve">                ▼</w:t>
        <w:br/>
        <w:t xml:space="preserve">        32×32 priority grid</w:t>
        <w:br/>
        <w:t xml:space="preserve">                │</w:t>
        <w:br/>
        <w:t xml:space="preserve">        ┌───────┴────────┐</w:t>
        <w:br/>
        <w:t xml:space="preserve">        ▼                ▼</w:t>
        <w:br/>
        <w:t xml:space="preserve">   GIS / CSV          PDF report</w:t>
        <w:br/>
      </w:r>
    </w:p>
    <w:p>
      <w:pPr>
        <w:pStyle w:val="Heading1"/>
      </w:pPr>
      <w:r>
        <w:t>4. Sensor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Sensor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Role in VISTA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Important limitation</w:t>
            </w:r>
          </w:p>
        </w:tc>
      </w:tr>
      <w:tr>
        <w:tc>
          <w:tcPr>
            <w:tcW w:type="dxa" w:w="3360"/>
          </w:tcPr>
          <w:p>
            <w:r>
              <w:t>Sentinel-1 SAR</w:t>
            </w:r>
          </w:p>
        </w:tc>
        <w:tc>
          <w:tcPr>
            <w:tcW w:type="dxa" w:w="3360"/>
          </w:tcPr>
          <w:p>
            <w:r>
              <w:t>Cloud/night robustness; flood and surface-change evidence</w:t>
            </w:r>
          </w:p>
        </w:tc>
        <w:tc>
          <w:tcPr>
            <w:tcW w:type="dxa" w:w="3360"/>
          </w:tcPr>
          <w:p>
            <w:r>
              <w:t>Interpretation is different from optical imagery; speckle and geometry matter</w:t>
            </w:r>
          </w:p>
        </w:tc>
      </w:tr>
      <w:tr>
        <w:tc>
          <w:tcPr>
            <w:tcW w:type="dxa" w:w="3360"/>
          </w:tcPr>
          <w:p>
            <w:r>
              <w:t>Sentinel-2</w:t>
            </w:r>
          </w:p>
        </w:tc>
        <w:tc>
          <w:tcPr>
            <w:tcW w:type="dxa" w:w="3360"/>
          </w:tcPr>
          <w:p>
            <w:r>
              <w:t>10 m-class optical/multispectral context; NIR/SWIR useful for water, vegetation and burn-related change</w:t>
            </w:r>
          </w:p>
        </w:tc>
        <w:tc>
          <w:tcPr>
            <w:tcW w:type="dxa" w:w="3360"/>
          </w:tcPr>
          <w:p>
            <w:r>
              <w:t>Clouds, smoke, daylight and revisit constraints</w:t>
            </w:r>
          </w:p>
        </w:tc>
      </w:tr>
      <w:tr>
        <w:tc>
          <w:tcPr>
            <w:tcW w:type="dxa" w:w="3360"/>
          </w:tcPr>
          <w:p>
            <w:r>
              <w:t>EOS-05</w:t>
            </w:r>
          </w:p>
        </w:tc>
        <w:tc>
          <w:tcPr>
            <w:tcW w:type="dxa" w:w="3360"/>
          </w:tcPr>
          <w:p>
            <w:r>
              <w:t>Potential high-temporal event monitoring over India; trigger/temporal context</w:t>
            </w:r>
          </w:p>
        </w:tc>
        <w:tc>
          <w:tcPr>
            <w:tcW w:type="dxa" w:w="3360"/>
          </w:tcPr>
          <w:p>
            <w:r>
              <w:t>Approx. 42 m multispectral resolution; actual operational data access/distribution must be verified</w:t>
            </w:r>
          </w:p>
        </w:tc>
      </w:tr>
    </w:tbl>
    <w:p/>
    <w:p>
      <w:r>
        <w:t>EOS-05 was successfully launched on September 4, 2026. Current reporting describes imaging selected areas as frequently as every 5 minutes and the Indian landmass roughly every 30 minutes at about 42 m resolution. ISRO's official mission page confirms the launch and mission, but an open student API/data feed at that cadence has not been established in the sources reviewed. Therefore VISTA should build an EOS-05 ingestion adapter without promising live public access until NRSC/ISRO confirms the dissemination mechanism.</w:t>
      </w:r>
    </w:p>
    <w:p>
      <w:pPr>
        <w:pStyle w:val="Heading1"/>
      </w:pPr>
      <w:r>
        <w:t>5. Dataset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What it should teach VISTA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What it cannot provide</w:t>
            </w:r>
          </w:p>
        </w:tc>
      </w:tr>
      <w:tr>
        <w:tc>
          <w:tcPr>
            <w:tcW w:type="dxa" w:w="3360"/>
          </w:tcPr>
          <w:p>
            <w:r>
              <w:t>xBD / xView2</w:t>
            </w:r>
          </w:p>
        </w:tc>
        <w:tc>
          <w:tcPr>
            <w:tcW w:type="dxa" w:w="3360"/>
          </w:tcPr>
          <w:p>
            <w:r>
              <w:t>Building-damage supervision from pre/post RGB satellite imagery; four damage classes</w:t>
            </w:r>
          </w:p>
        </w:tc>
        <w:tc>
          <w:tcPr>
            <w:tcW w:type="dxa" w:w="3360"/>
          </w:tcPr>
          <w:p>
            <w:r>
              <w:t>It is not a Sentinel-1/2 multispectral dataset, so it cannot directly supervise SAR+NIR+SWIR inputs</w:t>
            </w:r>
          </w:p>
        </w:tc>
      </w:tr>
      <w:tr>
        <w:tc>
          <w:tcPr>
            <w:tcW w:type="dxa" w:w="3360"/>
          </w:tcPr>
          <w:p>
            <w:r>
              <w:t>Sen1Floods11</w:t>
            </w:r>
          </w:p>
        </w:tc>
        <w:tc>
          <w:tcPr>
            <w:tcW w:type="dxa" w:w="3360"/>
          </w:tcPr>
          <w:p>
            <w:r>
              <w:t>Sentinel-1 + Sentinel-2 flood segmentation and multimodal preprocessing patterns</w:t>
            </w:r>
          </w:p>
        </w:tc>
        <w:tc>
          <w:tcPr>
            <w:tcW w:type="dxa" w:w="3360"/>
          </w:tcPr>
          <w:p>
            <w:r>
              <w:t>It is flood/water focused, not a four-class building-damage dataset</w:t>
            </w:r>
          </w:p>
        </w:tc>
      </w:tr>
      <w:tr>
        <w:tc>
          <w:tcPr>
            <w:tcW w:type="dxa" w:w="3360"/>
          </w:tcPr>
          <w:p>
            <w:r>
              <w:t>Sentinel-1/2 disaster pairs</w:t>
            </w:r>
          </w:p>
        </w:tc>
        <w:tc>
          <w:tcPr>
            <w:tcW w:type="dxa" w:w="3360"/>
          </w:tcPr>
          <w:p>
            <w:r>
              <w:t>Real VISTA sensor pipeline and inference testing</w:t>
            </w:r>
          </w:p>
        </w:tc>
        <w:tc>
          <w:tcPr>
            <w:tcW w:type="dxa" w:w="3360"/>
          </w:tcPr>
          <w:p>
            <w:r>
              <w:t>Usually unlabeled, so they require labels or proxy evaluation</w:t>
            </w:r>
          </w:p>
        </w:tc>
      </w:tr>
      <w:tr>
        <w:tc>
          <w:tcPr>
            <w:tcW w:type="dxa" w:w="3360"/>
          </w:tcPr>
          <w:p>
            <w:r>
              <w:t>Bhoonidhi / Indian EO data</w:t>
            </w:r>
          </w:p>
        </w:tc>
        <w:tc>
          <w:tcPr>
            <w:tcW w:type="dxa" w:w="3360"/>
          </w:tcPr>
          <w:p>
            <w:r>
              <w:t>India-specific imagery and future operational data access</w:t>
            </w:r>
          </w:p>
        </w:tc>
        <w:tc>
          <w:tcPr>
            <w:tcW w:type="dxa" w:w="3360"/>
          </w:tcPr>
          <w:p>
            <w:r>
              <w:t>Availability, licensing and product access vary by collection</w:t>
            </w:r>
          </w:p>
        </w:tc>
      </w:tr>
    </w:tbl>
    <w:p/>
    <w:p>
      <w:r>
        <w:t>Sen1Floods11 provides 512×512, 10 m GeoTIFF chips with Sentinel-1 VV/VH and Sentinel-2 bands, plus hand-labelled water masks. Prithvi-EO-2.0's official repository explicitly lists Sen1Floods11 as a downstream fine-tuning example.</w:t>
      </w:r>
    </w:p>
    <w:p>
      <w:pPr>
        <w:pStyle w:val="Heading1"/>
      </w:pPr>
      <w:r>
        <w:t>6. Correct interpretation of '17-point F1 improvement'</w:t>
      </w:r>
    </w:p>
    <w:p>
      <w:r>
        <w:t>This is an experiment result, not something we should claim before measuring it. Suppose an RGB-only baseline gets F1 = 0.61 and an RGB+NIR+SWIR+SAR model gets F1 = 0.78. The difference is 0.17, commonly described as a 17-percentage-point improvement in F1. It is not the same as saying '17% more accurate.'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Example F1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t>A</w:t>
            </w:r>
          </w:p>
        </w:tc>
        <w:tc>
          <w:tcPr>
            <w:tcW w:type="dxa" w:w="2520"/>
          </w:tcPr>
          <w:p>
            <w:r>
              <w:t>RGB</w:t>
            </w:r>
          </w:p>
        </w:tc>
        <w:tc>
          <w:tcPr>
            <w:tcW w:type="dxa" w:w="2520"/>
          </w:tcPr>
          <w:p>
            <w:r>
              <w:t>0.61</w:t>
            </w:r>
          </w:p>
        </w:tc>
        <w:tc>
          <w:tcPr>
            <w:tcW w:type="dxa" w:w="2520"/>
          </w:tcPr>
          <w:p>
            <w:r>
              <w:t>Baseline</w:t>
            </w:r>
          </w:p>
        </w:tc>
      </w:tr>
      <w:tr>
        <w:tc>
          <w:tcPr>
            <w:tcW w:type="dxa" w:w="2520"/>
          </w:tcPr>
          <w:p>
            <w:r>
              <w:t>B</w:t>
            </w:r>
          </w:p>
        </w:tc>
        <w:tc>
          <w:tcPr>
            <w:tcW w:type="dxa" w:w="2520"/>
          </w:tcPr>
          <w:p>
            <w:r>
              <w:t>RGB + NIR</w:t>
            </w:r>
          </w:p>
        </w:tc>
        <w:tc>
          <w:tcPr>
            <w:tcW w:type="dxa" w:w="2520"/>
          </w:tcPr>
          <w:p>
            <w:r>
              <w:t>0.66</w:t>
            </w:r>
          </w:p>
        </w:tc>
        <w:tc>
          <w:tcPr>
            <w:tcW w:type="dxa" w:w="2520"/>
          </w:tcPr>
          <w:p>
            <w:r>
              <w:t>Measure NIR contribution</w:t>
            </w:r>
          </w:p>
        </w:tc>
      </w:tr>
      <w:tr>
        <w:tc>
          <w:tcPr>
            <w:tcW w:type="dxa" w:w="2520"/>
          </w:tcPr>
          <w:p>
            <w:r>
              <w:t>C</w:t>
            </w:r>
          </w:p>
        </w:tc>
        <w:tc>
          <w:tcPr>
            <w:tcW w:type="dxa" w:w="2520"/>
          </w:tcPr>
          <w:p>
            <w:r>
              <w:t>RGB + NIR + SWIR</w:t>
            </w:r>
          </w:p>
        </w:tc>
        <w:tc>
          <w:tcPr>
            <w:tcW w:type="dxa" w:w="2520"/>
          </w:tcPr>
          <w:p>
            <w:r>
              <w:t>0.71</w:t>
            </w:r>
          </w:p>
        </w:tc>
        <w:tc>
          <w:tcPr>
            <w:tcW w:type="dxa" w:w="2520"/>
          </w:tcPr>
          <w:p>
            <w:r>
              <w:t>Measure SWIR contribution</w:t>
            </w:r>
          </w:p>
        </w:tc>
      </w:tr>
      <w:tr>
        <w:tc>
          <w:tcPr>
            <w:tcW w:type="dxa" w:w="2520"/>
          </w:tcPr>
          <w:p>
            <w:r>
              <w:t>D</w:t>
            </w:r>
          </w:p>
        </w:tc>
        <w:tc>
          <w:tcPr>
            <w:tcW w:type="dxa" w:w="2520"/>
          </w:tcPr>
          <w:p>
            <w:r>
              <w:t>RGB + NIR + SWIR + SAR</w:t>
            </w:r>
          </w:p>
        </w:tc>
        <w:tc>
          <w:tcPr>
            <w:tcW w:type="dxa" w:w="2520"/>
          </w:tcPr>
          <w:p>
            <w:r>
              <w:t>0.78</w:t>
            </w:r>
          </w:p>
        </w:tc>
        <w:tc>
          <w:tcPr>
            <w:tcW w:type="dxa" w:w="2520"/>
          </w:tcPr>
          <w:p>
            <w:r>
              <w:t>Measure multimodal benefit</w:t>
            </w:r>
          </w:p>
        </w:tc>
      </w:tr>
    </w:tbl>
    <w:p/>
    <w:p>
      <w:r>
        <w:t>The numbers above are illustrative only. The team must replace them with measured results. A real ablation table is valuable because it answers the judge's question: 'Why did you add these bands?'</w:t>
      </w:r>
    </w:p>
    <w:p>
      <w:pPr>
        <w:pStyle w:val="Heading1"/>
      </w:pPr>
      <w:r>
        <w:t>7. Prithvi direction</w:t>
      </w:r>
    </w:p>
    <w:p>
      <w:r>
        <w:t>Prithvi-EO-2.0-300M is a 300M-parameter Earth-observation foundation model. Its official model card says it was pretrained on HLS data at 30 m resolution using six bands in the order Blue, Green, Red, Narrow NIR, SWIR, SWIR 2. The standard 300M checkpoint therefore should not be described as a native 13-band Sentinel-2 model or as a SAR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Idea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3360"/>
          </w:tcPr>
          <w:p>
            <w:r>
              <w:t>A: Single-time segmentation</w:t>
            </w:r>
          </w:p>
        </w:tc>
        <w:tc>
          <w:tcPr>
            <w:tcW w:type="dxa" w:w="3360"/>
          </w:tcPr>
          <w:p>
            <w:r>
              <w:t>One multispectral image → segmentation head</w:t>
            </w:r>
          </w:p>
        </w:tc>
        <w:tc>
          <w:tcPr>
            <w:tcW w:type="dxa" w:w="3360"/>
          </w:tcPr>
          <w:p>
            <w:r>
              <w:t>Best first experiment; simplest path to a working Prithvi pipeline</w:t>
            </w:r>
          </w:p>
        </w:tc>
      </w:tr>
      <w:tr>
        <w:tc>
          <w:tcPr>
            <w:tcW w:type="dxa" w:w="3360"/>
          </w:tcPr>
          <w:p>
            <w:r>
              <w:t>B: Temporal feature comparison</w:t>
            </w:r>
          </w:p>
        </w:tc>
        <w:tc>
          <w:tcPr>
            <w:tcW w:type="dxa" w:w="3360"/>
          </w:tcPr>
          <w:p>
            <w:r>
              <w:t>Encode before and after separately, compare features, decode damage</w:t>
            </w:r>
          </w:p>
        </w:tc>
        <w:tc>
          <w:tcPr>
            <w:tcW w:type="dxa" w:w="3360"/>
          </w:tcPr>
          <w:p>
            <w:r>
              <w:t>Good research direction but custom architecture and more integration work</w:t>
            </w:r>
          </w:p>
        </w:tc>
      </w:tr>
      <w:tr>
        <w:tc>
          <w:tcPr>
            <w:tcW w:type="dxa" w:w="3360"/>
          </w:tcPr>
          <w:p>
            <w:r>
              <w:t>C: Temporal Prithvi input</w:t>
            </w:r>
          </w:p>
        </w:tc>
        <w:tc>
          <w:tcPr>
            <w:tcW w:type="dxa" w:w="3360"/>
          </w:tcPr>
          <w:p>
            <w:r>
              <w:t>Use Prithvi's temporal design to provide multiple time steps</w:t>
            </w:r>
          </w:p>
        </w:tc>
        <w:tc>
          <w:tcPr>
            <w:tcW w:type="dxa" w:w="3360"/>
          </w:tcPr>
          <w:p>
            <w:r>
              <w:t>Most aligned with Prithvi's design; requires dataset formatting compatible with the model</w:t>
            </w:r>
          </w:p>
        </w:tc>
      </w:tr>
    </w:tbl>
    <w:p/>
    <w:p>
      <w:r>
        <w:rPr>
          <w:b/>
        </w:rPr>
        <w:t xml:space="preserve">Important: </w:t>
      </w:r>
      <w:r>
        <w:t>Do not choose B or C merely because they sound more advanced. Start with A using an official TerraTorch example, prove the training pipeline, then evaluate whether temporal modelling is worth the additional engineering.</w:t>
      </w:r>
    </w:p>
    <w:p>
      <w:pPr>
        <w:pStyle w:val="Heading1"/>
      </w:pPr>
      <w:r>
        <w:t>8. Damage labels vs impact labels</w:t>
      </w:r>
    </w:p>
    <w:p>
      <w:r>
        <w:t>VISTA should distinguish two related but different outputs:</w:t>
      </w:r>
    </w:p>
    <w:p>
      <w:pPr>
        <w:pStyle w:val="ListBullet"/>
      </w:pPr>
      <w:r>
        <w:t>Impact severity: observable regional change, such as flood extent, burn scar, landslide surface change or broad urban change.</w:t>
      </w:r>
    </w:p>
    <w:p>
      <w:pPr>
        <w:pStyle w:val="ListBullet"/>
      </w:pPr>
      <w:r>
        <w:t>Building damage: damage classes tied to building footprints or labelled building polygons. This is where xBD-style supervision is appropriate.</w:t>
      </w:r>
    </w:p>
    <w:p>
      <w:r>
        <w:t>The UI can still show a unified 'Priority' score, but the evidence panel should state which signals contributed to that score.</w:t>
      </w:r>
    </w:p>
    <w:p>
      <w:pPr>
        <w:pStyle w:val="Heading1"/>
      </w:pPr>
      <w:r>
        <w:t>9. Confidence and evidence</w:t>
      </w:r>
    </w:p>
    <w:p>
      <w:pPr>
        <w:spacing w:after="120"/>
        <w:ind w:left="360" w:right="360"/>
      </w:pPr>
      <w:r>
        <w:rPr>
          <w:rFonts w:ascii="Consolas" w:hAnsi="Consolas"/>
          <w:sz w:val="17"/>
        </w:rPr>
        <w:t>sector_priority = f(</w:t>
        <w:br/>
        <w:t xml:space="preserve">    optical_change,</w:t>
        <w:br/>
        <w:t xml:space="preserve">    sar_change,</w:t>
        <w:br/>
        <w:t xml:space="preserve">    disaster_signal,</w:t>
        <w:br/>
        <w:t xml:space="preserve">    built_area,</w:t>
        <w:br/>
        <w:t xml:space="preserve">    data_quality,</w:t>
        <w:br/>
        <w:t xml:space="preserve">    model_confidence</w:t>
        <w:br/>
        <w:t>)</w:t>
      </w:r>
    </w:p>
    <w:p>
      <w:pPr>
        <w:pStyle w:val="ListBullet"/>
      </w:pPr>
      <w:r>
        <w:t>Show model confidence separately from impact severity.</w:t>
      </w:r>
    </w:p>
    <w:p>
      <w:pPr>
        <w:pStyle w:val="ListBullet"/>
      </w:pPr>
      <w:r>
        <w:t>Show data-quality warnings for clouds, missing bands, poor registration or weak SAR geometry.</w:t>
      </w:r>
    </w:p>
    <w:p>
      <w:pPr>
        <w:pStyle w:val="ListBullet"/>
      </w:pPr>
      <w:r>
        <w:t>Never convert confidence directly into a claim of physical structural certainty.</w:t>
      </w:r>
    </w:p>
    <w:p>
      <w:pPr>
        <w:pStyle w:val="Heading1"/>
      </w:pPr>
      <w:r>
        <w:t>10. What to measure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5040"/>
          </w:tcPr>
          <w:p>
            <w:r>
              <w:t>Per-class F1</w:t>
            </w:r>
          </w:p>
        </w:tc>
        <w:tc>
          <w:tcPr>
            <w:tcW w:type="dxa" w:w="5040"/>
          </w:tcPr>
          <w:p>
            <w:r>
              <w:t>Shows which damage classes the model handles well</w:t>
            </w:r>
          </w:p>
        </w:tc>
      </w:tr>
      <w:tr>
        <w:tc>
          <w:tcPr>
            <w:tcW w:type="dxa" w:w="5040"/>
          </w:tcPr>
          <w:p>
            <w:r>
              <w:t>Macro F1</w:t>
            </w:r>
          </w:p>
        </w:tc>
        <w:tc>
          <w:tcPr>
            <w:tcW w:type="dxa" w:w="5040"/>
          </w:tcPr>
          <w:p>
            <w:r>
              <w:t>Prevents a dominant class from hiding weak minority-class performance</w:t>
            </w:r>
          </w:p>
        </w:tc>
      </w:tr>
      <w:tr>
        <w:tc>
          <w:tcPr>
            <w:tcW w:type="dxa" w:w="5040"/>
          </w:tcPr>
          <w:p>
            <w:r>
              <w:t>mIoU</w:t>
            </w:r>
          </w:p>
        </w:tc>
        <w:tc>
          <w:tcPr>
            <w:tcW w:type="dxa" w:w="5040"/>
          </w:tcPr>
          <w:p>
            <w:r>
              <w:t>Standard segmentation overlap metric</w:t>
            </w:r>
          </w:p>
        </w:tc>
      </w:tr>
      <w:tr>
        <w:tc>
          <w:tcPr>
            <w:tcW w:type="dxa" w:w="5040"/>
          </w:tcPr>
          <w:p>
            <w:r>
              <w:t>Confusion matrix</w:t>
            </w:r>
          </w:p>
        </w:tc>
        <w:tc>
          <w:tcPr>
            <w:tcW w:type="dxa" w:w="5040"/>
          </w:tcPr>
          <w:p>
            <w:r>
              <w:t>Shows minor/major/destroyed confusion</w:t>
            </w:r>
          </w:p>
        </w:tc>
      </w:tr>
      <w:tr>
        <w:tc>
          <w:tcPr>
            <w:tcW w:type="dxa" w:w="5040"/>
          </w:tcPr>
          <w:p>
            <w:r>
              <w:t>False-negative rate</w:t>
            </w:r>
          </w:p>
        </w:tc>
        <w:tc>
          <w:tcPr>
            <w:tcW w:type="dxa" w:w="5040"/>
          </w:tcPr>
          <w:p>
            <w:r>
              <w:t>Important for triage because missed severe areas are costly</w:t>
            </w:r>
          </w:p>
        </w:tc>
      </w:tr>
      <w:tr>
        <w:tc>
          <w:tcPr>
            <w:tcW w:type="dxa" w:w="5040"/>
          </w:tcPr>
          <w:p>
            <w:r>
              <w:t>Inference latency</w:t>
            </w:r>
          </w:p>
        </w:tc>
        <w:tc>
          <w:tcPr>
            <w:tcW w:type="dxa" w:w="5040"/>
          </w:tcPr>
          <w:p>
            <w:r>
              <w:t>Demonstrates practical usability</w:t>
            </w:r>
          </w:p>
        </w:tc>
      </w:tr>
      <w:tr>
        <w:tc>
          <w:tcPr>
            <w:tcW w:type="dxa" w:w="5040"/>
          </w:tcPr>
          <w:p>
            <w:r>
              <w:t>End-to-end latency</w:t>
            </w:r>
          </w:p>
        </w:tc>
        <w:tc>
          <w:tcPr>
            <w:tcW w:type="dxa" w:w="5040"/>
          </w:tcPr>
          <w:p>
            <w:r>
              <w:t>Measures acquisition-to-result workflow when live data is available</w:t>
            </w:r>
          </w:p>
        </w:tc>
      </w:tr>
    </w:tbl>
    <w:p/>
    <w:p>
      <w:pPr>
        <w:pStyle w:val="Heading1"/>
      </w:pPr>
      <w:r>
        <w:t>11. What not to claim</w:t>
      </w:r>
    </w:p>
    <w:p>
      <w:pPr>
        <w:pStyle w:val="ListBullet"/>
      </w:pPr>
      <w:r>
        <w:t>Do not call simple pixel differencing 'sub-pixel change detection'.</w:t>
      </w:r>
    </w:p>
    <w:p>
      <w:pPr>
        <w:pStyle w:val="ListBullet"/>
      </w:pPr>
      <w:r>
        <w:t>Do not call changed-pixel percentage 'structural loss' unless a building footprint/damage model supports that interpretation.</w:t>
      </w:r>
    </w:p>
    <w:p>
      <w:pPr>
        <w:pStyle w:val="ListBullet"/>
      </w:pPr>
      <w:r>
        <w:t>Do not claim xBD supplies SAR/NIR/SWIR training channels.</w:t>
      </w:r>
    </w:p>
    <w:p>
      <w:pPr>
        <w:pStyle w:val="ListBullet"/>
      </w:pPr>
      <w:r>
        <w:t>Do not claim live EOS-05 access until an authorized data path exists.</w:t>
      </w:r>
    </w:p>
    <w:p>
      <w:pPr>
        <w:pStyle w:val="ListBullet"/>
      </w:pPr>
      <w:r>
        <w:t>Do not publish accuracy, F1, false-alarm reduction or cost-reduction percentages before the team has measured them.</w:t>
      </w:r>
    </w:p>
    <w:p>
      <w:pPr>
        <w:pStyle w:val="Heading1"/>
      </w:pPr>
      <w:r>
        <w:t>12. Research references</w:t>
      </w:r>
    </w:p>
    <w:p>
      <w:pPr>
        <w:pStyle w:val="ListBullet"/>
      </w:pPr>
      <w:r>
        <w:t>Microsoft HASTE: rapid post-disaster building damage assessment and open-source platform.</w:t>
      </w:r>
    </w:p>
    <w:p>
      <w:pPr>
        <w:pStyle w:val="ListBullet"/>
      </w:pPr>
      <w:r>
        <w:t>UN Global Pulse DISHA: AI-assisted humanitarian building damage assessment.</w:t>
      </w:r>
    </w:p>
    <w:p>
      <w:pPr>
        <w:pStyle w:val="ListBullet"/>
      </w:pPr>
      <w:r>
        <w:t>NASA/IBM Prithvi-EO-2.0: Earth-observation foundation model and TerraTorch fine-tuning examples.</w:t>
      </w:r>
    </w:p>
    <w:p>
      <w:pPr>
        <w:pStyle w:val="ListBullet"/>
      </w:pPr>
      <w:r>
        <w:t>Sen1Floods11: Sentinel-1/Sentinel-2 flood dataset.</w:t>
      </w:r>
    </w:p>
    <w:p>
      <w:pPr>
        <w:pStyle w:val="ListBullet"/>
      </w:pPr>
      <w:r>
        <w:t>Bhoonidhi/NRSC: Indian EO data hub and API access process.</w:t>
      </w:r>
    </w:p>
    <w:p>
      <w:pPr>
        <w:pStyle w:val="ListBullet"/>
      </w:pPr>
      <w:r>
        <w:t>ISRO EOS-05 mission page and current post-launch reporting.</w:t>
      </w:r>
    </w:p>
    <w:p>
      <w:pPr>
        <w:pStyle w:val="ListBullet"/>
      </w:pPr>
      <w:r>
        <w:t>https://www.microsoft.com/en-us/research/publication/haste-a-platform-for-rapid-post-disaster-building-damage-assessment/</w:t>
      </w:r>
    </w:p>
    <w:p>
      <w:pPr>
        <w:pStyle w:val="ListBullet"/>
      </w:pPr>
      <w:r>
        <w:t>https://github.com/microsoft/haste</w:t>
      </w:r>
    </w:p>
    <w:p>
      <w:pPr>
        <w:pStyle w:val="ListBullet"/>
      </w:pPr>
      <w:r>
        <w:t>https://github.com/NASA-IMPACT/Prithvi-EO-2.0</w:t>
      </w:r>
    </w:p>
    <w:p>
      <w:pPr>
        <w:pStyle w:val="ListBullet"/>
      </w:pPr>
      <w:r>
        <w:t>https://huggingface.co/ibm-nasa-geospatial/Prithvi-EO-2.0-300M</w:t>
      </w:r>
    </w:p>
    <w:p>
      <w:pPr>
        <w:pStyle w:val="ListBullet"/>
      </w:pPr>
      <w:r>
        <w:t>https://github.com/cloudtostreet/Sen1Floods11</w:t>
      </w:r>
    </w:p>
    <w:p>
      <w:pPr>
        <w:pStyle w:val="ListBullet"/>
      </w:pPr>
      <w:r>
        <w:t>https://bhoonidhi.nrsc.gov.in/bhoonidhi/home.html</w:t>
      </w:r>
    </w:p>
    <w:p>
      <w:pPr>
        <w:pStyle w:val="ListBullet"/>
      </w:pPr>
      <w:r>
        <w:t>https://www.isro.gov.in/Mission_GSLVF17.html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VISTA | SIH 2026 | Internal team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