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VISTA Phase 2 — Coding Agent Specification</w:t>
      </w:r>
    </w:p>
    <w:p>
      <w:pPr>
        <w:jc w:val="center"/>
      </w:pPr>
      <w:r>
        <w:rPr>
          <w:i/>
        </w:rPr>
        <w:t>Software implementation specification | Training is intentionally outside this document</w:t>
      </w:r>
    </w:p>
    <w:p/>
    <w:p>
      <w:r>
        <w:t>This document is intended to be given to a coding agent working on the existing VISTA repository. The agent should implement the software architecture, data interfaces, preprocessing, inference integration, UI, reporting and configuration needed for Phase 2. The agent should NOT invent model weights, fabricate evaluation results, or perform model training unless explicitly requested later.</w:t>
      </w:r>
    </w:p>
    <w:p>
      <w:pPr>
        <w:pStyle w:val="Heading1"/>
      </w:pPr>
      <w:r>
        <w:t>1. Existing product context</w:t>
      </w:r>
    </w:p>
    <w:p>
      <w:pPr>
        <w:pStyle w:val="ListBullet"/>
      </w:pPr>
      <w:r>
        <w:t>React 19 + Vite frontend.</w:t>
      </w:r>
    </w:p>
    <w:p>
      <w:pPr>
        <w:pStyle w:val="ListBullet"/>
      </w:pPr>
      <w:r>
        <w:t>Tailwind CSS v4 + Lucide React.</w:t>
      </w:r>
    </w:p>
    <w:p>
      <w:pPr>
        <w:pStyle w:val="ListBullet"/>
      </w:pPr>
      <w:r>
        <w:t>Existing components include Hero, Navbar, SatelliteFetcher, SeverityGrid, StatsPanel and UploadSection.</w:t>
      </w:r>
    </w:p>
    <w:p>
      <w:pPr>
        <w:pStyle w:val="ListBullet"/>
      </w:pPr>
      <w:r>
        <w:t>Existing analysis.js performs the Phase 1 client-side image comparison.</w:t>
      </w:r>
    </w:p>
    <w:p>
      <w:pPr>
        <w:pStyle w:val="ListBullet"/>
      </w:pPr>
      <w:r>
        <w:t>Existing disasterData.js contains curated disaster presets.</w:t>
      </w:r>
    </w:p>
    <w:p>
      <w:pPr>
        <w:pStyle w:val="ListBullet"/>
      </w:pPr>
      <w:r>
        <w:t>Existing sentinelApi.js handles Copernicus authentication/data requests.</w:t>
      </w:r>
    </w:p>
    <w:p>
      <w:pPr>
        <w:pStyle w:val="ListBullet"/>
      </w:pPr>
      <w:r>
        <w:t>Existing reportGenerator.js creates client-side PDF reports.</w:t>
      </w:r>
    </w:p>
    <w:p>
      <w:pPr>
        <w:pStyle w:val="ListBullet"/>
      </w:pPr>
      <w:r>
        <w:t>Production is deployed on Vercel.</w:t>
      </w:r>
    </w:p>
    <w:p>
      <w:pPr>
        <w:pStyle w:val="Heading1"/>
      </w:pPr>
      <w:r>
        <w:t>2. Phase 2 software objective</w:t>
      </w:r>
    </w:p>
    <w:p>
      <w:r>
        <w:t>Evolve VISTA from an RGB heuristic viewer into a modular disaster-impact assessment application that can consume multi-source raster inputs, run an external or local inference service, produce impact/damage probability maps, calculate confidence/evidence metrics, and preserve the existing report/export workflow.</w:t>
      </w:r>
    </w:p>
    <w:p>
      <w:pPr>
        <w:pStyle w:val="Heading1"/>
      </w:pPr>
      <w:r>
        <w:t>3. Non-negotiable architecture principles</w:t>
      </w:r>
    </w:p>
    <w:p>
      <w:pPr>
        <w:pStyle w:val="ListBullet"/>
      </w:pPr>
      <w:r>
        <w:t>Do not place a 300M-parameter PyTorch model inside the Vercel browser bundle.</w:t>
      </w:r>
    </w:p>
    <w:p>
      <w:pPr>
        <w:pStyle w:val="ListBullet"/>
      </w:pPr>
      <w:r>
        <w:t>Keep model inference behind a replaceable API boundary. The frontend should not care whether inference is local FastAPI, a GPU server, or another deployment target.</w:t>
      </w:r>
    </w:p>
    <w:p>
      <w:pPr>
        <w:pStyle w:val="ListBullet"/>
      </w:pPr>
      <w:r>
        <w:t>Keep the existing heuristic engine as a fallback/demo mode.</w:t>
      </w:r>
    </w:p>
    <w:p>
      <w:pPr>
        <w:pStyle w:val="ListBullet"/>
      </w:pPr>
      <w:r>
        <w:t>Every model result must carry model version, input source, acquisition dates, band list, confidence metadata and processing timestamp.</w:t>
      </w:r>
    </w:p>
    <w:p>
      <w:pPr>
        <w:pStyle w:val="ListBullet"/>
      </w:pPr>
      <w:r>
        <w:t>Never fabricate model metrics in the UI. Metrics are loaded from a versioned evaluation manifest.</w:t>
      </w:r>
    </w:p>
    <w:p>
      <w:pPr>
        <w:pStyle w:val="ListBullet"/>
      </w:pPr>
      <w:r>
        <w:t>Use GeoTIFF/raster metadata where available. Do not silently treat georeferenced imagery as ordinary PNG pixels.</w:t>
      </w:r>
    </w:p>
    <w:p>
      <w:pPr>
        <w:pStyle w:val="Heading1"/>
      </w:pPr>
      <w:r>
        <w:t>4. Target repository structure</w:t>
      </w:r>
    </w:p>
    <w:p>
      <w:pPr>
        <w:spacing w:after="120"/>
        <w:ind w:left="360" w:right="360"/>
      </w:pPr>
      <w:r>
        <w:rPr>
          <w:rFonts w:ascii="Consolas" w:hAnsi="Consolas"/>
          <w:sz w:val="17"/>
        </w:rPr>
        <w:t>vista/</w:t>
        <w:br/>
        <w:t>├── api/</w:t>
        <w:br/>
        <w:t>│   ├── token.js</w:t>
        <w:br/>
        <w:t>│   ├── process.js</w:t>
        <w:br/>
        <w:t>│   └── inference.js</w:t>
        <w:br/>
        <w:t>├── src/</w:t>
        <w:br/>
        <w:t>│   ├── components/</w:t>
        <w:br/>
        <w:t>│   │   ├── AssessmentDashboard.jsx</w:t>
        <w:br/>
        <w:t>│   │   ├── ConfidencePanel.jsx</w:t>
        <w:br/>
        <w:t>│   │   ├── EvidencePanel.jsx</w:t>
        <w:br/>
        <w:t>│   │   ├── LayerControls.jsx</w:t>
        <w:br/>
        <w:t>│   │   ├── SeverityGrid.jsx</w:t>
        <w:br/>
        <w:t>│   │   ├── SatelliteFetcher.jsx</w:t>
        <w:br/>
        <w:t>│   │   ├── StatsPanel.jsx</w:t>
        <w:br/>
        <w:t>│   │   └── UploadSection.jsx</w:t>
        <w:br/>
        <w:t>│   ├── services/</w:t>
        <w:br/>
        <w:t>│   │   ├── sentinelApi.js</w:t>
        <w:br/>
        <w:t>│   │   ├── eos5Api.js</w:t>
        <w:br/>
        <w:t>│   │   ├── inferenceApi.js</w:t>
        <w:br/>
        <w:t>│   │   └── rasterApi.js</w:t>
        <w:br/>
        <w:t>│   ├── analysis/</w:t>
        <w:br/>
        <w:t>│   │   ├── heuristic.js</w:t>
        <w:br/>
        <w:t>│   │   ├── priority.js</w:t>
        <w:br/>
        <w:t>│   │   └── confidence.js</w:t>
        <w:br/>
        <w:t>│   ├── data/</w:t>
        <w:br/>
        <w:t>│   │   └── disasterData.js</w:t>
        <w:br/>
        <w:t>│   ├── report/</w:t>
        <w:br/>
        <w:t>│   │   └── reportGenerator.js</w:t>
        <w:br/>
        <w:t>│   └── App.jsx</w:t>
        <w:br/>
        <w:t>├── ml/</w:t>
        <w:br/>
        <w:t>│   └── README.md</w:t>
        <w:br/>
        <w:t>└── docs/</w:t>
        <w:br/>
        <w:t xml:space="preserve">    └── phase2-model-contract.md</w:t>
        <w:br/>
      </w:r>
    </w:p>
    <w:p>
      <w:pPr>
        <w:pStyle w:val="Heading1"/>
      </w:pPr>
      <w:r>
        <w:t>5. Inference API contract</w:t>
      </w:r>
    </w:p>
    <w:p>
      <w:pPr>
        <w:spacing w:after="120"/>
        <w:ind w:left="360" w:right="360"/>
      </w:pPr>
      <w:r>
        <w:rPr>
          <w:rFonts w:ascii="Consolas" w:hAnsi="Consolas"/>
          <w:sz w:val="17"/>
        </w:rPr>
        <w:t>POST /api/inference</w:t>
        <w:br/>
        <w:br/>
        <w:t>Request:</w:t>
        <w:br/>
        <w:t>{</w:t>
        <w:br/>
        <w:t xml:space="preserve">  "before": {"source": "...", "bands": ["B02","B03","B04","B08","B11","B12"]},</w:t>
        <w:br/>
        <w:t xml:space="preserve">  "after":  {"source": "...", "bands": ["B02","B03","B04","B08","B11","B12"]},</w:t>
        <w:br/>
        <w:t xml:space="preserve">  "sensor": "sentinel2",</w:t>
        <w:br/>
        <w:t xml:space="preserve">  "model": "vista-prithvi-v1",</w:t>
        <w:br/>
        <w:t xml:space="preserve">  "mode": "impact"</w:t>
        <w:br/>
        <w:t>}</w:t>
        <w:br/>
        <w:br/>
        <w:t>Response:</w:t>
        <w:br/>
        <w:t>{</w:t>
        <w:br/>
        <w:t xml:space="preserve">  "modelVersion": "vista-prithvi-v1",</w:t>
        <w:br/>
        <w:t xml:space="preserve">  "classes": ["no_damage","minor","major","destroyed"],</w:t>
        <w:br/>
        <w:t xml:space="preserve">  "probabilityRaster": "...",</w:t>
        <w:br/>
        <w:t xml:space="preserve">  "labelRaster": "...",</w:t>
        <w:br/>
        <w:t xml:space="preserve">  "confidenceRaster": "...",</w:t>
        <w:br/>
        <w:t xml:space="preserve">  "summary": {</w:t>
        <w:br/>
        <w:t xml:space="preserve">    "macroF1": null,</w:t>
        <w:br/>
        <w:t xml:space="preserve">    "mIoU": null,</w:t>
        <w:br/>
        <w:t xml:space="preserve">    "meanConfidence": null</w:t>
        <w:br/>
        <w:t xml:space="preserve">  },</w:t>
        <w:br/>
        <w:t xml:space="preserve">  "metadata": {</w:t>
        <w:br/>
        <w:t xml:space="preserve">    "beforeDate": "...",</w:t>
        <w:br/>
        <w:t xml:space="preserve">    "afterDate": "...",</w:t>
        <w:br/>
        <w:t xml:space="preserve">    "bands": ["..."],</w:t>
        <w:br/>
        <w:t xml:space="preserve">    "processingSeconds": 0</w:t>
        <w:br/>
        <w:t xml:space="preserve">  }</w:t>
        <w:br/>
        <w:t>}</w:t>
      </w:r>
    </w:p>
    <w:p>
      <w:pPr>
        <w:pStyle w:val="Heading1"/>
      </w:pPr>
      <w:r>
        <w:t>6. Data preprocessing layer</w:t>
      </w:r>
    </w:p>
    <w:p>
      <w:pPr>
        <w:pStyle w:val="ListBullet"/>
      </w:pPr>
      <w:r>
        <w:t>Validate that required bands exist before inference.</w:t>
      </w:r>
    </w:p>
    <w:p>
      <w:pPr>
        <w:pStyle w:val="ListBullet"/>
      </w:pPr>
      <w:r>
        <w:t>Resample only where scientifically justified and record the method.</w:t>
      </w:r>
    </w:p>
    <w:p>
      <w:pPr>
        <w:pStyle w:val="ListBullet"/>
      </w:pPr>
      <w:r>
        <w:t>Align before/after rasters to the same CRS, extent, resolution and pixel grid.</w:t>
      </w:r>
    </w:p>
    <w:p>
      <w:pPr>
        <w:pStyle w:val="ListBullet"/>
      </w:pPr>
      <w:r>
        <w:t>Apply cloud/quality masks for optical data when available.</w:t>
      </w:r>
    </w:p>
    <w:p>
      <w:pPr>
        <w:pStyle w:val="ListBullet"/>
      </w:pPr>
      <w:r>
        <w:t>Prepare Sentinel-1 VV/VH in the model's expected units and normalization.</w:t>
      </w:r>
    </w:p>
    <w:p>
      <w:pPr>
        <w:pStyle w:val="ListBullet"/>
      </w:pPr>
      <w:r>
        <w:t>Store preprocessing configuration with every inference job.</w:t>
      </w:r>
    </w:p>
    <w:p>
      <w:pPr>
        <w:pStyle w:val="ListBullet"/>
      </w:pPr>
      <w:r>
        <w:t>Reject or warn on incompatible data rather than silently producing a result.</w:t>
      </w:r>
    </w:p>
    <w:p>
      <w:pPr>
        <w:pStyle w:val="Heading1"/>
      </w:pPr>
      <w:r>
        <w:t>7. Priority scoring</w:t>
      </w:r>
    </w:p>
    <w:p>
      <w:r>
        <w:t>Implement priority scoring as a transparent, configurable function. Do not hide arbitrary thresholds inside components.</w:t>
      </w:r>
    </w:p>
    <w:p>
      <w:pPr>
        <w:spacing w:after="120"/>
        <w:ind w:left="360" w:right="360"/>
      </w:pPr>
      <w:r>
        <w:rPr>
          <w:rFonts w:ascii="Consolas" w:hAnsi="Consolas"/>
          <w:sz w:val="17"/>
        </w:rPr>
        <w:t>priority = weighted(</w:t>
        <w:br/>
        <w:t xml:space="preserve">  model_severity,</w:t>
        <w:br/>
        <w:t xml:space="preserve">  model_confidence,</w:t>
        <w:br/>
        <w:t xml:space="preserve">  optical_change,</w:t>
        <w:br/>
        <w:t xml:space="preserve">  sar_change,</w:t>
        <w:br/>
        <w:t xml:space="preserve">  built_area,</w:t>
        <w:br/>
        <w:t xml:space="preserve">  data_quality</w:t>
        <w:br/>
        <w:t>)</w:t>
      </w:r>
    </w:p>
    <w:p>
      <w:pPr>
        <w:pStyle w:val="ListBullet"/>
      </w:pPr>
      <w:r>
        <w:t>Return both the numerical score and the contributing factors.</w:t>
      </w:r>
    </w:p>
    <w:p>
      <w:pPr>
        <w:pStyle w:val="ListBullet"/>
      </w:pPr>
      <w:r>
        <w:t>Keep weights in a configuration object.</w:t>
      </w:r>
    </w:p>
    <w:p>
      <w:pPr>
        <w:pStyle w:val="ListBullet"/>
      </w:pPr>
      <w:r>
        <w:t>Support future disaster-specific profiles such as flood, wildfire and landslide.</w:t>
      </w:r>
    </w:p>
    <w:p>
      <w:pPr>
        <w:pStyle w:val="Heading1"/>
      </w:pPr>
      <w:r>
        <w:t>8. EOS-05 adapter</w:t>
      </w:r>
    </w:p>
    <w:p>
      <w:pPr>
        <w:pStyle w:val="ListBullet"/>
      </w:pPr>
      <w:r>
        <w:t>Implement an adapter/interface, not a fabricated public endpoint.</w:t>
      </w:r>
    </w:p>
    <w:p>
      <w:pPr>
        <w:pStyle w:val="ListBullet"/>
      </w:pPr>
      <w:r>
        <w:t>The adapter should expose search, metadata and acquisition methods behind a feature flag.</w:t>
      </w:r>
    </w:p>
    <w:p>
      <w:pPr>
        <w:pStyle w:val="ListBullet"/>
      </w:pPr>
      <w:r>
        <w:t>If no authorized EOS-05 endpoint is configured, the UI must say 'EOS-05 adapter ready; data access not configured' rather than pretending it is live.</w:t>
      </w:r>
    </w:p>
    <w:p>
      <w:pPr>
        <w:pStyle w:val="ListBullet"/>
      </w:pPr>
      <w:r>
        <w:t>Keep EOS-05 data separate from Sentinel-1/2 until its actual product schema and dissemination mechanism are known.</w:t>
      </w:r>
    </w:p>
    <w:p>
      <w:pPr>
        <w:pStyle w:val="Heading1"/>
      </w:pPr>
      <w:r>
        <w:t>9. UI behavior</w:t>
      </w:r>
    </w:p>
    <w:p>
      <w:pPr>
        <w:pStyle w:val="ListBullet"/>
      </w:pPr>
      <w:r>
        <w:t>Assessment starts with disaster/event selection or area selection.</w:t>
      </w:r>
    </w:p>
    <w:p>
      <w:pPr>
        <w:pStyle w:val="ListBullet"/>
      </w:pPr>
      <w:r>
        <w:t>Show acquisition dates and source sensors prominently.</w:t>
      </w:r>
    </w:p>
    <w:p>
      <w:pPr>
        <w:pStyle w:val="ListBullet"/>
      </w:pPr>
      <w:r>
        <w:t>Show before, after, impact, confidence and evidence layers.</w:t>
      </w:r>
    </w:p>
    <w:p>
      <w:pPr>
        <w:pStyle w:val="ListBullet"/>
      </w:pPr>
      <w:r>
        <w:t>Clicking a sector opens a detailed assessment card.</w:t>
      </w:r>
    </w:p>
    <w:p>
      <w:pPr>
        <w:pStyle w:val="ListBullet"/>
      </w:pPr>
      <w:r>
        <w:t>The card should distinguish impact severity from building damage confidence.</w:t>
      </w:r>
    </w:p>
    <w:p>
      <w:pPr>
        <w:pStyle w:val="ListBullet"/>
      </w:pPr>
      <w:r>
        <w:t>Show processing status and latency.</w:t>
      </w:r>
    </w:p>
    <w:p>
      <w:pPr>
        <w:pStyle w:val="ListBullet"/>
      </w:pPr>
      <w:r>
        <w:t>Allow CSV/GIS/PDF export using the same result manifest.</w:t>
      </w:r>
    </w:p>
    <w:p>
      <w:pPr>
        <w:pStyle w:val="Heading1"/>
      </w:pPr>
      <w:r>
        <w:t>10. Error handling</w:t>
      </w:r>
    </w:p>
    <w:p>
      <w:pPr>
        <w:pStyle w:val="ListBullet"/>
      </w:pPr>
      <w:r>
        <w:t>No cloud-free Sentinel-2 scene: offer Sentinel-1 or a different date.</w:t>
      </w:r>
    </w:p>
    <w:p>
      <w:pPr>
        <w:pStyle w:val="ListBullet"/>
      </w:pPr>
      <w:r>
        <w:t>Missing band: explain exactly which band is missing.</w:t>
      </w:r>
    </w:p>
    <w:p>
      <w:pPr>
        <w:pStyle w:val="ListBullet"/>
      </w:pPr>
      <w:r>
        <w:t>Poor co-registration: warn and do not silently classify.</w:t>
      </w:r>
    </w:p>
    <w:p>
      <w:pPr>
        <w:pStyle w:val="ListBullet"/>
      </w:pPr>
      <w:r>
        <w:t>Inference unavailable: fall back to Phase 1 heuristic only when the user explicitly chooses fallback mode.</w:t>
      </w:r>
    </w:p>
    <w:p>
      <w:pPr>
        <w:pStyle w:val="ListBullet"/>
      </w:pPr>
      <w:r>
        <w:t>EOS-05 unavailable: retain normal Sentinel workflow.</w:t>
      </w:r>
    </w:p>
    <w:p>
      <w:pPr>
        <w:pStyle w:val="Heading1"/>
      </w:pPr>
      <w:r>
        <w:t>11. Acceptance criteria</w:t>
      </w:r>
    </w:p>
    <w:tbl>
      <w:tblPr>
        <w:tblStyle w:val="TableGrid"/>
        <w:tblW w:type="auto" w:w="0"/>
        <w:tblLook w:firstColumn="1" w:firstRow="1" w:lastColumn="0" w:lastRow="0" w:noHBand="0" w:noVBand="1" w:val="04A0"/>
      </w:tblPr>
      <w:tblGrid>
        <w:gridCol w:w="5040"/>
        <w:gridCol w:w="5040"/>
      </w:tblGrid>
      <w:tr>
        <w:tc>
          <w:tcPr>
            <w:tcW w:type="dxa" w:w="5040"/>
            <w:shd w:fill="D9EAF7"/>
          </w:tcPr>
          <w:p>
            <w:r>
              <w:rPr>
                <w:b/>
              </w:rPr>
              <w:t>Area</w:t>
            </w:r>
          </w:p>
        </w:tc>
        <w:tc>
          <w:tcPr>
            <w:tcW w:type="dxa" w:w="5040"/>
            <w:shd w:fill="D9EAF7"/>
          </w:tcPr>
          <w:p>
            <w:r>
              <w:rPr>
                <w:b/>
              </w:rPr>
              <w:t>Acceptance criterion</w:t>
            </w:r>
          </w:p>
        </w:tc>
      </w:tr>
      <w:tr>
        <w:tc>
          <w:tcPr>
            <w:tcW w:type="dxa" w:w="5040"/>
          </w:tcPr>
          <w:p>
            <w:r>
              <w:t>Data</w:t>
            </w:r>
          </w:p>
        </w:tc>
        <w:tc>
          <w:tcPr>
            <w:tcW w:type="dxa" w:w="5040"/>
          </w:tcPr>
          <w:p>
            <w:r>
              <w:t>A real Sentinel-1/2 pair can be selected and its metadata displayed</w:t>
            </w:r>
          </w:p>
        </w:tc>
      </w:tr>
      <w:tr>
        <w:tc>
          <w:tcPr>
            <w:tcW w:type="dxa" w:w="5040"/>
          </w:tcPr>
          <w:p>
            <w:r>
              <w:t>Inference</w:t>
            </w:r>
          </w:p>
        </w:tc>
        <w:tc>
          <w:tcPr>
            <w:tcW w:type="dxa" w:w="5040"/>
          </w:tcPr>
          <w:p>
            <w:r>
              <w:t>A model result can be loaded through the inference API without frontend model code</w:t>
            </w:r>
          </w:p>
        </w:tc>
      </w:tr>
      <w:tr>
        <w:tc>
          <w:tcPr>
            <w:tcW w:type="dxa" w:w="5040"/>
          </w:tcPr>
          <w:p>
            <w:r>
              <w:t>Fallback</w:t>
            </w:r>
          </w:p>
        </w:tc>
        <w:tc>
          <w:tcPr>
            <w:tcW w:type="dxa" w:w="5040"/>
          </w:tcPr>
          <w:p>
            <w:r>
              <w:t>Phase 1 analysis remains functional</w:t>
            </w:r>
          </w:p>
        </w:tc>
      </w:tr>
      <w:tr>
        <w:tc>
          <w:tcPr>
            <w:tcW w:type="dxa" w:w="5040"/>
          </w:tcPr>
          <w:p>
            <w:r>
              <w:t>Map</w:t>
            </w:r>
          </w:p>
        </w:tc>
        <w:tc>
          <w:tcPr>
            <w:tcW w:type="dxa" w:w="5040"/>
          </w:tcPr>
          <w:p>
            <w:r>
              <w:t>Prediction, confidence and priority layers render correctly</w:t>
            </w:r>
          </w:p>
        </w:tc>
      </w:tr>
      <w:tr>
        <w:tc>
          <w:tcPr>
            <w:tcW w:type="dxa" w:w="5040"/>
          </w:tcPr>
          <w:p>
            <w:r>
              <w:t>Evidence</w:t>
            </w:r>
          </w:p>
        </w:tc>
        <w:tc>
          <w:tcPr>
            <w:tcW w:type="dxa" w:w="5040"/>
          </w:tcPr>
          <w:p>
            <w:r>
              <w:t>Each result explains the signals used</w:t>
            </w:r>
          </w:p>
        </w:tc>
      </w:tr>
      <w:tr>
        <w:tc>
          <w:tcPr>
            <w:tcW w:type="dxa" w:w="5040"/>
          </w:tcPr>
          <w:p>
            <w:r>
              <w:t>Export</w:t>
            </w:r>
          </w:p>
        </w:tc>
        <w:tc>
          <w:tcPr>
            <w:tcW w:type="dxa" w:w="5040"/>
          </w:tcPr>
          <w:p>
            <w:r>
              <w:t>PDF and CSV contain model/source/date metadata</w:t>
            </w:r>
          </w:p>
        </w:tc>
      </w:tr>
      <w:tr>
        <w:tc>
          <w:tcPr>
            <w:tcW w:type="dxa" w:w="5040"/>
          </w:tcPr>
          <w:p>
            <w:r>
              <w:t>Reproducibility</w:t>
            </w:r>
          </w:p>
        </w:tc>
        <w:tc>
          <w:tcPr>
            <w:tcW w:type="dxa" w:w="5040"/>
          </w:tcPr>
          <w:p>
            <w:r>
              <w:t>Same input + same model version gives the same recorded result</w:t>
            </w:r>
          </w:p>
        </w:tc>
      </w:tr>
      <w:tr>
        <w:tc>
          <w:tcPr>
            <w:tcW w:type="dxa" w:w="5040"/>
          </w:tcPr>
          <w:p>
            <w:r>
              <w:t>Security</w:t>
            </w:r>
          </w:p>
        </w:tc>
        <w:tc>
          <w:tcPr>
            <w:tcW w:type="dxa" w:w="5040"/>
          </w:tcPr>
          <w:p>
            <w:r>
              <w:t>Secrets remain server-side; no client-side Copernicus secret</w:t>
            </w:r>
          </w:p>
        </w:tc>
      </w:tr>
    </w:tbl>
    <w:p/>
    <w:p>
      <w:pPr>
        <w:pStyle w:val="Heading1"/>
      </w:pPr>
      <w:r>
        <w:t>12. Things the coding agent must not do</w:t>
      </w:r>
    </w:p>
    <w:p>
      <w:pPr>
        <w:pStyle w:val="ListBullet"/>
      </w:pPr>
      <w:r>
        <w:t>Do not invent EOS-05 APIs.</w:t>
      </w:r>
    </w:p>
    <w:p>
      <w:pPr>
        <w:pStyle w:val="ListBullet"/>
      </w:pPr>
      <w:r>
        <w:t>Do not hard-code fake F1/accuracy numbers.</w:t>
      </w:r>
    </w:p>
    <w:p>
      <w:pPr>
        <w:pStyle w:val="ListBullet"/>
      </w:pPr>
      <w:r>
        <w:t>Do not change the project's identity to the old CCTV/structural-inspection concept from the existing PPT.</w:t>
      </w:r>
    </w:p>
    <w:p>
      <w:pPr>
        <w:pStyle w:val="ListBullet"/>
      </w:pPr>
      <w:r>
        <w:t>Do not claim the xBD dataset contains SAR or multispectral channels.</w:t>
      </w:r>
    </w:p>
    <w:p>
      <w:pPr>
        <w:pStyle w:val="ListBullet"/>
      </w:pPr>
      <w:r>
        <w:t>Do not build a 300M model into the Vercel client bundle.</w:t>
      </w:r>
    </w:p>
    <w:p>
      <w:pPr>
        <w:pStyle w:val="ListBullet"/>
      </w:pPr>
      <w:r>
        <w:t>Do not replace working VISTA features merely to introduce new architecture.</w:t>
      </w:r>
    </w:p>
    <w:p>
      <w:pPr>
        <w:pStyle w:val="Heading1"/>
      </w:pPr>
      <w:r>
        <w:t>13. Expected implementation order</w:t>
      </w:r>
    </w:p>
    <w:p>
      <w:pPr>
        <w:pStyle w:val="ListNumber"/>
      </w:pPr>
      <w:r>
        <w:t>Refactor the existing analysis and data-fetching code into clean service boundaries.</w:t>
      </w:r>
    </w:p>
    <w:p>
      <w:pPr>
        <w:pStyle w:val="ListNumber"/>
      </w:pPr>
      <w:r>
        <w:t>Implement result manifests and model metadata.</w:t>
      </w:r>
    </w:p>
    <w:p>
      <w:pPr>
        <w:pStyle w:val="ListNumber"/>
      </w:pPr>
      <w:r>
        <w:t>Implement inference API contract with a mock adapter for development only.</w:t>
      </w:r>
    </w:p>
    <w:p>
      <w:pPr>
        <w:pStyle w:val="ListNumber"/>
      </w:pPr>
      <w:r>
        <w:t>Implement confidence/evidence/priority UI.</w:t>
      </w:r>
    </w:p>
    <w:p>
      <w:pPr>
        <w:pStyle w:val="ListNumber"/>
      </w:pPr>
      <w:r>
        <w:t>Implement raster metadata validation and preprocessing interfaces.</w:t>
      </w:r>
    </w:p>
    <w:p>
      <w:pPr>
        <w:pStyle w:val="ListNumber"/>
      </w:pPr>
      <w:r>
        <w:t>Integrate the trained model once the training owner supplies a checkpoint and exact preprocessing contract.</w:t>
      </w:r>
    </w:p>
    <w:p>
      <w:pPr>
        <w:pStyle w:val="ListNumber"/>
      </w:pPr>
      <w:r>
        <w:t>Add Sentinel-1 support.</w:t>
      </w:r>
    </w:p>
    <w:p>
      <w:pPr>
        <w:pStyle w:val="ListNumber"/>
      </w:pPr>
      <w:r>
        <w:t>Add EOS-05 adapter behind a feature flag once authorized data specifications are available.</w:t>
      </w:r>
    </w:p>
    <w:p>
      <w:pPr>
        <w:pStyle w:val="ListNumber"/>
      </w:pPr>
      <w:r>
        <w:t>Run end-to-end tests using fixed sample data.</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VISTA | SIH 2026 | Internal team document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