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VISTA Phase 2 — Model Training &amp; Experimentation Guide</w:t>
      </w:r>
    </w:p>
    <w:p>
      <w:pPr>
        <w:jc w:val="center"/>
      </w:pPr>
      <w:r>
        <w:rPr>
          <w:i/>
        </w:rPr>
        <w:t>Human training guide | Prithvi, datasets, fine-tuning, ablation and evaluation</w:t>
      </w:r>
    </w:p>
    <w:p/>
    <w:p>
      <w:r>
        <w:t>This is the detailed model-training document for the teammate responsible for ML. It assumes an RTX 4060 Laptop GPU with 8 GB VRAM, i7-13650HX and 24 GB RAM. The goal is a reproducible, defensible experiment, not simply a model that produces colourful masks.</w:t>
      </w:r>
    </w:p>
    <w:p>
      <w:pPr>
        <w:pStyle w:val="Heading1"/>
      </w:pPr>
      <w:r>
        <w:t>1. First: what 'fine-tuning' means</w:t>
      </w:r>
    </w:p>
    <w:p>
      <w:r>
        <w:t>Prithvi-EO-2.0 is already pretrained on Earth-observation data. Fine-tuning means keeping that learned representation and training it for our downstream task, such as segmentation. We are not training a 300M-parameter foundation model from zero.</w:t>
      </w:r>
    </w:p>
    <w:p>
      <w:pPr>
        <w:spacing w:after="120"/>
        <w:ind w:left="360" w:right="360"/>
      </w:pPr>
      <w:r>
        <w:rPr>
          <w:rFonts w:ascii="Consolas" w:hAnsi="Consolas"/>
          <w:sz w:val="17"/>
        </w:rPr>
        <w:t>Pretrained Prithvi encoder</w:t>
        <w:br/>
        <w:t xml:space="preserve">          +</w:t>
        <w:br/>
        <w:t>task-specific segmentation decoder/head</w:t>
        <w:br/>
        <w:t xml:space="preserve">          ↓</w:t>
        <w:br/>
        <w:t>training on labelled disaster data</w:t>
        <w:br/>
        <w:t xml:space="preserve">          ↓</w:t>
        <w:br/>
        <w:t>VISTA checkpoint</w:t>
      </w:r>
    </w:p>
    <w:p>
      <w:pPr>
        <w:pStyle w:val="Heading1"/>
      </w:pPr>
      <w:r>
        <w:t>2. The three architecture options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Option</w:t>
            </w:r>
          </w:p>
        </w:tc>
        <w:tc>
          <w:tcPr>
            <w:tcW w:type="dxa" w:w="2520"/>
            <w:shd w:fill="D9EAF7"/>
          </w:tcPr>
          <w:p>
            <w:r>
              <w:rPr>
                <w:b/>
              </w:rPr>
              <w:t>Input</w:t>
            </w:r>
          </w:p>
        </w:tc>
        <w:tc>
          <w:tcPr>
            <w:tcW w:type="dxa" w:w="2520"/>
            <w:shd w:fill="D9EAF7"/>
          </w:tcPr>
          <w:p>
            <w:r>
              <w:rPr>
                <w:b/>
              </w:rPr>
              <w:t>What happens</w:t>
            </w:r>
          </w:p>
        </w:tc>
        <w:tc>
          <w:tcPr>
            <w:tcW w:type="dxa" w:w="2520"/>
            <w:shd w:fill="D9EAF7"/>
          </w:tcPr>
          <w:p>
            <w:r>
              <w:rPr>
                <w:b/>
              </w:rPr>
              <w:t>When to use</w:t>
            </w:r>
          </w:p>
        </w:tc>
      </w:tr>
      <w:tr>
        <w:tc>
          <w:tcPr>
            <w:tcW w:type="dxa" w:w="2520"/>
          </w:tcPr>
          <w:p>
            <w:r>
              <w:t>A. Single-time segmentation</w:t>
            </w:r>
          </w:p>
        </w:tc>
        <w:tc>
          <w:tcPr>
            <w:tcW w:type="dxa" w:w="2520"/>
          </w:tcPr>
          <w:p>
            <w:r>
              <w:t>One image/time step</w:t>
            </w:r>
          </w:p>
        </w:tc>
        <w:tc>
          <w:tcPr>
            <w:tcW w:type="dxa" w:w="2520"/>
          </w:tcPr>
          <w:p>
            <w:r>
              <w:t>Prithvi encoder → segmentation decoder</w:t>
            </w:r>
          </w:p>
        </w:tc>
        <w:tc>
          <w:tcPr>
            <w:tcW w:type="dxa" w:w="2520"/>
          </w:tcPr>
          <w:p>
            <w:r>
              <w:t>First proof of pipeline; simplest and safest</w:t>
            </w:r>
          </w:p>
        </w:tc>
      </w:tr>
      <w:tr>
        <w:tc>
          <w:tcPr>
            <w:tcW w:type="dxa" w:w="2520"/>
          </w:tcPr>
          <w:p>
            <w:r>
              <w:t>B. Two-branch temporal comparison</w:t>
            </w:r>
          </w:p>
        </w:tc>
        <w:tc>
          <w:tcPr>
            <w:tcW w:type="dxa" w:w="2520"/>
          </w:tcPr>
          <w:p>
            <w:r>
              <w:t>Before + after</w:t>
            </w:r>
          </w:p>
        </w:tc>
        <w:tc>
          <w:tcPr>
            <w:tcW w:type="dxa" w:w="2520"/>
          </w:tcPr>
          <w:p>
            <w:r>
              <w:t>Two encoders/features → feature comparison → decoder</w:t>
            </w:r>
          </w:p>
        </w:tc>
        <w:tc>
          <w:tcPr>
            <w:tcW w:type="dxa" w:w="2520"/>
          </w:tcPr>
          <w:p>
            <w:r>
              <w:t>Research extension after A works</w:t>
            </w:r>
          </w:p>
        </w:tc>
      </w:tr>
      <w:tr>
        <w:tc>
          <w:tcPr>
            <w:tcW w:type="dxa" w:w="2520"/>
          </w:tcPr>
          <w:p>
            <w:r>
              <w:t>C. Native temporal Prithvi</w:t>
            </w:r>
          </w:p>
        </w:tc>
        <w:tc>
          <w:tcPr>
            <w:tcW w:type="dxa" w:w="2520"/>
          </w:tcPr>
          <w:p>
            <w:r>
              <w:t>Multiple time steps</w:t>
            </w:r>
          </w:p>
        </w:tc>
        <w:tc>
          <w:tcPr>
            <w:tcW w:type="dxa" w:w="2520"/>
          </w:tcPr>
          <w:p>
            <w:r>
              <w:t>Use Prithvi's temporal architecture to model a sequence</w:t>
            </w:r>
          </w:p>
        </w:tc>
        <w:tc>
          <w:tcPr>
            <w:tcW w:type="dxa" w:w="2520"/>
          </w:tcPr>
          <w:p>
            <w:r>
              <w:t>Best aligned with the foundation model, but needs compatible temporal data</w:t>
            </w:r>
          </w:p>
        </w:tc>
      </w:tr>
    </w:tbl>
    <w:p/>
    <w:p>
      <w:r>
        <w:rPr>
          <w:b/>
        </w:rPr>
        <w:t xml:space="preserve">Important: </w:t>
      </w:r>
      <w:r>
        <w:t>Start with Option A. Do not start by writing a custom Siamese model. The official Prithvi repository already provides TerraTorch fine-tuning examples, including flood and landslide segmentation. Use an official example as the baseline before changing the architecture.</w:t>
      </w:r>
    </w:p>
    <w:p>
      <w:pPr>
        <w:pStyle w:val="Heading1"/>
      </w:pPr>
      <w:r>
        <w:t>3. What Prithvi-EO-2.0-300M actually expects</w:t>
      </w:r>
    </w:p>
    <w:p>
      <w:r>
        <w:t>The official model card describes the 300M model as a six-band model pretrained on HLS data. Its standard band order is Blue, Green, Red, Narrow NIR, SWIR and SWIR 2. The configuration lists six input channels and four temporal frames in its pretraining configuration. This means our raw Sentinel-2 13-band stack cannot simply be passed into the pretrained model unchanged.</w:t>
      </w:r>
    </w:p>
    <w:p>
      <w:pPr>
        <w:pStyle w:val="Heading2"/>
      </w:pPr>
      <w:r>
        <w:t>Practical first input</w:t>
      </w:r>
    </w:p>
    <w:p>
      <w:pPr>
        <w:spacing w:after="120"/>
        <w:ind w:left="360" w:right="360"/>
      </w:pPr>
      <w:r>
        <w:rPr>
          <w:rFonts w:ascii="Consolas" w:hAnsi="Consolas"/>
          <w:sz w:val="17"/>
        </w:rPr>
        <w:t>B02  Blue</w:t>
        <w:br/>
        <w:t>B03  Green</w:t>
        <w:br/>
        <w:t>B04  Red</w:t>
        <w:br/>
        <w:t>B05  Red Edge 1 / approximate NIR-related HLS compatibility</w:t>
        <w:br/>
        <w:t>B06  Red Edge 2</w:t>
        <w:br/>
        <w:t>B07  Red Edge 3</w:t>
      </w:r>
    </w:p>
    <w:p>
      <w:r>
        <w:t>However, for a clean scientific experiment, the six bands should be selected and normalized according to the exact preprocessing/configuration of the chosen TerraTorch downstream task. Do not invent a band mapping merely because six bands fit the tensor shape.</w:t>
      </w:r>
    </w:p>
    <w:p>
      <w:pPr>
        <w:pStyle w:val="Heading1"/>
      </w:pPr>
      <w:r>
        <w:t>4. Dataset truth</w:t>
      </w:r>
    </w:p>
    <w:p>
      <w:pPr>
        <w:pStyle w:val="Heading2"/>
      </w:pPr>
      <w:r>
        <w:t>xBD</w:t>
      </w:r>
    </w:p>
    <w:p>
      <w:pPr>
        <w:pStyle w:val="ListBullet"/>
      </w:pPr>
      <w:r>
        <w:t>Use xBD for building-damage supervision.</w:t>
      </w:r>
    </w:p>
    <w:p>
      <w:pPr>
        <w:pStyle w:val="ListBullet"/>
      </w:pPr>
      <w:r>
        <w:t>Its core imagery is RGB pre/post disaster imagery with building polygons and damage labels.</w:t>
      </w:r>
    </w:p>
    <w:p>
      <w:pPr>
        <w:pStyle w:val="ListBullet"/>
      </w:pPr>
      <w:r>
        <w:t>It does not provide Sentinel-1 SAR plus Sentinel-2 multispectral channels for the same examples.</w:t>
      </w:r>
    </w:p>
    <w:p>
      <w:pPr>
        <w:pStyle w:val="ListBullet"/>
      </w:pPr>
      <w:r>
        <w:t>Therefore xBD cannot directly train the proposed full SAR+NIR+SWIR input model.</w:t>
      </w:r>
    </w:p>
    <w:p>
      <w:pPr>
        <w:pStyle w:val="Heading2"/>
      </w:pPr>
      <w:r>
        <w:t>Sen1Floods11</w:t>
      </w:r>
    </w:p>
    <w:p>
      <w:pPr>
        <w:pStyle w:val="ListBullet"/>
      </w:pPr>
      <w:r>
        <w:t>Provides Sentinel-1 VV/VH and Sentinel-2 imagery at 10 m for flood segmentation.</w:t>
      </w:r>
    </w:p>
    <w:p>
      <w:pPr>
        <w:pStyle w:val="ListBullet"/>
      </w:pPr>
      <w:r>
        <w:t>512×512 GeoTIFF chips are provided.</w:t>
      </w:r>
    </w:p>
    <w:p>
      <w:pPr>
        <w:pStyle w:val="ListBullet"/>
      </w:pPr>
      <w:r>
        <w:t>It is excellent for proving multimodal Sentinel preprocessing and flood segmentation.</w:t>
      </w:r>
    </w:p>
    <w:p>
      <w:pPr>
        <w:pStyle w:val="ListBullet"/>
      </w:pPr>
      <w:r>
        <w:t>Its label is water/flood oriented, not xBD-style building damage.</w:t>
      </w:r>
    </w:p>
    <w:p>
      <w:pPr>
        <w:pStyle w:val="Heading1"/>
      </w:pPr>
      <w:r>
        <w:t>5. Training roadmap</w:t>
      </w:r>
    </w:p>
    <w:p>
      <w:pPr>
        <w:pStyle w:val="ListNumber"/>
      </w:pPr>
      <w:r>
        <w:t>Reproduce an official Prithvi-EO-2.0 TerraTorch fine-tuning example on a small dataset.</w:t>
      </w:r>
    </w:p>
    <w:p>
      <w:pPr>
        <w:pStyle w:val="ListNumber"/>
      </w:pPr>
      <w:r>
        <w:t>Confirm the 4060 can complete a forward/backward pass at the chosen crop size.</w:t>
      </w:r>
    </w:p>
    <w:p>
      <w:pPr>
        <w:pStyle w:val="ListNumber"/>
      </w:pPr>
      <w:r>
        <w:t>Train a baseline with frozen or mostly frozen encoder.</w:t>
      </w:r>
    </w:p>
    <w:p>
      <w:pPr>
        <w:pStyle w:val="ListNumber"/>
      </w:pPr>
      <w:r>
        <w:t>Evaluate on a held-out split.</w:t>
      </w:r>
    </w:p>
    <w:p>
      <w:pPr>
        <w:pStyle w:val="ListNumber"/>
      </w:pPr>
      <w:r>
        <w:t>Add the temporal/pre-post component only after baseline training is stable.</w:t>
      </w:r>
    </w:p>
    <w:p>
      <w:pPr>
        <w:pStyle w:val="ListNumber"/>
      </w:pPr>
      <w:r>
        <w:t>Run the band ablation experiments.</w:t>
      </w:r>
    </w:p>
    <w:p>
      <w:pPr>
        <w:pStyle w:val="ListNumber"/>
      </w:pPr>
      <w:r>
        <w:t>Only then consider adding Sentinel-1 fusion.</w:t>
      </w:r>
    </w:p>
    <w:p>
      <w:pPr>
        <w:pStyle w:val="Heading1"/>
      </w:pPr>
      <w:r>
        <w:t>6. Environment</w:t>
      </w:r>
    </w:p>
    <w:p>
      <w:pPr>
        <w:spacing w:after="120"/>
        <w:ind w:left="360" w:right="360"/>
      </w:pPr>
      <w:r>
        <w:rPr>
          <w:rFonts w:ascii="Consolas" w:hAnsi="Consolas"/>
          <w:sz w:val="17"/>
        </w:rPr>
        <w:t>conda create -n vista-ml python=3.11 -y</w:t>
        <w:br/>
        <w:t>conda activate vista-ml</w:t>
        <w:br/>
        <w:br/>
        <w:t>pip install torch torchvision</w:t>
        <w:br/>
        <w:t>pip install terratorch</w:t>
        <w:br/>
        <w:t>pip install rasterio numpy pandas matplotlib scikit-learn</w:t>
        <w:br/>
        <w:t>pip install huggingface_hub wandb</w:t>
        <w:br/>
      </w:r>
    </w:p>
    <w:p>
      <w:r>
        <w:t>Use the official TerraTorch/Prithvi repository requirements when versions conflict. The official Prithvi repository is the source of truth for its examples.</w:t>
      </w:r>
    </w:p>
    <w:p>
      <w:pPr>
        <w:pStyle w:val="Heading1"/>
      </w:pPr>
      <w:r>
        <w:t>7. Downloading the checkpoint</w:t>
      </w:r>
    </w:p>
    <w:p>
      <w:pPr>
        <w:spacing w:after="120"/>
        <w:ind w:left="360" w:right="360"/>
      </w:pPr>
      <w:r>
        <w:rPr>
          <w:rFonts w:ascii="Consolas" w:hAnsi="Consolas"/>
          <w:sz w:val="17"/>
        </w:rPr>
        <w:t>from huggingface_hub import snapshot_download</w:t>
        <w:br/>
        <w:br/>
        <w:t>snapshot_download(</w:t>
        <w:br/>
        <w:t xml:space="preserve">    repo_id="ibm-nasa-geospatial/Prithvi-EO-2.0-300M",</w:t>
        <w:br/>
        <w:t xml:space="preserve">    local_dir="./weights/prithvi-300m"</w:t>
        <w:br/>
        <w:t>)</w:t>
      </w:r>
    </w:p>
    <w:p>
      <w:r>
        <w:t>The Hugging Face repository currently contains the 300M checkpoint and configuration. Keep the model weights outside the web application repository if the repository becomes large.</w:t>
      </w:r>
    </w:p>
    <w:p>
      <w:pPr>
        <w:pStyle w:val="Heading1"/>
      </w:pPr>
      <w:r>
        <w:t>8. Loading the backbone</w:t>
      </w:r>
    </w:p>
    <w:p>
      <w:pPr>
        <w:spacing w:after="120"/>
        <w:ind w:left="360" w:right="360"/>
      </w:pPr>
      <w:r>
        <w:rPr>
          <w:rFonts w:ascii="Consolas" w:hAnsi="Consolas"/>
          <w:sz w:val="17"/>
        </w:rPr>
        <w:t>from terratorch.registry import BACKBONE_REGISTRY</w:t>
        <w:br/>
        <w:br/>
        <w:t>backbone = BACKBONE_REGISTRY.build(</w:t>
        <w:br/>
        <w:t xml:space="preserve">    "ibm-nasa-geospatial/Prithvi-EO-2.0-300M",</w:t>
        <w:br/>
        <w:t xml:space="preserve">    pretrained=True</w:t>
        <w:br/>
        <w:t>)</w:t>
      </w:r>
    </w:p>
    <w:p>
      <w:r>
        <w:t>The exact registry identifier/configuration can vary with the installed TerraTorch version. Prefer the identifier shown in the official model card and current repository examples rather than copying an older third-party snippet.</w:t>
      </w:r>
    </w:p>
    <w:p>
      <w:pPr>
        <w:pStyle w:val="Heading1"/>
      </w:pPr>
      <w:r>
        <w:t>9. Fine-tuning with TerraTorch</w:t>
      </w:r>
    </w:p>
    <w:p>
      <w:r>
        <w:t>The preferred first implementation is a TerraTorch configuration based on an official Prithvi downstream task. This is safer than manually constructing a model factory and decoder from memory.</w:t>
      </w:r>
    </w:p>
    <w:p>
      <w:pPr>
        <w:spacing w:after="120"/>
        <w:ind w:left="360" w:right="360"/>
      </w:pPr>
      <w:r>
        <w:rPr>
          <w:rFonts w:ascii="Consolas" w:hAnsi="Consolas"/>
          <w:sz w:val="17"/>
        </w:rPr>
        <w:t># Conceptual command</w:t>
        <w:br/>
        <w:t>terratorch fit -c vista_prithvi_config.yaml</w:t>
      </w:r>
    </w:p>
    <w:p>
      <w:r>
        <w:t>The YAML should specify the dataset, input bands, task, decoder, number of classes, optimizer, learning rate, scheduler, augmentation, batch size, checkpointing and validation metrics. Start from an official Prithvi example such as the Sen1Floods11/flood or landslide configuration and modify only the minimum required fields.</w:t>
      </w:r>
    </w:p>
    <w:p>
      <w:pPr>
        <w:pStyle w:val="Heading1"/>
      </w:pPr>
      <w:r>
        <w:t>10. Why freezing the encoder is useful</w:t>
      </w:r>
    </w:p>
    <w:p>
      <w:pPr>
        <w:pStyle w:val="ListBullet"/>
      </w:pPr>
      <w:r>
        <w:t>Reduces trainable parameters.</w:t>
      </w:r>
    </w:p>
    <w:p>
      <w:pPr>
        <w:pStyle w:val="ListBullet"/>
      </w:pPr>
      <w:r>
        <w:t>Reduces VRAM and training instability.</w:t>
      </w:r>
    </w:p>
    <w:p>
      <w:pPr>
        <w:pStyle w:val="ListBullet"/>
      </w:pPr>
      <w:r>
        <w:t>Makes a 4060-class GPU more practical.</w:t>
      </w:r>
    </w:p>
    <w:p>
      <w:pPr>
        <w:pStyle w:val="ListBullet"/>
      </w:pPr>
      <w:r>
        <w:t>Provides a clean proof that the pretrained representation transfers.</w:t>
      </w:r>
    </w:p>
    <w:p>
      <w:r>
        <w:t>Later experiments can unfreeze the last transformer blocks with a much smaller learning rate if the frozen model plateaus.</w:t>
      </w:r>
    </w:p>
    <w:p>
      <w:pPr>
        <w:pStyle w:val="Heading1"/>
      </w:pPr>
      <w:r>
        <w:t>11. RTX 4060 memory strategy</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Setting</w:t>
            </w:r>
          </w:p>
        </w:tc>
        <w:tc>
          <w:tcPr>
            <w:tcW w:type="dxa" w:w="3360"/>
            <w:shd w:fill="D9EAF7"/>
          </w:tcPr>
          <w:p>
            <w:r>
              <w:rPr>
                <w:b/>
              </w:rPr>
              <w:t>Starting point</w:t>
            </w:r>
          </w:p>
        </w:tc>
        <w:tc>
          <w:tcPr>
            <w:tcW w:type="dxa" w:w="3360"/>
            <w:shd w:fill="D9EAF7"/>
          </w:tcPr>
          <w:p>
            <w:r>
              <w:rPr>
                <w:b/>
              </w:rPr>
              <w:t>Adjustment if OOM</w:t>
            </w:r>
          </w:p>
        </w:tc>
      </w:tr>
      <w:tr>
        <w:tc>
          <w:tcPr>
            <w:tcW w:type="dxa" w:w="3360"/>
          </w:tcPr>
          <w:p>
            <w:r>
              <w:t>Precision</w:t>
            </w:r>
          </w:p>
        </w:tc>
        <w:tc>
          <w:tcPr>
            <w:tcW w:type="dxa" w:w="3360"/>
          </w:tcPr>
          <w:p>
            <w:r>
              <w:t>AMP / FP16 or BF16 if supported</w:t>
            </w:r>
          </w:p>
        </w:tc>
        <w:tc>
          <w:tcPr>
            <w:tcW w:type="dxa" w:w="3360"/>
          </w:tcPr>
          <w:p>
            <w:r>
              <w:t>Use mixed precision</w:t>
            </w:r>
          </w:p>
        </w:tc>
      </w:tr>
      <w:tr>
        <w:tc>
          <w:tcPr>
            <w:tcW w:type="dxa" w:w="3360"/>
          </w:tcPr>
          <w:p>
            <w:r>
              <w:t>Batch size</w:t>
            </w:r>
          </w:p>
        </w:tc>
        <w:tc>
          <w:tcPr>
            <w:tcW w:type="dxa" w:w="3360"/>
          </w:tcPr>
          <w:p>
            <w:r>
              <w:t>1–2 initially</w:t>
            </w:r>
          </w:p>
        </w:tc>
        <w:tc>
          <w:tcPr>
            <w:tcW w:type="dxa" w:w="3360"/>
          </w:tcPr>
          <w:p>
            <w:r>
              <w:t>Reduce to 1</w:t>
            </w:r>
          </w:p>
        </w:tc>
      </w:tr>
      <w:tr>
        <w:tc>
          <w:tcPr>
            <w:tcW w:type="dxa" w:w="3360"/>
          </w:tcPr>
          <w:p>
            <w:r>
              <w:t>Crop</w:t>
            </w:r>
          </w:p>
        </w:tc>
        <w:tc>
          <w:tcPr>
            <w:tcW w:type="dxa" w:w="3360"/>
          </w:tcPr>
          <w:p>
            <w:r>
              <w:t>256 or 512 depending on official config</w:t>
            </w:r>
          </w:p>
        </w:tc>
        <w:tc>
          <w:tcPr>
            <w:tcW w:type="dxa" w:w="3360"/>
          </w:tcPr>
          <w:p>
            <w:r>
              <w:t>Reduce crop</w:t>
            </w:r>
          </w:p>
        </w:tc>
      </w:tr>
      <w:tr>
        <w:tc>
          <w:tcPr>
            <w:tcW w:type="dxa" w:w="3360"/>
          </w:tcPr>
          <w:p>
            <w:r>
              <w:t>Gradient accumulation</w:t>
            </w:r>
          </w:p>
        </w:tc>
        <w:tc>
          <w:tcPr>
            <w:tcW w:type="dxa" w:w="3360"/>
          </w:tcPr>
          <w:p>
            <w:r>
              <w:t>2–8</w:t>
            </w:r>
          </w:p>
        </w:tc>
        <w:tc>
          <w:tcPr>
            <w:tcW w:type="dxa" w:w="3360"/>
          </w:tcPr>
          <w:p>
            <w:r>
              <w:t>Increase to preserve effective batch</w:t>
            </w:r>
          </w:p>
        </w:tc>
      </w:tr>
      <w:tr>
        <w:tc>
          <w:tcPr>
            <w:tcW w:type="dxa" w:w="3360"/>
          </w:tcPr>
          <w:p>
            <w:r>
              <w:t>Encoder</w:t>
            </w:r>
          </w:p>
        </w:tc>
        <w:tc>
          <w:tcPr>
            <w:tcW w:type="dxa" w:w="3360"/>
          </w:tcPr>
          <w:p>
            <w:r>
              <w:t>Frozen initially</w:t>
            </w:r>
          </w:p>
        </w:tc>
        <w:tc>
          <w:tcPr>
            <w:tcW w:type="dxa" w:w="3360"/>
          </w:tcPr>
          <w:p>
            <w:r>
              <w:t>Keep frozen before changing crop</w:t>
            </w:r>
          </w:p>
        </w:tc>
      </w:tr>
      <w:tr>
        <w:tc>
          <w:tcPr>
            <w:tcW w:type="dxa" w:w="3360"/>
          </w:tcPr>
          <w:p>
            <w:r>
              <w:t>Workers</w:t>
            </w:r>
          </w:p>
        </w:tc>
        <w:tc>
          <w:tcPr>
            <w:tcW w:type="dxa" w:w="3360"/>
          </w:tcPr>
          <w:p>
            <w:r>
              <w:t>2–4</w:t>
            </w:r>
          </w:p>
        </w:tc>
        <w:tc>
          <w:tcPr>
            <w:tcW w:type="dxa" w:w="3360"/>
          </w:tcPr>
          <w:p>
            <w:r>
              <w:t>Reduce if system RAM/IO is stressed</w:t>
            </w:r>
          </w:p>
        </w:tc>
      </w:tr>
    </w:tbl>
    <w:p/>
    <w:p>
      <w:r>
        <w:t>Do not assume batch size 4 will fit simply because a model has 300M parameters. Attention memory, decoder, crop size, optimizer state and mixed precision all affect VRAM. Measure actual peak memory with nvidia-smi/PyTorch.</w:t>
      </w:r>
    </w:p>
    <w:p>
      <w:pPr>
        <w:pStyle w:val="Heading1"/>
      </w:pPr>
      <w:r>
        <w:t>12. The ablation experiment explained</w:t>
      </w:r>
    </w:p>
    <w:p>
      <w:r>
        <w:t>Ablation means deliberately removing one information source and measuring what happens. It answers whether the added sensor/band is actually useful.</w:t>
      </w:r>
    </w:p>
    <w:p>
      <w:pPr>
        <w:spacing w:after="120"/>
        <w:ind w:left="360" w:right="360"/>
      </w:pPr>
      <w:r>
        <w:rPr>
          <w:rFonts w:ascii="Consolas" w:hAnsi="Consolas"/>
          <w:sz w:val="17"/>
        </w:rPr>
        <w:t>Run 1: RGB</w:t>
        <w:br/>
        <w:t>Run 2: RGB + NIR</w:t>
        <w:br/>
        <w:t>Run 3: RGB + NIR + SWIR</w:t>
        <w:br/>
        <w:t>Run 4: RGB + NIR + SWIR + SAR</w:t>
        <w:br/>
        <w:br/>
        <w:t>For each run record:</w:t>
        <w:br/>
        <w:t>- validation F1</w:t>
        <w:br/>
        <w:t>- macro F1</w:t>
        <w:br/>
        <w:t>- mIoU</w:t>
        <w:br/>
        <w:t>- inference time</w:t>
        <w:br/>
        <w:t>- number of trainable parameters</w:t>
        <w:br/>
      </w:r>
    </w:p>
    <w:p>
      <w:r>
        <w:t>Example only: if RGB = 0.61 and multimodal = 0.78, the difference is 0.17 F1, or 17 percentage points. We may say 'a 17-percentage-point F1 improvement' only after the experiment actually produces those numbers.</w:t>
      </w:r>
    </w:p>
    <w:p>
      <w:pPr>
        <w:pStyle w:val="Heading1"/>
      </w:pPr>
      <w:r>
        <w:t>13. Evaluation split discipline</w:t>
      </w:r>
    </w:p>
    <w:p>
      <w:pPr>
        <w:pStyle w:val="ListBullet"/>
      </w:pPr>
      <w:r>
        <w:t>Do not tune thresholds on the final test set.</w:t>
      </w:r>
    </w:p>
    <w:p>
      <w:pPr>
        <w:pStyle w:val="ListBullet"/>
      </w:pPr>
      <w:r>
        <w:t>Keep disaster events separated where possible so the model is tested on unseen geography/event conditions.</w:t>
      </w:r>
    </w:p>
    <w:p>
      <w:pPr>
        <w:pStyle w:val="ListBullet"/>
      </w:pPr>
      <w:r>
        <w:t>Use validation for model selection.</w:t>
      </w:r>
    </w:p>
    <w:p>
      <w:pPr>
        <w:pStyle w:val="ListBullet"/>
      </w:pPr>
      <w:r>
        <w:t>Use the held-out test set once for final reporting.</w:t>
      </w:r>
    </w:p>
    <w:p>
      <w:pPr>
        <w:pStyle w:val="ListBullet"/>
      </w:pPr>
      <w:r>
        <w:t>Record the exact checkpoint and configuration used for every reported result.</w:t>
      </w:r>
    </w:p>
    <w:p>
      <w:pPr>
        <w:pStyle w:val="Heading1"/>
      </w:pPr>
      <w:r>
        <w:t>14. Metrics</w:t>
      </w:r>
    </w:p>
    <w:p>
      <w:pPr>
        <w:spacing w:after="120"/>
        <w:ind w:left="360" w:right="360"/>
      </w:pPr>
      <w:r>
        <w:rPr>
          <w:rFonts w:ascii="Consolas" w:hAnsi="Consolas"/>
          <w:sz w:val="17"/>
        </w:rPr>
        <w:t>from sklearn.metrics import f1_score, confusion_matrix</w:t>
        <w:br/>
        <w:br/>
        <w:t>per_class_f1 = f1_score(</w:t>
        <w:br/>
        <w:t xml:space="preserve">    y_true.flatten(),</w:t>
        <w:br/>
        <w:t xml:space="preserve">    y_pred.flatten(),</w:t>
        <w:br/>
        <w:t xml:space="preserve">    average=None,</w:t>
        <w:br/>
        <w:t xml:space="preserve">    labels=[0, 1, 2, 3]</w:t>
        <w:br/>
        <w:t>)</w:t>
        <w:br/>
        <w:br/>
        <w:t>cm = confusion_matrix(</w:t>
        <w:br/>
        <w:t xml:space="preserve">    y_true.flatten(),</w:t>
        <w:br/>
        <w:t xml:space="preserve">    y_pred.flatten(),</w:t>
        <w:br/>
        <w:t xml:space="preserve">    labels=[0, 1, 2, 3]</w:t>
        <w:br/>
        <w:t>)</w:t>
      </w:r>
    </w:p>
    <w:p>
      <w:r>
        <w:t>For segmentation, also compute IoU per class and mean IoU. Report macro F1 because severe classes may be much rarer than background.</w:t>
      </w:r>
    </w:p>
    <w:p>
      <w:pPr>
        <w:pStyle w:val="Heading1"/>
      </w:pPr>
      <w:r>
        <w:t>15. Class imbalance</w:t>
      </w:r>
    </w:p>
    <w:p>
      <w:pPr>
        <w:pStyle w:val="ListBullet"/>
      </w:pPr>
      <w:r>
        <w:t>Background/no-damage pixels can dominate.</w:t>
      </w:r>
    </w:p>
    <w:p>
      <w:pPr>
        <w:pStyle w:val="ListBullet"/>
      </w:pPr>
      <w:r>
        <w:t>Minor and major damage may be much less frequent.</w:t>
      </w:r>
    </w:p>
    <w:p>
      <w:pPr>
        <w:pStyle w:val="ListBullet"/>
      </w:pPr>
      <w:r>
        <w:t>Destroyed pixels may be rare but operationally important.</w:t>
      </w:r>
    </w:p>
    <w:p>
      <w:pPr>
        <w:pStyle w:val="ListBullet"/>
      </w:pPr>
      <w:r>
        <w:t>Consider weighted cross-entropy, focal loss or a combined loss only after establishing a baseline.</w:t>
      </w:r>
    </w:p>
    <w:p>
      <w:pPr>
        <w:pStyle w:val="ListBullet"/>
      </w:pPr>
      <w:r>
        <w:t>Do not tune class weights on the test set.</w:t>
      </w:r>
    </w:p>
    <w:p>
      <w:pPr>
        <w:pStyle w:val="Heading1"/>
      </w:pPr>
      <w:r>
        <w:t>16. Before/after temporal experiments</w:t>
      </w:r>
    </w:p>
    <w:p>
      <w:pPr>
        <w:pStyle w:val="Heading2"/>
      </w:pPr>
      <w:r>
        <w:t>Option B: two-branch feature comparison</w:t>
      </w:r>
    </w:p>
    <w:p>
      <w:pPr>
        <w:spacing w:after="120"/>
        <w:ind w:left="360" w:right="360"/>
      </w:pPr>
      <w:r>
        <w:rPr>
          <w:rFonts w:ascii="Consolas" w:hAnsi="Consolas"/>
          <w:sz w:val="17"/>
        </w:rPr>
        <w:t>Before → shared Prithvi encoder → features_before</w:t>
        <w:br/>
        <w:t>After  → shared Prithvi encoder → features_after</w:t>
        <w:br/>
        <w:br/>
        <w:t>feature_delta = features_after - features_before</w:t>
        <w:br/>
        <w:t>feature_pair  = concat(features_before, features_after, feature_delta)</w:t>
        <w:br/>
        <w:br/>
        <w:t>feature_pair → decoder → damage classes</w:t>
      </w:r>
    </w:p>
    <w:p>
      <w:r>
        <w:t>This is a custom research model. It is reasonable after Option A works, but it is not the first implementation.</w:t>
      </w:r>
    </w:p>
    <w:p>
      <w:pPr>
        <w:pStyle w:val="Heading2"/>
      </w:pPr>
      <w:r>
        <w:t>Option C: native temporal Prithvi</w:t>
      </w:r>
    </w:p>
    <w:p>
      <w:r>
        <w:t>Prithvi-EO-2.0 was designed with 3D spatiotemporal patch embeddings. A temporal version can represent multiple time steps. This is conceptually elegant for pre/post imagery, but the dataset loader must produce the exact temporal tensor and metadata expected by the selected checkpoint/config.</w:t>
      </w:r>
    </w:p>
    <w:p>
      <w:pPr>
        <w:pStyle w:val="Heading1"/>
      </w:pPr>
      <w:r>
        <w:t>17. Sentinel-1 fusion</w:t>
      </w:r>
    </w:p>
    <w:p>
      <w:r>
        <w:t>Do not simply append VV/VH to the six pretrained Prithvi channels and assume the pretrained weights understand them. Adding SAR is a modality change. The clean options are: a dedicated SAR encoder plus fusion, a small learned projection from SAR channels into the model feature space, or a model/configuration explicitly designed for the multimodal input.</w:t>
      </w:r>
    </w:p>
    <w:p>
      <w:pPr>
        <w:pStyle w:val="Heading1"/>
      </w:pPr>
      <w:r>
        <w:t>18. Checkpointing and experiment logging</w:t>
      </w:r>
    </w:p>
    <w:p>
      <w:pPr>
        <w:spacing w:after="120"/>
        <w:ind w:left="360" w:right="360"/>
      </w:pPr>
      <w:r>
        <w:rPr>
          <w:rFonts w:ascii="Consolas" w:hAnsi="Consolas"/>
          <w:sz w:val="17"/>
        </w:rPr>
        <w:t>wandb.init(</w:t>
        <w:br/>
        <w:t xml:space="preserve">    project="vista-phase2",</w:t>
        <w:br/>
        <w:t xml:space="preserve">    name="prithvi-baseline-001"</w:t>
        <w:br/>
        <w:t>)</w:t>
        <w:br/>
        <w:br/>
        <w:t># log</w:t>
        <w:br/>
        <w:t>wandb.log({</w:t>
        <w:br/>
        <w:t xml:space="preserve">    "train_loss": train_loss,</w:t>
        <w:br/>
        <w:t xml:space="preserve">    "val_macro_f1": val_macro_f1,</w:t>
        <w:br/>
        <w:t xml:space="preserve">    "val_miou": val_miou,</w:t>
        <w:br/>
        <w:t xml:space="preserve">    "lr": current_lr,</w:t>
        <w:br/>
        <w:t xml:space="preserve">    "epoch": epoch</w:t>
        <w:br/>
        <w:t>})</w:t>
      </w:r>
    </w:p>
    <w:p>
      <w:pPr>
        <w:pStyle w:val="ListBullet"/>
      </w:pPr>
      <w:r>
        <w:t>Save best validation checkpoint, not only the last checkpoint.</w:t>
      </w:r>
    </w:p>
    <w:p>
      <w:pPr>
        <w:pStyle w:val="ListBullet"/>
      </w:pPr>
      <w:r>
        <w:t>Save the YAML/config beside the checkpoint.</w:t>
      </w:r>
    </w:p>
    <w:p>
      <w:pPr>
        <w:pStyle w:val="ListBullet"/>
      </w:pPr>
      <w:r>
        <w:t>Save the preprocessing/band manifest.</w:t>
      </w:r>
    </w:p>
    <w:p>
      <w:pPr>
        <w:pStyle w:val="ListBullet"/>
      </w:pPr>
      <w:r>
        <w:t>Record Git commit hash.</w:t>
      </w:r>
    </w:p>
    <w:p>
      <w:pPr>
        <w:pStyle w:val="ListBullet"/>
      </w:pPr>
      <w:r>
        <w:t>Record dataset split/version.</w:t>
      </w:r>
    </w:p>
    <w:p>
      <w:pPr>
        <w:pStyle w:val="Heading1"/>
      </w:pPr>
      <w:r>
        <w:t>19. What a credible final ML result looks like</w:t>
      </w:r>
    </w:p>
    <w:p>
      <w:pPr>
        <w:spacing w:after="120"/>
        <w:ind w:left="360" w:right="360"/>
      </w:pPr>
      <w:r>
        <w:rPr>
          <w:rFonts w:ascii="Consolas" w:hAnsi="Consolas"/>
          <w:sz w:val="17"/>
        </w:rPr>
        <w:t>VISTA Model v0.3</w:t>
        <w:br/>
        <w:t>Input: Sentinel-2 six-band configuration</w:t>
        <w:br/>
        <w:t>Task: disaster impact segmentation</w:t>
        <w:br/>
        <w:t>Test split: held-out events</w:t>
        <w:br/>
        <w:br/>
        <w:t>Macro F1: 0.xx</w:t>
        <w:br/>
        <w:t>mIoU: 0.xx</w:t>
        <w:br/>
        <w:t>Destroyed F1: 0.xx</w:t>
        <w:br/>
        <w:t>Inference: xx ms/chip</w:t>
        <w:br/>
      </w:r>
    </w:p>
    <w:p>
      <w:r>
        <w:t>Numbers are intentionally placeholders. The model owner must fill them only after running the experiment.</w:t>
      </w:r>
    </w:p>
    <w:p>
      <w:pPr>
        <w:pStyle w:val="Heading1"/>
      </w:pPr>
      <w:r>
        <w:t>20. References</w:t>
      </w:r>
    </w:p>
    <w:p>
      <w:pPr>
        <w:pStyle w:val="ListBullet"/>
      </w:pPr>
      <w:r>
        <w:t>Prithvi-EO-2.0 model card: https://huggingface.co/ibm-nasa-geospatial/Prithvi-EO-2.0-300M</w:t>
      </w:r>
    </w:p>
    <w:p>
      <w:pPr>
        <w:pStyle w:val="ListBullet"/>
      </w:pPr>
      <w:r>
        <w:t>Official Prithvi repository: https://github.com/NASA-IMPACT/Prithvi-EO-2.0</w:t>
      </w:r>
    </w:p>
    <w:p>
      <w:pPr>
        <w:pStyle w:val="ListBullet"/>
      </w:pPr>
      <w:r>
        <w:t>Sen1Floods11: https://github.com/cloudtostreet/Sen1Floods11</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VISTA | SIH 2026 | Internal team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