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VISTA Phase 2 — UI/UX Direction</w:t>
      </w:r>
    </w:p>
    <w:p>
      <w:pPr>
        <w:jc w:val="center"/>
      </w:pPr>
      <w:r>
        <w:rPr>
          <w:i/>
        </w:rPr>
        <w:t>Shared product experience and design language</w:t>
      </w:r>
    </w:p>
    <w:p/>
    <w:p>
      <w:r>
        <w:t>The UI should make VISTA feel like an operational disaster-intelligence console rather than a generic AI dashboard. The interface should communicate evidence, uncertainty and priority quickly.</w:t>
      </w:r>
    </w:p>
    <w:p>
      <w:pPr>
        <w:pStyle w:val="Heading1"/>
      </w:pPr>
      <w:r>
        <w:t>1. Product experience principle</w:t>
      </w:r>
    </w:p>
    <w:p>
      <w:r>
        <w:t>The central question for every screen is: 'What changed, how confident are we, and where should a responder look first?'</w:t>
      </w:r>
    </w:p>
    <w:p>
      <w:pPr>
        <w:pStyle w:val="Heading1"/>
      </w:pPr>
      <w:r>
        <w:t>2. Primary information architecture</w:t>
      </w:r>
    </w:p>
    <w:p>
      <w:pPr>
        <w:spacing w:after="120"/>
        <w:ind w:left="360" w:right="360"/>
      </w:pPr>
      <w:r>
        <w:rPr>
          <w:rFonts w:ascii="Consolas" w:hAnsi="Consolas"/>
          <w:sz w:val="17"/>
        </w:rPr>
        <w:t>VISTA</w:t>
        <w:br/>
        <w:t>├── Overview / Event Selection</w:t>
        <w:br/>
        <w:t>├── Data &amp; Acquisition</w:t>
        <w:br/>
        <w:t>├── Assessment</w:t>
        <w:br/>
        <w:t>│   ├── Before</w:t>
        <w:br/>
        <w:t>│   ├── After</w:t>
        <w:br/>
        <w:t>│   ├── Impact</w:t>
        <w:br/>
        <w:t>│   ├── Confidence</w:t>
        <w:br/>
        <w:t>│   └── Evidence</w:t>
        <w:br/>
        <w:t>├── Priority Sectors</w:t>
        <w:br/>
        <w:t>├── Reports</w:t>
        <w:br/>
        <w:t>└── Export / GIS</w:t>
      </w:r>
    </w:p>
    <w:p>
      <w:pPr>
        <w:pStyle w:val="Heading1"/>
      </w:pPr>
      <w:r>
        <w:t>3. Landing / event selection</w:t>
      </w:r>
    </w:p>
    <w:p>
      <w:pPr>
        <w:pStyle w:val="ListBullet"/>
      </w:pPr>
      <w:r>
        <w:t>Keep the existing disaster presets because they make the demo immediate.</w:t>
      </w:r>
    </w:p>
    <w:p>
      <w:pPr>
        <w:pStyle w:val="ListBullet"/>
      </w:pPr>
      <w:r>
        <w:t>Each preset should show event type, area, before/after dates and available sensors.</w:t>
      </w:r>
    </w:p>
    <w:p>
      <w:pPr>
        <w:pStyle w:val="ListBullet"/>
      </w:pPr>
      <w:r>
        <w:t>Make data freshness visible.</w:t>
      </w:r>
    </w:p>
    <w:p>
      <w:pPr>
        <w:pStyle w:val="ListBullet"/>
      </w:pPr>
      <w:r>
        <w:t>Provide a clear distinction between 'live/authorized data', 'archived satellite data' and 'demo/sample data'.</w:t>
      </w:r>
    </w:p>
    <w:p>
      <w:pPr>
        <w:pStyle w:val="Heading1"/>
      </w:pPr>
      <w:r>
        <w:t>4. Assessment workspace</w:t>
      </w:r>
    </w:p>
    <w:p>
      <w:pPr>
        <w:spacing w:after="120"/>
        <w:ind w:left="360" w:right="36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VISTA | Event | Data date | Sensor | Processing status      │</w:t>
        <w:br/>
        <w:t>├───────────────────────┬─────────────────────────────────────┤</w:t>
        <w:br/>
        <w:t>│                       │ Impact: HIGH                         │</w:t>
        <w:br/>
        <w:t>│                       │ Confidence: 91%                      │</w:t>
        <w:br/>
        <w:t>│       MAP             │ Priority: CRITICAL                   │</w:t>
        <w:br/>
        <w:t>│                       │                                     │</w:t>
        <w:br/>
        <w:t>│  Before / After /     │ Evidence                             │</w:t>
        <w:br/>
        <w:t>│  Impact / Confidence  │ • SAR change: high                  │</w:t>
        <w:br/>
        <w:t>│                       │ • Optical change: moderate           │</w:t>
        <w:br/>
        <w:t>│                       │ • Cloud quality: good                │</w:t>
        <w:br/>
        <w:t>├───────────────────────┴─────────────────────────────────────┤</w:t>
        <w:br/>
        <w:t>│ Sector stats | affected area | model version | latency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5. Map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Before</w:t>
            </w:r>
          </w:p>
        </w:tc>
        <w:tc>
          <w:tcPr>
            <w:tcW w:type="dxa" w:w="5040"/>
          </w:tcPr>
          <w:p>
            <w:r>
              <w:t>Reference condition</w:t>
            </w:r>
          </w:p>
        </w:tc>
      </w:tr>
      <w:tr>
        <w:tc>
          <w:tcPr>
            <w:tcW w:type="dxa" w:w="5040"/>
          </w:tcPr>
          <w:p>
            <w:r>
              <w:t>After</w:t>
            </w:r>
          </w:p>
        </w:tc>
        <w:tc>
          <w:tcPr>
            <w:tcW w:type="dxa" w:w="5040"/>
          </w:tcPr>
          <w:p>
            <w:r>
              <w:t>Post-event observation</w:t>
            </w:r>
          </w:p>
        </w:tc>
      </w:tr>
      <w:tr>
        <w:tc>
          <w:tcPr>
            <w:tcW w:type="dxa" w:w="5040"/>
          </w:tcPr>
          <w:p>
            <w:r>
              <w:t>Impact</w:t>
            </w:r>
          </w:p>
        </w:tc>
        <w:tc>
          <w:tcPr>
            <w:tcW w:type="dxa" w:w="5040"/>
          </w:tcPr>
          <w:p>
            <w:r>
              <w:t>Model/algorithm impact probability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Where the model is trustworthy</w:t>
            </w:r>
          </w:p>
        </w:tc>
      </w:tr>
      <w:tr>
        <w:tc>
          <w:tcPr>
            <w:tcW w:type="dxa" w:w="5040"/>
          </w:tcPr>
          <w:p>
            <w:r>
              <w:t>Priority grid</w:t>
            </w:r>
          </w:p>
        </w:tc>
        <w:tc>
          <w:tcPr>
            <w:tcW w:type="dxa" w:w="5040"/>
          </w:tcPr>
          <w:p>
            <w:r>
              <w:t>Operational triage</w:t>
            </w:r>
          </w:p>
        </w:tc>
      </w:tr>
      <w:tr>
        <w:tc>
          <w:tcPr>
            <w:tcW w:type="dxa" w:w="5040"/>
          </w:tcPr>
          <w:p>
            <w:r>
              <w:t>SAR evidence</w:t>
            </w:r>
          </w:p>
        </w:tc>
        <w:tc>
          <w:tcPr>
            <w:tcW w:type="dxa" w:w="5040"/>
          </w:tcPr>
          <w:p>
            <w:r>
              <w:t>All-weather supporting signal</w:t>
            </w:r>
          </w:p>
        </w:tc>
      </w:tr>
      <w:tr>
        <w:tc>
          <w:tcPr>
            <w:tcW w:type="dxa" w:w="5040"/>
          </w:tcPr>
          <w:p>
            <w:r>
              <w:t>Optical evidence</w:t>
            </w:r>
          </w:p>
        </w:tc>
        <w:tc>
          <w:tcPr>
            <w:tcW w:type="dxa" w:w="5040"/>
          </w:tcPr>
          <w:p>
            <w:r>
              <w:t>Multispectral supporting signal</w:t>
            </w:r>
          </w:p>
        </w:tc>
      </w:tr>
    </w:tbl>
    <w:p/>
    <w:p>
      <w:pPr>
        <w:pStyle w:val="Heading1"/>
      </w:pPr>
      <w:r>
        <w:t>6. Sector interaction</w:t>
      </w:r>
    </w:p>
    <w:p>
      <w:r>
        <w:t>The existing 32×32 grid should evolve from a decorative overlay into an inspection index.</w:t>
      </w:r>
    </w:p>
    <w:p>
      <w:pPr>
        <w:pStyle w:val="ListBullet"/>
      </w:pPr>
      <w:r>
        <w:t>Clicking a sector highlights it on the map and opens an assessment card.</w:t>
      </w:r>
    </w:p>
    <w:p>
      <w:pPr>
        <w:pStyle w:val="ListBullet"/>
      </w:pPr>
      <w:r>
        <w:t>Show row/column or geographic identifier.</w:t>
      </w:r>
    </w:p>
    <w:p>
      <w:pPr>
        <w:pStyle w:val="ListBullet"/>
      </w:pPr>
      <w:r>
        <w:t>Show impact score, confidence, evidence factors, acquisition dates and model version.</w:t>
      </w:r>
    </w:p>
    <w:p>
      <w:pPr>
        <w:pStyle w:val="ListBullet"/>
      </w:pPr>
      <w:r>
        <w:t>Provide 'Inspect' and 'Export sector' actions.</w:t>
      </w:r>
    </w:p>
    <w:p>
      <w:pPr>
        <w:pStyle w:val="ListBullet"/>
      </w:pPr>
      <w:r>
        <w:t>Allow sorting by priority so the user can move from highest-risk sector downward.</w:t>
      </w:r>
    </w:p>
    <w:p>
      <w:pPr>
        <w:pStyle w:val="Heading1"/>
      </w:pPr>
      <w:r>
        <w:t>7. Severity vs confidence</w:t>
      </w:r>
    </w:p>
    <w:p>
      <w:r>
        <w:t>Never use one colour scale to represent both severity and confidence. A red sector can have low confidence. The UI should preserve that distinction.</w:t>
      </w:r>
    </w:p>
    <w:p>
      <w:pPr>
        <w:spacing w:after="120"/>
        <w:ind w:left="360" w:right="360"/>
      </w:pPr>
      <w:r>
        <w:rPr>
          <w:rFonts w:ascii="Consolas" w:hAnsi="Consolas"/>
          <w:sz w:val="17"/>
        </w:rPr>
        <w:t>Impact:      CRITICAL  ██████████</w:t>
        <w:br/>
        <w:t>Confidence:  MODERATE  ██████░░░░</w:t>
        <w:br/>
        <w:t>Data quality: GOOD      █████████░</w:t>
      </w:r>
    </w:p>
    <w:p>
      <w:pPr>
        <w:pStyle w:val="Heading1"/>
      </w:pPr>
      <w:r>
        <w:t>8. Evidence panel</w:t>
      </w:r>
    </w:p>
    <w:p>
      <w:pPr>
        <w:pStyle w:val="ListBullet"/>
      </w:pPr>
      <w:r>
        <w:t>Explain the major signals behind the result.</w:t>
      </w:r>
    </w:p>
    <w:p>
      <w:pPr>
        <w:pStyle w:val="ListBullet"/>
      </w:pPr>
      <w:r>
        <w:t>Use plain language first and technical detail on demand.</w:t>
      </w:r>
    </w:p>
    <w:p>
      <w:pPr>
        <w:pStyle w:val="ListBullet"/>
      </w:pPr>
      <w:r>
        <w:t>Example: 'High SAR change detected; optical change moderate; cloud contamination low.'</w:t>
      </w:r>
    </w:p>
    <w:p>
      <w:pPr>
        <w:pStyle w:val="ListBullet"/>
      </w:pPr>
      <w:r>
        <w:t>Do not expose raw model jargon without an explanation.</w:t>
      </w:r>
    </w:p>
    <w:p>
      <w:pPr>
        <w:pStyle w:val="Heading1"/>
      </w:pPr>
      <w:r>
        <w:t>9. Reporting</w:t>
      </w:r>
    </w:p>
    <w:p>
      <w:pPr>
        <w:pStyle w:val="ListBullet"/>
      </w:pPr>
      <w:r>
        <w:t>Keep the existing executive PDF concept.</w:t>
      </w:r>
    </w:p>
    <w:p>
      <w:pPr>
        <w:pStyle w:val="ListBullet"/>
      </w:pPr>
      <w:r>
        <w:t>Add model version, source sensors, acquisition dates, confidence and processing latency.</w:t>
      </w:r>
    </w:p>
    <w:p>
      <w:pPr>
        <w:pStyle w:val="ListBullet"/>
      </w:pPr>
      <w:r>
        <w:t>Include a map, priority distribution, highest-priority sectors and evidence summary.</w:t>
      </w:r>
    </w:p>
    <w:p>
      <w:pPr>
        <w:pStyle w:val="ListBullet"/>
      </w:pPr>
      <w:r>
        <w:t>Clearly label the report as an automated satellite assessment and include an analyst/field-verification disclaimer.</w:t>
      </w:r>
    </w:p>
    <w:p>
      <w:pPr>
        <w:pStyle w:val="Heading1"/>
      </w:pPr>
      <w:r>
        <w:t>10. Visual language</w:t>
      </w:r>
    </w:p>
    <w:p>
      <w:pPr>
        <w:pStyle w:val="ListBullet"/>
      </w:pPr>
      <w:r>
        <w:t>Use a dark operational-console base with restrained high-contrast status colours.</w:t>
      </w:r>
    </w:p>
    <w:p>
      <w:pPr>
        <w:pStyle w:val="ListBullet"/>
      </w:pPr>
      <w:r>
        <w:t>Reserve red/orange for priority states, not decoration.</w:t>
      </w:r>
    </w:p>
    <w:p>
      <w:pPr>
        <w:pStyle w:val="ListBullet"/>
      </w:pPr>
      <w:r>
        <w:t>Use green for low impact or confirmed safe only when the evidence justifies it.</w:t>
      </w:r>
    </w:p>
    <w:p>
      <w:pPr>
        <w:pStyle w:val="ListBullet"/>
      </w:pPr>
      <w:r>
        <w:t>Use neutral blues/greys for infrastructure and data layers.</w:t>
      </w:r>
    </w:p>
    <w:p>
      <w:pPr>
        <w:pStyle w:val="ListBullet"/>
      </w:pPr>
      <w:r>
        <w:t>Prefer maps, compact metric cards and evidence rows over large blocks of text.</w:t>
      </w:r>
    </w:p>
    <w:p>
      <w:pPr>
        <w:pStyle w:val="Heading1"/>
      </w:pPr>
      <w:r>
        <w:t>11. Loading and failure states</w:t>
      </w:r>
    </w:p>
    <w:p>
      <w:pPr>
        <w:pStyle w:val="ListBullet"/>
      </w:pPr>
      <w:r>
        <w:t>Satellite search: show acquisition/search progress.</w:t>
      </w:r>
    </w:p>
    <w:p>
      <w:pPr>
        <w:pStyle w:val="ListBullet"/>
      </w:pPr>
      <w:r>
        <w:t>Download: show scene/band status.</w:t>
      </w:r>
    </w:p>
    <w:p>
      <w:pPr>
        <w:pStyle w:val="ListBullet"/>
      </w:pPr>
      <w:r>
        <w:t>Preprocessing: show alignment/cloud-mask stage.</w:t>
      </w:r>
    </w:p>
    <w:p>
      <w:pPr>
        <w:pStyle w:val="ListBullet"/>
      </w:pPr>
      <w:r>
        <w:t>Inference: show model name and elapsed time.</w:t>
      </w:r>
    </w:p>
    <w:p>
      <w:pPr>
        <w:pStyle w:val="ListBullet"/>
      </w:pPr>
      <w:r>
        <w:t>If EOS-05 is unavailable, explain that data access is not configured rather than presenting a fake feed.</w:t>
      </w:r>
    </w:p>
    <w:p>
      <w:pPr>
        <w:pStyle w:val="ListBullet"/>
      </w:pPr>
      <w:r>
        <w:t>If model inference fails, preserve the last valid result and clearly mark it as cached.</w:t>
      </w:r>
    </w:p>
    <w:p>
      <w:pPr>
        <w:pStyle w:val="Heading1"/>
      </w:pPr>
      <w:r>
        <w:t>12. Mobile and accessibility</w:t>
      </w:r>
    </w:p>
    <w:p>
      <w:pPr>
        <w:pStyle w:val="ListBullet"/>
      </w:pPr>
      <w:r>
        <w:t>Desktop is the primary emergency-operations experience.</w:t>
      </w:r>
    </w:p>
    <w:p>
      <w:pPr>
        <w:pStyle w:val="ListBullet"/>
      </w:pPr>
      <w:r>
        <w:t>Mobile should support quick status checks and sector inspection.</w:t>
      </w:r>
    </w:p>
    <w:p>
      <w:pPr>
        <w:pStyle w:val="ListBullet"/>
      </w:pPr>
      <w:r>
        <w:t>All colour-coded states should also have text labels/icons.</w:t>
      </w:r>
    </w:p>
    <w:p>
      <w:pPr>
        <w:pStyle w:val="ListBullet"/>
      </w:pPr>
      <w:r>
        <w:t>Maintain readable contrast and keyboard-accessible controls.</w:t>
      </w:r>
    </w:p>
    <w:p>
      <w:pPr>
        <w:pStyle w:val="Heading1"/>
      </w:pPr>
      <w:r>
        <w:t>13. UX mistakes to avoid</w:t>
      </w:r>
    </w:p>
    <w:p>
      <w:pPr>
        <w:pStyle w:val="ListBullet"/>
      </w:pPr>
      <w:r>
        <w:t>Do not put every statistic on the main screen.</w:t>
      </w:r>
    </w:p>
    <w:p>
      <w:pPr>
        <w:pStyle w:val="ListBullet"/>
      </w:pPr>
      <w:r>
        <w:t>Do not show unexplained AI percentages.</w:t>
      </w:r>
    </w:p>
    <w:p>
      <w:pPr>
        <w:pStyle w:val="ListBullet"/>
      </w:pPr>
      <w:r>
        <w:t>Do not call a low-confidence sector 'destroyed'.</w:t>
      </w:r>
    </w:p>
    <w:p>
      <w:pPr>
        <w:pStyle w:val="ListBullet"/>
      </w:pPr>
      <w:r>
        <w:t>Do not hide acquisition date and sensor.</w:t>
      </w:r>
    </w:p>
    <w:p>
      <w:pPr>
        <w:pStyle w:val="ListBullet"/>
      </w:pPr>
      <w:r>
        <w:t>Do not make the 32×32 grid the only way to understand the result.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VISTA | SIH 2026 | Internal team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