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Information — Smart Bottle</w:t>
      </w:r>
    </w:p>
    <w:p>
      <w:r>
        <w:t>Date: 2024-01-12   |   Supplement to main Invention Disclosure</w:t>
      </w:r>
    </w:p>
    <w:p>
      <w:pPr>
        <w:pStyle w:val="Heading1"/>
      </w:pPr>
      <w:r>
        <w:t>A. Prototype Bench-Test Results (Prototype v0.3, December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Temperature accuracy</w:t>
            </w:r>
          </w:p>
        </w:tc>
        <w:tc>
          <w:tcPr>
            <w:tcW w:type="dxa" w:w="2880"/>
          </w:tcPr>
          <w:p>
            <w:r>
              <w:t>±0.4 °C</w:t>
            </w:r>
          </w:p>
        </w:tc>
        <w:tc>
          <w:tcPr>
            <w:tcW w:type="dxa" w:w="2880"/>
          </w:tcPr>
          <w:p>
            <w:r>
              <w:t>±0.5 °C</w:t>
            </w:r>
          </w:p>
        </w:tc>
      </w:tr>
      <w:tr>
        <w:tc>
          <w:tcPr>
            <w:tcW w:type="dxa" w:w="2880"/>
          </w:tcPr>
          <w:p>
            <w:r>
              <w:t>Volume accuracy</w:t>
            </w:r>
          </w:p>
        </w:tc>
        <w:tc>
          <w:tcPr>
            <w:tcW w:type="dxa" w:w="2880"/>
          </w:tcPr>
          <w:p>
            <w:r>
              <w:t>±1.8 ml</w:t>
            </w:r>
          </w:p>
        </w:tc>
        <w:tc>
          <w:tcPr>
            <w:tcW w:type="dxa" w:w="2880"/>
          </w:tcPr>
          <w:p>
            <w:r>
              <w:t>±2 ml</w:t>
            </w:r>
          </w:p>
        </w:tc>
      </w:tr>
      <w:tr>
        <w:tc>
          <w:tcPr>
            <w:tcW w:type="dxa" w:w="2880"/>
          </w:tcPr>
          <w:p>
            <w:r>
              <w:t>BLE range (open air)</w:t>
            </w:r>
          </w:p>
        </w:tc>
        <w:tc>
          <w:tcPr>
            <w:tcW w:type="dxa" w:w="2880"/>
          </w:tcPr>
          <w:p>
            <w:r>
              <w:t>42 m</w:t>
            </w:r>
          </w:p>
        </w:tc>
        <w:tc>
          <w:tcPr>
            <w:tcW w:type="dxa" w:w="2880"/>
          </w:tcPr>
          <w:p>
            <w:r>
              <w:t>≥ 30 m</w:t>
            </w:r>
          </w:p>
        </w:tc>
      </w:tr>
      <w:tr>
        <w:tc>
          <w:tcPr>
            <w:tcW w:type="dxa" w:w="2880"/>
          </w:tcPr>
          <w:p>
            <w:r>
              <w:t>Battery life</w:t>
            </w:r>
          </w:p>
        </w:tc>
        <w:tc>
          <w:tcPr>
            <w:tcW w:type="dxa" w:w="2880"/>
          </w:tcPr>
          <w:p>
            <w:r>
              <w:t>16 days</w:t>
            </w:r>
          </w:p>
        </w:tc>
        <w:tc>
          <w:tcPr>
            <w:tcW w:type="dxa" w:w="2880"/>
          </w:tcPr>
          <w:p>
            <w:r>
              <w:t>≥ 14 days</w:t>
            </w:r>
          </w:p>
        </w:tc>
      </w:tr>
      <w:tr>
        <w:tc>
          <w:tcPr>
            <w:tcW w:type="dxa" w:w="2880"/>
          </w:tcPr>
          <w:p>
            <w:r>
              <w:t>Water-resistance</w:t>
            </w:r>
          </w:p>
        </w:tc>
        <w:tc>
          <w:tcPr>
            <w:tcW w:type="dxa" w:w="2880"/>
          </w:tcPr>
          <w:p>
            <w:r>
              <w:t>IP67 pass</w:t>
            </w:r>
          </w:p>
        </w:tc>
        <w:tc>
          <w:tcPr>
            <w:tcW w:type="dxa" w:w="2880"/>
          </w:tcPr>
          <w:p>
            <w:r>
              <w:t>IP67</w:t>
            </w:r>
          </w:p>
        </w:tc>
      </w:tr>
    </w:tbl>
    <w:p>
      <w:pPr>
        <w:pStyle w:val="Heading1"/>
      </w:pPr>
      <w:r>
        <w:t>B. Manufacturing Notes</w:t>
      </w:r>
    </w:p>
    <w:p>
      <w:r>
        <w:t>The TPU gasket is injection-moulded to a ±0.05 mm tolerance to achieve IP67. Each load cell is epoxy-bonded and individually calibrated on the production line using a two-point calibration (0 g and 500 g reference weights). The Nordic nRF52840 module is FCC/IC pre-certified, reducing regulatory lead time.</w:t>
      </w:r>
    </w:p>
    <w:p>
      <w:pPr>
        <w:pStyle w:val="Heading1"/>
      </w:pPr>
      <w:r>
        <w:t>C. Regulatory Considerations</w:t>
      </w:r>
    </w:p>
    <w:p>
      <w:pPr>
        <w:pStyle w:val="ListBullet"/>
      </w:pPr>
      <w:r>
        <w:t>FCC Part 15 (BLE radio) — pre-certified module; declaration of conformity required.</w:t>
      </w:r>
    </w:p>
    <w:p>
      <w:pPr>
        <w:pStyle w:val="ListBullet"/>
      </w:pPr>
      <w:r>
        <w:t>FDA food-contact materials compliance for inner stainless-steel surface coating.</w:t>
      </w:r>
    </w:p>
    <w:p>
      <w:pPr>
        <w:pStyle w:val="ListBullet"/>
      </w:pPr>
      <w:r>
        <w:t>CE marking for EU distribution — EN 300 328 (BLE) + EN 62368-1 (safety); pending.</w:t>
      </w:r>
    </w:p>
    <w:p>
      <w:pPr>
        <w:pStyle w:val="ListBullet"/>
      </w:pPr>
      <w:r>
        <w:t>RoHS / WEEE compliance confirmed for all PCB components.</w:t>
      </w:r>
    </w:p>
    <w:p>
      <w:pPr>
        <w:pStyle w:val="Heading1"/>
      </w:pPr>
      <w:r>
        <w:t>D. Licensing Intent</w:t>
      </w:r>
    </w:p>
    <w:p>
      <w:r>
        <w:t>The inventors intend to license core sensing + firmware IP to established drinkware brands. The UI/UX design of the mobile app may be separately licensed or kept proprietary. Defensive publication is acceptable for peripheral features (e.g., RGB LED hydration indicator).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