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D55758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F07B07">
        <w:t>UX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Default="008F6C41" w:rsidP="00CB6228">
            <w:pPr>
              <w:jc w:val="center"/>
              <w:rPr>
                <w:noProof/>
              </w:rPr>
            </w:pPr>
            <w:r w:rsidRPr="008F6C41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47900" cy="2105025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AB5594" w:rsidRPr="00AB5594" w:rsidRDefault="00AB5594" w:rsidP="00AB5594">
            <w:pPr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AB5594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left="0" w:right="-173" w:firstLine="342"/>
              <w:contextualSpacing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github.com/</w:t>
              </w:r>
              <w:proofErr w:type="spellStart"/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right="-173"/>
              <w:contextualSpacing/>
              <w:outlineLvl w:val="2"/>
              <w:rPr>
                <w:i/>
                <w:sz w:val="24"/>
                <w:szCs w:val="24"/>
              </w:rPr>
            </w:pPr>
            <w:r w:rsidRPr="00AB5594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D55758" w:rsidP="00AB5594">
            <w:pPr>
              <w:ind w:right="-173" w:hanging="18"/>
              <w:outlineLvl w:val="2"/>
              <w:rPr>
                <w:i/>
                <w:sz w:val="20"/>
                <w:szCs w:val="20"/>
              </w:rPr>
            </w:pPr>
            <w:hyperlink r:id="rId8" w:history="1">
              <w:r w:rsidR="00AB5594" w:rsidRPr="00AB5594">
                <w:rPr>
                  <w:i/>
                  <w:color w:val="0000FF" w:themeColor="hyperlink"/>
                  <w:u w:val="single"/>
                </w:rPr>
                <w:t>linkedin.com/in/</w:t>
              </w:r>
              <w:proofErr w:type="spellStart"/>
              <w:r w:rsidR="00AB5594" w:rsidRPr="00AB5594">
                <w:rPr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D55758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A41BD6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Testing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the algorithm o</w:t>
                          </w:r>
                          <w:r>
                            <w:rPr>
                              <w:rFonts w:asciiTheme="majorHAnsi" w:hAnsiTheme="majorHAnsi"/>
                            </w:rPr>
                            <w:t>n a live data feed and showcase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my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9" w:history="1">
              <w:r w:rsidR="00A549C8" w:rsidRPr="00A549C8">
                <w:rPr>
                  <w:rStyle w:val="Hyperlink"/>
                </w:rPr>
                <w:t>http://uta-rideshare.appspot.com/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542BB"/>
    <w:rsid w:val="000717FF"/>
    <w:rsid w:val="00077120"/>
    <w:rsid w:val="000920A7"/>
    <w:rsid w:val="000A3439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6200E"/>
    <w:rsid w:val="004B049F"/>
    <w:rsid w:val="004B636C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5E0972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770DF"/>
    <w:rsid w:val="008C1B73"/>
    <w:rsid w:val="008C7446"/>
    <w:rsid w:val="008F34FF"/>
    <w:rsid w:val="008F6C41"/>
    <w:rsid w:val="00901A06"/>
    <w:rsid w:val="00917923"/>
    <w:rsid w:val="00942AF3"/>
    <w:rsid w:val="00942FD6"/>
    <w:rsid w:val="0094517F"/>
    <w:rsid w:val="009456B3"/>
    <w:rsid w:val="00993DD4"/>
    <w:rsid w:val="009A217E"/>
    <w:rsid w:val="009C5690"/>
    <w:rsid w:val="009E350D"/>
    <w:rsid w:val="00A12F2F"/>
    <w:rsid w:val="00A41BD6"/>
    <w:rsid w:val="00A549C8"/>
    <w:rsid w:val="00A666DA"/>
    <w:rsid w:val="00A81E24"/>
    <w:rsid w:val="00A86A12"/>
    <w:rsid w:val="00AA2EBA"/>
    <w:rsid w:val="00AB5594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55758"/>
    <w:rsid w:val="00D86FAF"/>
    <w:rsid w:val="00D87E3B"/>
    <w:rsid w:val="00D91950"/>
    <w:rsid w:val="00DA757F"/>
    <w:rsid w:val="00E15960"/>
    <w:rsid w:val="00E60729"/>
    <w:rsid w:val="00E835F5"/>
    <w:rsid w:val="00E93E49"/>
    <w:rsid w:val="00E96A27"/>
    <w:rsid w:val="00F02789"/>
    <w:rsid w:val="00F07B07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gawsa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a-rideshare.appspo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838"/>
          <c:y val="4.223227752639544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5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0D032C-1F64-41D0-AD2A-268AED72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22</cp:revision>
  <cp:lastPrinted>2017-07-06T07:26:00Z</cp:lastPrinted>
  <dcterms:created xsi:type="dcterms:W3CDTF">2017-06-09T21:42:00Z</dcterms:created>
  <dcterms:modified xsi:type="dcterms:W3CDTF">2017-08-11T01:19:00Z</dcterms:modified>
</cp:coreProperties>
</file>