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20" w:line="276" w:lineRule="auto"/>
        <w:jc w:val="center"/>
      </w:pPr>
      <w:r>
        <w:rPr>
          <w:rFonts w:ascii="Book Antiqua" w:hAnsi="Book Antiqua"/>
          <w:b/>
          <w:i w:val="0"/>
          <w:sz w:val="20"/>
        </w:rPr>
        <w:t>BRC_SID.AI</w:t>
      </w:r>
    </w:p>
    <w:p>
      <w:pPr>
        <w:spacing w:after="160" w:line="276" w:lineRule="auto"/>
        <w:jc w:val="center"/>
      </w:pPr>
      <w:r>
        <w:rPr>
          <w:rFonts w:ascii="Book Antiqua" w:hAnsi="Book Antiqua"/>
          <w:b w:val="0"/>
          <w:i/>
          <w:sz w:val="20"/>
        </w:rPr>
        <w:t>5, CLIVE ROW, 4TH FLOOR, ROOM NO. 93, KOLKATA – 700 001</w:t>
      </w:r>
    </w:p>
    <w:p>
      <w:pPr>
        <w:spacing w:after="40" w:line="276" w:lineRule="auto"/>
        <w:jc w:val="center"/>
      </w:pPr>
      <w:r>
        <w:rPr>
          <w:rFonts w:ascii="Book Antiqua" w:hAnsi="Book Antiqua"/>
          <w:b/>
          <w:i w:val="0"/>
          <w:sz w:val="20"/>
        </w:rPr>
        <w:t>SOFTWARE IP ASSIGNMENT AND TECHNICAL ADVISORY AGREEMENT</w:t>
      </w:r>
    </w:p>
    <w:p>
      <w:pPr>
        <w:spacing w:after="80" w:line="276" w:lineRule="auto"/>
        <w:jc w:val="center"/>
      </w:pPr>
      <w:r>
        <w:rPr>
          <w:rFonts w:ascii="Book Antiqua" w:hAnsi="Book Antiqua"/>
          <w:b w:val="0"/>
          <w:i w:val="0"/>
          <w:sz w:val="20"/>
        </w:rPr>
        <w:t>Healthcare Revenue Assurance Platform - Software IP Assignment &amp; Technical Advisory Support</w:t>
      </w:r>
    </w:p>
    <w:p>
      <w:pPr>
        <w:spacing w:after="200" w:line="276" w:lineRule="auto"/>
        <w:jc w:val="center"/>
      </w:pPr>
      <w:r>
        <w:rPr>
          <w:rFonts w:ascii="Book Antiqua" w:hAnsi="Book Antiqua"/>
          <w:b/>
          <w:i/>
          <w:color w:val="B42828"/>
          <w:sz w:val="20"/>
        </w:rPr>
        <w:t>(COUNTER-DRAFT &amp; REDLINED VERSION SUBMITTED BY BRC_SID.AI)</w:t>
      </w:r>
    </w:p>
    <w:tbl>
      <w:tblPr>
        <w:tblW w:type="auto" w:w="0"/>
        <w:tblLayout w:type="fixed"/>
        <w:tblLook w:firstColumn="1" w:firstRow="1" w:lastColumn="0" w:lastRow="0" w:noHBand="0" w:noVBand="1" w:val="04A0"/>
      </w:tblPr>
      <w:tblGrid>
        <w:gridCol w:w="2592"/>
        <w:gridCol w:w="6768"/>
      </w:tblGrid>
      <w:tr>
        <w:tc>
          <w:tcPr>
            <w:tcW w:type="dxa" w:w="4680"/>
            <w:tcMar>
              <w:top w:w="80" w:type="dxa"/>
              <w:bottom w:w="80" w:type="dxa"/>
              <w:left w:w="120" w:type="dxa"/>
              <w:right w:w="120" w:type="dxa"/>
            </w:tcMar>
          </w:tcPr>
          <w:p>
            <w:r>
              <w:rPr>
                <w:rFonts w:ascii="Book Antiqua" w:hAnsi="Book Antiqua"/>
                <w:b/>
                <w:sz w:val="20"/>
              </w:rPr>
              <w:t>Project:</w:t>
            </w:r>
          </w:p>
        </w:tc>
        <w:tc>
          <w:tcPr>
            <w:tcW w:type="dxa" w:w="4680"/>
            <w:tcMar>
              <w:top w:w="80" w:type="dxa"/>
              <w:bottom w:w="80" w:type="dxa"/>
              <w:left w:w="120" w:type="dxa"/>
              <w:right w:w="120" w:type="dxa"/>
            </w:tcMar>
          </w:tcPr>
          <w:p>
            <w:r>
              <w:rPr>
                <w:rFonts w:ascii="Book Antiqua" w:hAnsi="Book Antiqua"/>
                <w:sz w:val="20"/>
              </w:rPr>
              <w:t>Healthcare Revenue Assurance Platform IP Assignment &amp; Technical Advisory Support</w:t>
            </w:r>
          </w:p>
        </w:tc>
      </w:tr>
      <w:tr>
        <w:tc>
          <w:tcPr>
            <w:tcW w:type="dxa" w:w="4680"/>
            <w:tcMar>
              <w:top w:w="80" w:type="dxa"/>
              <w:bottom w:w="80" w:type="dxa"/>
              <w:left w:w="120" w:type="dxa"/>
              <w:right w:w="120" w:type="dxa"/>
            </w:tcMar>
          </w:tcPr>
          <w:p>
            <w:r>
              <w:rPr>
                <w:rFonts w:ascii="Book Antiqua" w:hAnsi="Book Antiqua"/>
                <w:b/>
                <w:sz w:val="20"/>
              </w:rPr>
              <w:t>Service Provider:</w:t>
            </w:r>
          </w:p>
        </w:tc>
        <w:tc>
          <w:tcPr>
            <w:tcW w:type="dxa" w:w="4680"/>
            <w:tcMar>
              <w:top w:w="80" w:type="dxa"/>
              <w:bottom w:w="80" w:type="dxa"/>
              <w:left w:w="120" w:type="dxa"/>
              <w:right w:w="120" w:type="dxa"/>
            </w:tcMar>
          </w:tcPr>
          <w:p>
            <w:r>
              <w:rPr>
                <w:rFonts w:ascii="Book Antiqua" w:hAnsi="Book Antiqua"/>
                <w:sz w:val="20"/>
              </w:rPr>
              <w:t>M/s Bihani Rashmi &amp; Co., Chartered Accountants (FRN 0328058E; PAN [●]; GSTIN [●]), a proprietorship firm of CA Rashmi Bihani, 5, Clive Row, 4th Floor, Room No. 93, Kolkata – 700 001, acting through its automation unit BRC_SID.AI (“BRC”)</w:t>
            </w:r>
          </w:p>
        </w:tc>
      </w:tr>
      <w:tr>
        <w:tc>
          <w:tcPr>
            <w:tcW w:type="dxa" w:w="4680"/>
            <w:tcMar>
              <w:top w:w="80" w:type="dxa"/>
              <w:bottom w:w="80" w:type="dxa"/>
              <w:left w:w="120" w:type="dxa"/>
              <w:right w:w="120" w:type="dxa"/>
            </w:tcMar>
          </w:tcPr>
          <w:p>
            <w:r>
              <w:rPr>
                <w:rFonts w:ascii="Book Antiqua" w:hAnsi="Book Antiqua"/>
                <w:b/>
                <w:sz w:val="20"/>
              </w:rPr>
              <w:t>Client:</w:t>
            </w:r>
          </w:p>
        </w:tc>
        <w:tc>
          <w:tcPr>
            <w:tcW w:type="dxa" w:w="4680"/>
            <w:tcMar>
              <w:top w:w="80" w:type="dxa"/>
              <w:bottom w:w="80" w:type="dxa"/>
              <w:left w:w="120" w:type="dxa"/>
              <w:right w:w="120" w:type="dxa"/>
            </w:tcMar>
          </w:tcPr>
          <w:p>
            <w:r>
              <w:rPr>
                <w:rFonts w:ascii="Book Antiqua" w:hAnsi="Book Antiqua"/>
                <w:sz w:val="20"/>
              </w:rPr>
              <w:t>Apollo Hospitals Enterprise Limited, a company incorporated under the Companies Act, 1956, CIN [●], having its registered office at [●], Chennai (“AHEL”)</w:t>
            </w:r>
          </w:p>
        </w:tc>
      </w:tr>
      <w:tr>
        <w:tc>
          <w:tcPr>
            <w:tcW w:type="dxa" w:w="4680"/>
            <w:tcMar>
              <w:top w:w="80" w:type="dxa"/>
              <w:bottom w:w="80" w:type="dxa"/>
              <w:left w:w="120" w:type="dxa"/>
              <w:right w:w="120" w:type="dxa"/>
            </w:tcMar>
          </w:tcPr>
          <w:p>
            <w:r>
              <w:rPr>
                <w:rFonts w:ascii="Book Antiqua" w:hAnsi="Book Antiqua"/>
                <w:b/>
                <w:sz w:val="20"/>
              </w:rPr>
              <w:t>Effective Date:</w:t>
            </w:r>
          </w:p>
        </w:tc>
        <w:tc>
          <w:tcPr>
            <w:tcW w:type="dxa" w:w="4680"/>
            <w:tcMar>
              <w:top w:w="80" w:type="dxa"/>
              <w:bottom w:w="80" w:type="dxa"/>
              <w:left w:w="120" w:type="dxa"/>
              <w:right w:w="120" w:type="dxa"/>
            </w:tcMar>
          </w:tcPr>
          <w:p>
            <w:r>
              <w:rPr>
                <w:rFonts w:ascii="Book Antiqua" w:hAnsi="Book Antiqua"/>
                <w:sz w:val="20"/>
              </w:rPr>
              <w:t>[●] 2026, being the date of execution by both parties (the “Effective Date”)</w:t>
            </w:r>
          </w:p>
        </w:tc>
      </w:tr>
    </w:tbl>
    <w:p>
      <w:pPr>
        <w:spacing w:after="80" w:line="276" w:lineRule="auto"/>
      </w:pPr>
    </w:p>
    <w:p>
      <w:pPr>
        <w:spacing w:before="120" w:after="60" w:line="276" w:lineRule="auto"/>
      </w:pPr>
      <w:r>
        <w:rPr>
          <w:rFonts w:ascii="Book Antiqua" w:hAnsi="Book Antiqua"/>
          <w:b/>
          <w:i w:val="0"/>
          <w:sz w:val="20"/>
        </w:rPr>
        <w:t>1. Background</w:t>
      </w:r>
    </w:p>
    <w:p>
      <w:pPr>
        <w:spacing w:after="160" w:line="276" w:lineRule="auto"/>
        <w:jc w:val="both"/>
      </w:pPr>
      <w:r>
        <w:rPr>
          <w:rFonts w:ascii="Book Antiqua" w:hAnsi="Book Antiqua"/>
          <w:b w:val="0"/>
          <w:i w:val="0"/>
          <w:sz w:val="20"/>
        </w:rPr>
        <w:t>This Agreement sets out the terms for the transfer of ownership, intellectual property (IP), source code, and enterprise technical documentation of the Healthcare Revenue Assurance Platform (the “Platform”) from BRC to AHEL, alongside the walkthrough, knowledge transfer and technical advisory support described in Section 2. The Platform has been developed by BRC for, and verified at, AHEL’s Guwahati unit (the “Originating Unit”), version / commit reference Baseline Release v2.5.2 (the “Baseline Version”), to detect billing leakages, room rent category violations, and timed-slab tariff mismatches. AHEL intends to extend the Platform through its internal team for implementation across its units in India. After handover, BRC’s role is strictly advisory: BRC shall guide AHEL’s internal team on existing tool operability, and all build, configuration, data conversion, and deployment across subsequent units shall be performed independently by AHEL.</w:t>
      </w:r>
    </w:p>
    <w:p>
      <w:pPr>
        <w:spacing w:before="120" w:after="60" w:line="276" w:lineRule="auto"/>
      </w:pPr>
      <w:r>
        <w:rPr>
          <w:rFonts w:ascii="Book Antiqua" w:hAnsi="Book Antiqua"/>
          <w:b/>
          <w:i w:val="0"/>
          <w:sz w:val="20"/>
        </w:rPr>
        <w:t>2. Scope of Engagement</w:t>
      </w:r>
    </w:p>
    <w:p>
      <w:pPr>
        <w:spacing w:before="80" w:after="40" w:line="276" w:lineRule="auto"/>
      </w:pPr>
      <w:r>
        <w:rPr>
          <w:rFonts w:ascii="Book Antiqua" w:hAnsi="Book Antiqua"/>
          <w:b/>
          <w:i w:val="0"/>
          <w:sz w:val="20"/>
        </w:rPr>
        <w:t>2.1 Software IP &amp; Source Code Transfer</w:t>
      </w:r>
    </w:p>
    <w:p>
      <w:pPr>
        <w:pStyle w:val="ListBullet"/>
        <w:spacing w:after="60" w:line="276" w:lineRule="auto"/>
        <w:jc w:val="both"/>
      </w:pPr>
      <w:r>
        <w:rPr>
          <w:rFonts w:ascii="Book Antiqua" w:hAnsi="Book Antiqua"/>
          <w:b/>
          <w:sz w:val="20"/>
        </w:rPr>
        <w:t xml:space="preserve">Deliverables &amp; Scope: </w:t>
      </w:r>
      <w:r>
        <w:rPr>
          <w:rFonts w:ascii="Book Antiqua" w:hAnsi="Book Antiqua"/>
          <w:sz w:val="20"/>
        </w:rPr>
        <w:t>Complete transfer of a clean, consolidated enterprise release repository of the Baseline Version (v2.5.2), comprising all modular runtime source code files (index.html, js/app.js, css/styles.css, run_server.py, databases, schemas, and calculation engines), along with the server-side PDF and Excel contract parsing engines and SOC data processing module (soc_module/ and tariff compilation scripts), and comprehensive enterprise technical documentation to AHEL’s designated corporate GitHub repository. BRC shall transfer ownership of the release repository to AHEL’s GitHub organisation, take down the public demonstration, delete all other copies and forks, and disclose all system administrator credentials. Delivery shall be complete on AHEL’s signature of the Deliverables Checklist (the date of such signature being the “Handover Date”).</w:t>
      </w:r>
    </w:p>
    <w:p>
      <w:pPr>
        <w:spacing w:before="40" w:after="120" w:line="276" w:lineRule="auto"/>
        <w:ind w:left="360"/>
      </w:pPr>
      <w:r>
        <w:rPr>
          <w:rFonts w:ascii="Book Antiqua" w:hAnsi="Book Antiqua"/>
          <w:b/>
          <w:i/>
          <w:color w:val="B42828"/>
          <w:sz w:val="18"/>
        </w:rPr>
        <w:t>► [BRC COUNTER-POSITION NOTE: Deliverables updated to explicitly include the server-side PDF and Excel contract parsing engines (soc_module/ and compilation scripts).]</w:t>
      </w:r>
    </w:p>
    <w:p>
      <w:pPr>
        <w:pStyle w:val="ListBullet"/>
        <w:spacing w:after="60" w:line="276" w:lineRule="auto"/>
        <w:jc w:val="both"/>
      </w:pPr>
      <w:r>
        <w:rPr>
          <w:rFonts w:ascii="Book Antiqua" w:hAnsi="Book Antiqua"/>
          <w:b/>
          <w:sz w:val="20"/>
        </w:rPr>
        <w:t xml:space="preserve">Delivery Standard: </w:t>
      </w:r>
      <w:r>
        <w:rPr>
          <w:rFonts w:ascii="Book Antiqua" w:hAnsi="Book Antiqua"/>
          <w:sz w:val="20"/>
        </w:rPr>
        <w:t>Delivery of the codebase shall be of the Baseline Version (v2.5.2), conforming to the functionality demonstrated to AHEL and to the enterprise technical documentation delivered, incorporating all demonstrated functional modules, verified business rules, calculation engines, and contract compilation pipelines. BRC warrants that (i) the Platform, when run on the structured data of the Originating Unit, reproduces the results demonstrated; (ii) it contains no malicious code, back-door, time-lock, licence key or telemetry; and (iii) it has no dependency on any external server, API key or cloud account controlled by BRC. During the Support Term, BRC shall guide AHEL in diagnosing any operational defect in the delivered codebase at no additional cost.</w:t>
      </w:r>
    </w:p>
    <w:p>
      <w:pPr>
        <w:pStyle w:val="ListBullet"/>
        <w:spacing w:after="60" w:line="276" w:lineRule="auto"/>
        <w:jc w:val="both"/>
      </w:pPr>
      <w:r>
        <w:rPr>
          <w:rFonts w:ascii="Book Antiqua" w:hAnsi="Book Antiqua"/>
          <w:b/>
          <w:sz w:val="20"/>
        </w:rPr>
        <w:t xml:space="preserve">Exclusions &amp; Operational Boundaries for New Units: </w:t>
      </w:r>
      <w:r>
        <w:rPr>
          <w:rFonts w:ascii="Book Antiqua" w:hAnsi="Book Antiqua"/>
          <w:sz w:val="20"/>
        </w:rPr>
        <w:t>While the server-side PDF and Excel contract parsing engines and compilation scripts are included as delivered software assets, ongoing manual data extraction, contract reconciliation, and unit-by-unit tariff data conversion for additional hospital units beyond the delivered baseline are not included in BRC’s advisory scope. All runtime execution, file preparation, and operational data conversion for new units shall be performed independently by AHEL using the delivered tools. Any request for BRC to directly undertake hands-on data cleaning or custom parsing for newly onboarded hospital units will be undertaken only against a mutually agreed written change order approved by AHEL and billed separately at agreed unit rates.</w:t>
      </w:r>
    </w:p>
    <w:p>
      <w:pPr>
        <w:spacing w:before="40" w:after="120" w:line="276" w:lineRule="auto"/>
        <w:ind w:left="360"/>
      </w:pPr>
      <w:r>
        <w:rPr>
          <w:rFonts w:ascii="Book Antiqua" w:hAnsi="Book Antiqua"/>
          <w:b/>
          <w:i/>
          <w:color w:val="B42828"/>
          <w:sz w:val="18"/>
        </w:rPr>
        <w:t>► [BRC COUNTER-POSITION NOTE: Clarified that while the parsing engines are delivered, the manual labor of converting new hospital contracts is performed by AHEL (or billed separately as an SOW).]</w:t>
      </w:r>
    </w:p>
    <w:p>
      <w:pPr>
        <w:spacing w:before="80" w:after="40" w:line="276" w:lineRule="auto"/>
      </w:pPr>
      <w:r>
        <w:rPr>
          <w:rFonts w:ascii="Book Antiqua" w:hAnsi="Book Antiqua"/>
          <w:b/>
          <w:i w:val="0"/>
          <w:sz w:val="20"/>
        </w:rPr>
        <w:t>2.2 Walkthrough and Knowledge Transfer</w:t>
      </w:r>
    </w:p>
    <w:p>
      <w:pPr>
        <w:spacing w:after="80" w:line="276" w:lineRule="auto"/>
        <w:jc w:val="both"/>
      </w:pPr>
      <w:r>
        <w:rPr>
          <w:rFonts w:ascii="Book Antiqua" w:hAnsi="Book Antiqua"/>
          <w:b w:val="0"/>
          <w:i w:val="0"/>
          <w:sz w:val="20"/>
        </w:rPr>
        <w:t>Within ten (10) working days of the Effective Date, BRC shall conduct a structured walkthrough of the Platform for AHEL’s nominated technical team (consisting of up to two (2) interactive sessions of three (3) hours each), covering: (i) solution architecture and code structure, module by module; (ii) runtime data model, schemas, SQLite/IndexedDB structures and data flows; (iii) calculation engine priority hierarchy (billing leakage, room-rent category and timed-slab tariff checks), with worked examples; (iv) runtime tariff master schema structure and mapping logic; and (v) build, configuration, and run procedures for run_server.py and helper engines. AHEL may record the sessions. Completion shall be confirmed by AHEL’s written KT sign-off. Any further KT sessions requested by AHEL during the Support Term beyond the agreed initial sessions shall be mutually agreed and scheduled on a Time &amp; Material basis.</w:t>
      </w:r>
    </w:p>
    <w:p>
      <w:pPr>
        <w:spacing w:before="40" w:after="120" w:line="276" w:lineRule="auto"/>
        <w:ind w:left="360"/>
      </w:pPr>
      <w:r>
        <w:rPr>
          <w:rFonts w:ascii="Book Antiqua" w:hAnsi="Book Antiqua"/>
          <w:b/>
          <w:i/>
          <w:color w:val="B42828"/>
          <w:sz w:val="18"/>
        </w:rPr>
        <w:t>► [BRC COUNTER-POSITION NOTE: Defined KT to 2 sessions of 3 hours strictly on runtime operability. Struck out 'further KT at no cost' to prevent indefinite unpaid training.]</w:t>
      </w:r>
    </w:p>
    <w:p>
      <w:pPr>
        <w:spacing w:before="80" w:after="40" w:line="276" w:lineRule="auto"/>
      </w:pPr>
      <w:r>
        <w:rPr>
          <w:rFonts w:ascii="Book Antiqua" w:hAnsi="Book Antiqua"/>
          <w:b/>
          <w:i w:val="0"/>
          <w:sz w:val="20"/>
        </w:rPr>
        <w:t>2.3 Technical Advisory Support</w:t>
      </w:r>
    </w:p>
    <w:p>
      <w:pPr>
        <w:spacing w:after="80" w:line="276" w:lineRule="auto"/>
        <w:jc w:val="both"/>
      </w:pPr>
      <w:r>
        <w:rPr>
          <w:rFonts w:ascii="Book Antiqua" w:hAnsi="Book Antiqua"/>
          <w:b w:val="0"/>
          <w:i w:val="0"/>
          <w:sz w:val="20"/>
        </w:rPr>
        <w:t>For twelve (12) months from the Handover Date (the “Support Term”), BRC shall provide advisory and guidance support to AHEL’s internal team for the operability and technical guidance of the Platform, comprising: (a) a bi-weekly scheduled review call of up to sixty (60) minutes with BRC’s designated lead resource; (b) on-call advisory support by phone, e-mail or MS Teams for operational issues encountered, with a response within one (1) business day; and (c) guidance on root-cause analysis of defects in the delivered code. The support is strictly advisory in nature. BRC shall not be required to develop, code, configure, deploy, or convert unit datasets; all operational build and extension work shall be performed by AHEL. BRC shall nominate named key personnel for the Support Term and shall share a quarterly log of calls and guidance provided.</w:t>
      </w:r>
    </w:p>
    <w:p>
      <w:pPr>
        <w:spacing w:before="40" w:after="120" w:line="276" w:lineRule="auto"/>
        <w:ind w:left="360"/>
      </w:pPr>
      <w:r>
        <w:rPr>
          <w:rFonts w:ascii="Book Antiqua" w:hAnsi="Book Antiqua"/>
          <w:b/>
          <w:i/>
          <w:color w:val="B42828"/>
          <w:sz w:val="18"/>
        </w:rPr>
        <w:t>► [BRC COUNTER-POSITION NOTE: Adjusted SLA to professional advisory standards (1 business day) and bi-weekly calls; clarified no development/coding required from BRC.]</w:t>
      </w:r>
    </w:p>
    <w:p>
      <w:pPr>
        <w:spacing w:before="80" w:after="40" w:line="276" w:lineRule="auto"/>
      </w:pPr>
      <w:r>
        <w:rPr>
          <w:rFonts w:ascii="Book Antiqua" w:hAnsi="Book Antiqua"/>
          <w:b/>
          <w:i w:val="0"/>
          <w:sz w:val="20"/>
        </w:rPr>
        <w:t>2.4 Scale-up Advisory</w:t>
      </w:r>
    </w:p>
    <w:p>
      <w:pPr>
        <w:spacing w:after="80" w:line="276" w:lineRule="auto"/>
        <w:jc w:val="both"/>
      </w:pPr>
      <w:r>
        <w:rPr>
          <w:rFonts w:ascii="Book Antiqua" w:hAnsi="Book Antiqua"/>
          <w:b w:val="0"/>
          <w:i w:val="0"/>
          <w:sz w:val="20"/>
        </w:rPr>
        <w:t>During the Support Term, BRC shall provide high-level technical guidance to AHEL’s internal IT team on performance and architectural best practices for handling multi-unit datasets, processing-time optimization, and batch processing design within the Platform’s delivered framework.</w:t>
      </w:r>
    </w:p>
    <w:p>
      <w:pPr>
        <w:spacing w:before="120" w:after="40" w:line="276" w:lineRule="auto"/>
      </w:pPr>
      <w:r>
        <w:rPr>
          <w:rFonts w:ascii="Book Antiqua" w:hAnsi="Book Antiqua"/>
          <w:b/>
          <w:i w:val="0"/>
          <w:sz w:val="20"/>
        </w:rPr>
        <w:t>2.5 Consideration</w:t>
      </w:r>
    </w:p>
    <w:p>
      <w:pPr>
        <w:spacing w:after="80" w:line="276" w:lineRule="auto"/>
        <w:jc w:val="both"/>
      </w:pPr>
      <w:r>
        <w:rPr>
          <w:rFonts w:ascii="Book Antiqua" w:hAnsi="Book Antiqua"/>
          <w:b w:val="0"/>
          <w:i w:val="0"/>
          <w:sz w:val="20"/>
        </w:rPr>
        <w:t>The total consideration is Rs. 10,00,000/- (Rupees Ten Lakhs only), exclusive of GST, payable as follows:</w:t>
        <w:br/>
        <w:t>(a) Milestone 1 – Rs. 6,00,000/- (Rupees Six Lakhs only): on execution of this Agreement, against a valid tax invoice, prior to the handover of the release repository;</w:t>
        <w:br/>
        <w:t>(b) Advisory Support Fee – Rs. 4,00,000/- (Rupees Four Lakhs only): in four (4) equal quarterly instalments of Rs. 1,00,000/- each for the Support Term, payable quarterly in advance at the commencement of each calendar quarter.</w:t>
        <w:br/>
        <w:t>The amount under (a) constitutes the consideration for the assignment of the Assigned IP under Section 3, and the amount under (b) constitutes the consideration for the technical advisory services under clauses 2.2 to 2.4.</w:t>
      </w:r>
    </w:p>
    <w:p>
      <w:pPr>
        <w:spacing w:before="40" w:after="120" w:line="276" w:lineRule="auto"/>
        <w:ind w:left="360"/>
      </w:pPr>
      <w:r>
        <w:rPr>
          <w:rFonts w:ascii="Book Antiqua" w:hAnsi="Book Antiqua"/>
          <w:b/>
          <w:i/>
          <w:color w:val="B42828"/>
          <w:sz w:val="18"/>
        </w:rPr>
        <w:t>► [BRC COUNTER-POSITION NOTE: CRITICAL CORRECTION: Reverted Milestone 1 to agreed Rs. 6,00,000/- upfront. Deleted Milestone 2 (2-unit pilot contingency). Reverted Advisory Support Fee to be payable QUARTERLY IN ADVANCE rather than in arrears.]</w:t>
      </w:r>
    </w:p>
    <w:p>
      <w:pPr>
        <w:spacing w:before="120" w:after="60" w:line="276" w:lineRule="auto"/>
      </w:pPr>
      <w:r>
        <w:rPr>
          <w:rFonts w:ascii="Book Antiqua" w:hAnsi="Book Antiqua"/>
          <w:b/>
          <w:i w:val="0"/>
          <w:sz w:val="20"/>
        </w:rPr>
        <w:t>3. Standard Terms &amp; Conditions</w:t>
      </w:r>
    </w:p>
    <w:p>
      <w:pPr>
        <w:pStyle w:val="ListBullet"/>
        <w:spacing w:after="60" w:line="276" w:lineRule="auto"/>
        <w:jc w:val="both"/>
      </w:pPr>
      <w:r>
        <w:rPr>
          <w:rFonts w:ascii="Book Antiqua" w:hAnsi="Book Antiqua"/>
          <w:b/>
          <w:sz w:val="20"/>
        </w:rPr>
        <w:t xml:space="preserve">Intellectual Property &amp; Assignment: </w:t>
      </w:r>
      <w:r>
        <w:rPr>
          <w:rFonts w:ascii="Book Antiqua" w:hAnsi="Book Antiqua"/>
          <w:sz w:val="20"/>
        </w:rPr>
        <w:t>BRC hereby irrevocably assigns to AHEL, with effect from the Handover Date and upon receipt of the Milestone 1 consideration, the entire right, title and interest in the custom runtime codebase of the Baseline Version of the Platform, its modular runtime files (index.html, js/app.js, css/styles.css, run_server.py), schemas, and delivered technical manuals, throughout the world, in perpetuity, for internal operational use across AHEL and its affiliates, including the right to modify, adapt, and create internal derivative works. Section 19(4) of the Copyright Act, 1957 shall not apply. BRC warrants that the custom code represents original work and does not infringe upon any third-party IP rights. All open-source library dependencies used are under standard permissive licenses (MIT, Apache 2.0) and are listed in the SBOM.</w:t>
      </w:r>
    </w:p>
    <w:p>
      <w:pPr>
        <w:pStyle w:val="ListBullet"/>
        <w:spacing w:after="60" w:line="276" w:lineRule="auto"/>
        <w:jc w:val="both"/>
      </w:pPr>
      <w:r>
        <w:rPr>
          <w:rFonts w:ascii="Book Antiqua" w:hAnsi="Book Antiqua"/>
          <w:b/>
          <w:sz w:val="20"/>
        </w:rPr>
        <w:t xml:space="preserve">Permitted Use &amp; Residual Rights (Replaces Exclusivity): </w:t>
      </w:r>
      <w:r>
        <w:rPr>
          <w:rFonts w:ascii="Book Antiqua" w:hAnsi="Book Antiqua"/>
          <w:sz w:val="20"/>
        </w:rPr>
        <w:t>AHEL shall have full, unrestricted ownership to deploy, modify, and extend the Platform across all AHEL hospitals, subsidiaries, joint ventures, and managed units. BRC covenants that it shall not share, transfer, or disclose any of AHEL's confidential billing tariffs, negotiated rates, or patient data to any third party. However, nothing in this Agreement shall restrict or prohibit BRC from developing, licensing, or commercializing independent revenue assurance tools, auditing frameworks, or advisory services for other healthcare providers, using BRC's general skills, domain knowledge, and underlying development frameworks.</w:t>
      </w:r>
    </w:p>
    <w:p>
      <w:pPr>
        <w:spacing w:before="40" w:after="120" w:line="276" w:lineRule="auto"/>
        <w:ind w:left="360"/>
      </w:pPr>
      <w:r>
        <w:rPr>
          <w:rFonts w:ascii="Book Antiqua" w:hAnsi="Book Antiqua"/>
          <w:b/>
          <w:i/>
          <w:color w:val="B42828"/>
          <w:sz w:val="18"/>
        </w:rPr>
        <w:t>► [BRC COUNTER-POSITION NOTE: CRITICAL CORRECTION: Struck down Apollo's blanket exclusivity/non-compete. Protects BRC's legal right to build and sell revenue assurance tools to other hospital networks.]</w:t>
      </w:r>
    </w:p>
    <w:p>
      <w:pPr>
        <w:pStyle w:val="ListBullet"/>
        <w:spacing w:after="60" w:line="276" w:lineRule="auto"/>
        <w:jc w:val="both"/>
      </w:pPr>
      <w:r>
        <w:rPr>
          <w:rFonts w:ascii="Book Antiqua" w:hAnsi="Book Antiqua"/>
          <w:b/>
          <w:sz w:val="20"/>
        </w:rPr>
        <w:t xml:space="preserve">Publicity &amp; Attribution: </w:t>
      </w:r>
      <w:r>
        <w:rPr>
          <w:rFonts w:ascii="Book Antiqua" w:hAnsi="Book Antiqua"/>
          <w:sz w:val="20"/>
        </w:rPr>
        <w:t>In recognition of the architectural provenance of the solution, AHEL agrees that a subtle, professional attribution signature (e.g., 'Powered by BRC • Engineered by BRC_SID.AI') shall be maintained within the Platform’s interface footer and administrative login screen. BRC may refer to this engagement in its professional credentials without disclosing any AHEL Confidential Information.</w:t>
      </w:r>
    </w:p>
    <w:p>
      <w:pPr>
        <w:spacing w:before="40" w:after="120" w:line="276" w:lineRule="auto"/>
        <w:ind w:left="360"/>
      </w:pPr>
      <w:r>
        <w:rPr>
          <w:rFonts w:ascii="Book Antiqua" w:hAnsi="Book Antiqua"/>
          <w:b/>
          <w:i/>
          <w:color w:val="B42828"/>
          <w:sz w:val="18"/>
        </w:rPr>
        <w:t>► [BRC COUNTER-POSITION NOTE: REINSTATED ATTRIBUTION: Re-inserted BRC_SID.AI attribution clause deleted by Apollo.]</w:t>
      </w:r>
    </w:p>
    <w:p>
      <w:pPr>
        <w:pStyle w:val="ListBullet"/>
        <w:spacing w:after="60" w:line="276" w:lineRule="auto"/>
        <w:jc w:val="both"/>
      </w:pPr>
      <w:r>
        <w:rPr>
          <w:rFonts w:ascii="Book Antiqua" w:hAnsi="Book Antiqua"/>
          <w:b/>
          <w:sz w:val="20"/>
        </w:rPr>
        <w:t xml:space="preserve">Taxation &amp; Levies: </w:t>
      </w:r>
      <w:r>
        <w:rPr>
          <w:rFonts w:ascii="Book Antiqua" w:hAnsi="Book Antiqua"/>
          <w:sz w:val="20"/>
        </w:rPr>
        <w:t>All amounts in this Agreement are exclusive of applicable GST, presently at 18%. Taxes will be added to the invoice at the time of billing. Payments shall be subject to deduction of tax at source (TDS) under applicable provisions of the Income-tax Act. Stamp duty on this Agreement shall be borne by AHEL.</w:t>
      </w:r>
    </w:p>
    <w:p>
      <w:pPr>
        <w:pStyle w:val="ListBullet"/>
        <w:spacing w:after="60" w:line="276" w:lineRule="auto"/>
        <w:jc w:val="both"/>
      </w:pPr>
      <w:r>
        <w:rPr>
          <w:rFonts w:ascii="Book Antiqua" w:hAnsi="Book Antiqua"/>
          <w:b/>
          <w:sz w:val="20"/>
        </w:rPr>
        <w:t xml:space="preserve">Payment Terms: </w:t>
      </w:r>
      <w:r>
        <w:rPr>
          <w:rFonts w:ascii="Book Antiqua" w:hAnsi="Book Antiqua"/>
          <w:sz w:val="20"/>
        </w:rPr>
        <w:t>Payments shall be made in accordance with clause 2.5 within fifteen (15) days of receipt of a valid tax invoice. Advisory support retainers shall be billed quarterly in advance.</w:t>
      </w:r>
    </w:p>
    <w:p>
      <w:pPr>
        <w:pStyle w:val="ListBullet"/>
        <w:spacing w:after="60" w:line="276" w:lineRule="auto"/>
        <w:jc w:val="both"/>
      </w:pPr>
      <w:r>
        <w:rPr>
          <w:rFonts w:ascii="Book Antiqua" w:hAnsi="Book Antiqua"/>
          <w:b/>
          <w:sz w:val="20"/>
        </w:rPr>
        <w:t xml:space="preserve">Mutual Confidentiality &amp; Data Protection: </w:t>
      </w:r>
      <w:r>
        <w:rPr>
          <w:rFonts w:ascii="Book Antiqua" w:hAnsi="Book Antiqua"/>
          <w:sz w:val="20"/>
        </w:rPr>
        <w:t>Both parties agree to protect and treat as confidential all proprietary information, client database structures, clinical tariff agreements, and patient metrics accessed during this project. Obligations survive termination. BRC confirms that the delivered runtime databases contain no identifiable patient data, operating on de-identified test/tariff records.</w:t>
      </w:r>
    </w:p>
    <w:p>
      <w:pPr>
        <w:pStyle w:val="ListBullet"/>
        <w:spacing w:after="60" w:line="276" w:lineRule="auto"/>
        <w:jc w:val="both"/>
      </w:pPr>
      <w:r>
        <w:rPr>
          <w:rFonts w:ascii="Book Antiqua" w:hAnsi="Book Antiqua"/>
          <w:b/>
          <w:sz w:val="20"/>
        </w:rPr>
        <w:t xml:space="preserve">Limitation of Liability: </w:t>
      </w:r>
      <w:r>
        <w:rPr>
          <w:rFonts w:ascii="Book Antiqua" w:hAnsi="Book Antiqua"/>
          <w:sz w:val="20"/>
        </w:rPr>
        <w:t>The Platform is an auditing decision-support utility. Final verification and billing compliance authority resides entirely with AHEL’s internal billing and audit departments. Neither party shall be liable for any indirect, incidental or consequential loss, and BRC’s aggregate liability under this Agreement shall not exceed the total consideration actually paid to BRC under this Agreement.</w:t>
      </w:r>
    </w:p>
    <w:p>
      <w:pPr>
        <w:spacing w:before="120" w:after="60" w:line="276" w:lineRule="auto"/>
      </w:pPr>
      <w:r>
        <w:rPr>
          <w:rFonts w:ascii="Book Antiqua" w:hAnsi="Book Antiqua"/>
          <w:b/>
          <w:i w:val="0"/>
          <w:sz w:val="20"/>
        </w:rPr>
        <w:t>4. General Terms</w:t>
      </w:r>
    </w:p>
    <w:p>
      <w:pPr>
        <w:pStyle w:val="ListBullet"/>
        <w:spacing w:after="60" w:line="276" w:lineRule="auto"/>
        <w:jc w:val="both"/>
      </w:pPr>
      <w:r>
        <w:rPr>
          <w:rFonts w:ascii="Book Antiqua" w:hAnsi="Book Antiqua"/>
          <w:b/>
          <w:sz w:val="20"/>
        </w:rPr>
        <w:t xml:space="preserve">Affiliates: </w:t>
      </w:r>
      <w:r>
        <w:rPr>
          <w:rFonts w:ascii="Book Antiqua" w:hAnsi="Book Antiqua"/>
          <w:sz w:val="20"/>
        </w:rPr>
        <w:t>AHEL may use, modify, deploy and operate the Platform across its subsidiaries, affiliates, joint ventures and hospitals managed by it.</w:t>
      </w:r>
    </w:p>
    <w:p>
      <w:pPr>
        <w:pStyle w:val="ListBullet"/>
        <w:spacing w:after="60" w:line="276" w:lineRule="auto"/>
        <w:jc w:val="both"/>
      </w:pPr>
      <w:r>
        <w:rPr>
          <w:rFonts w:ascii="Book Antiqua" w:hAnsi="Book Antiqua"/>
          <w:b/>
          <w:sz w:val="20"/>
        </w:rPr>
        <w:t xml:space="preserve">Term and Termination: </w:t>
      </w:r>
      <w:r>
        <w:rPr>
          <w:rFonts w:ascii="Book Antiqua" w:hAnsi="Book Antiqua"/>
          <w:sz w:val="20"/>
        </w:rPr>
        <w:t>This Agreement shall remain in force until expiry of the Support Term. The IP assignment under Section 3 is perpetual and non-revocable upon full receipt of Milestone 1 consideration.</w:t>
      </w:r>
    </w:p>
    <w:p>
      <w:pPr>
        <w:pStyle w:val="ListBullet"/>
        <w:spacing w:after="60" w:line="276" w:lineRule="auto"/>
        <w:jc w:val="both"/>
      </w:pPr>
      <w:r>
        <w:rPr>
          <w:rFonts w:ascii="Book Antiqua" w:hAnsi="Book Antiqua"/>
          <w:b/>
          <w:sz w:val="20"/>
        </w:rPr>
        <w:t xml:space="preserve">Governing Law &amp; Disputes: </w:t>
      </w:r>
      <w:r>
        <w:rPr>
          <w:rFonts w:ascii="Book Antiqua" w:hAnsi="Book Antiqua"/>
          <w:sz w:val="20"/>
        </w:rPr>
        <w:t>This Agreement is governed by the laws of India, subject to arbitration under the Arbitration and Conciliation Act, 1996, seated in Kolkata/Chennai, with proceedings conducted in English.</w:t>
      </w:r>
    </w:p>
    <w:p>
      <w:pPr>
        <w:spacing w:before="160" w:after="80" w:line="276" w:lineRule="auto"/>
      </w:pPr>
      <w:r>
        <w:rPr>
          <w:rFonts w:ascii="Book Antiqua" w:hAnsi="Book Antiqua"/>
          <w:b/>
          <w:i w:val="0"/>
          <w:sz w:val="20"/>
        </w:rPr>
        <w:t>5. Execution</w:t>
      </w:r>
    </w:p>
    <w:tbl>
      <w:tblPr>
        <w:tblW w:type="auto" w:w="0"/>
        <w:tblLayout w:type="fixed"/>
        <w:tblLook w:firstColumn="1" w:firstRow="1" w:lastColumn="0" w:lastRow="0" w:noHBand="0" w:noVBand="1" w:val="04A0"/>
      </w:tblPr>
      <w:tblGrid>
        <w:gridCol w:w="4608"/>
        <w:gridCol w:w="4752"/>
      </w:tblGrid>
      <w:tr>
        <w:tc>
          <w:tcPr>
            <w:tcW w:type="dxa" w:w="4680"/>
          </w:tcPr>
          <w:p>
            <w:pPr>
              <w:spacing w:line="276" w:lineRule="auto"/>
            </w:pPr>
            <w:r>
              <w:rPr>
                <w:rFonts w:ascii="Book Antiqua" w:hAnsi="Book Antiqua"/>
                <w:b/>
                <w:sz w:val="20"/>
              </w:rPr>
              <w:t>For BIHANI RASHMI &amp; CO. (BRC_SID.AI)</w:t>
              <w:br/>
            </w:r>
            <w:r>
              <w:rPr>
                <w:rFonts w:ascii="Book Antiqua" w:hAnsi="Book Antiqua"/>
                <w:b w:val="0"/>
                <w:sz w:val="20"/>
              </w:rPr>
              <w:t>Chartered Accountants</w:t>
              <w:br/>
            </w:r>
            <w:r>
              <w:rPr>
                <w:rFonts w:ascii="Book Antiqua" w:hAnsi="Book Antiqua"/>
                <w:b w:val="0"/>
                <w:sz w:val="20"/>
              </w:rPr>
              <w:t>Firm Registration No. 0328058E</w:t>
              <w:br/>
              <w:br/>
              <w:br/>
            </w:r>
            <w:r>
              <w:rPr>
                <w:rFonts w:ascii="Book Antiqua" w:hAnsi="Book Antiqua"/>
                <w:b w:val="0"/>
                <w:sz w:val="20"/>
              </w:rPr>
              <w:t>_____________________________________</w:t>
              <w:br/>
            </w:r>
            <w:r>
              <w:rPr>
                <w:rFonts w:ascii="Book Antiqua" w:hAnsi="Book Antiqua"/>
                <w:b/>
                <w:sz w:val="20"/>
              </w:rPr>
              <w:t>CA Rashmi Bihani / CA Siddhant Surana</w:t>
              <w:br/>
            </w:r>
            <w:r>
              <w:rPr>
                <w:rFonts w:ascii="Book Antiqua" w:hAnsi="Book Antiqua"/>
                <w:b w:val="0"/>
                <w:sz w:val="20"/>
              </w:rPr>
              <w:t>Proprietor / Partner (Lead Automation Practice)</w:t>
              <w:br/>
            </w:r>
            <w:r>
              <w:rPr>
                <w:rFonts w:ascii="Book Antiqua" w:hAnsi="Book Antiqua"/>
                <w:b w:val="0"/>
                <w:sz w:val="20"/>
              </w:rPr>
              <w:t>Date: _________________________</w:t>
              <w:br/>
            </w:r>
            <w:r>
              <w:rPr>
                <w:rFonts w:ascii="Book Antiqua" w:hAnsi="Book Antiqua"/>
                <w:b w:val="0"/>
                <w:sz w:val="20"/>
              </w:rPr>
              <w:t>Witness: ______________________</w:t>
            </w:r>
          </w:p>
        </w:tc>
        <w:tc>
          <w:tcPr>
            <w:tcW w:type="dxa" w:w="4680"/>
          </w:tcPr>
          <w:p>
            <w:pPr>
              <w:spacing w:line="276" w:lineRule="auto"/>
            </w:pPr>
            <w:r>
              <w:rPr>
                <w:rFonts w:ascii="Book Antiqua" w:hAnsi="Book Antiqua"/>
                <w:b/>
                <w:sz w:val="20"/>
              </w:rPr>
              <w:t>For and on behalf of:</w:t>
              <w:br/>
            </w:r>
            <w:r>
              <w:rPr>
                <w:rFonts w:ascii="Book Antiqua" w:hAnsi="Book Antiqua"/>
                <w:b/>
                <w:sz w:val="20"/>
              </w:rPr>
              <w:t>APOLLO HOSPITALS ENTERPRISE LIMITED</w:t>
              <w:br/>
            </w:r>
            <w:r>
              <w:rPr>
                <w:rFonts w:ascii="Book Antiqua" w:hAnsi="Book Antiqua"/>
                <w:b w:val="0"/>
                <w:sz w:val="20"/>
              </w:rPr>
              <w:t>(Authorized Signatory)</w:t>
              <w:br/>
              <w:br/>
              <w:br/>
            </w:r>
            <w:r>
              <w:rPr>
                <w:rFonts w:ascii="Book Antiqua" w:hAnsi="Book Antiqua"/>
                <w:b w:val="0"/>
                <w:sz w:val="20"/>
              </w:rPr>
              <w:t>_____________________________________</w:t>
              <w:br/>
            </w:r>
            <w:r>
              <w:rPr>
                <w:rFonts w:ascii="Book Antiqua" w:hAnsi="Book Antiqua"/>
                <w:b/>
                <w:sz w:val="20"/>
              </w:rPr>
              <w:t>Name: ______________________________</w:t>
              <w:br/>
            </w:r>
            <w:r>
              <w:rPr>
                <w:rFonts w:ascii="Book Antiqua" w:hAnsi="Book Antiqua"/>
                <w:b w:val="0"/>
                <w:sz w:val="20"/>
              </w:rPr>
              <w:t>Designation: _______________________</w:t>
              <w:br/>
            </w:r>
            <w:r>
              <w:rPr>
                <w:rFonts w:ascii="Book Antiqua" w:hAnsi="Book Antiqua"/>
                <w:b w:val="0"/>
                <w:sz w:val="20"/>
              </w:rPr>
              <w:t>Date: _________________________</w:t>
              <w:br/>
            </w:r>
            <w:r>
              <w:rPr>
                <w:rFonts w:ascii="Book Antiqua" w:hAnsi="Book Antiqua"/>
                <w:b w:val="0"/>
                <w:sz w:val="20"/>
              </w:rPr>
              <w:t>Witness: ______________________</w:t>
            </w:r>
          </w:p>
        </w:tc>
      </w:tr>
    </w:tbl>
    <w:p>
      <w:pPr>
        <w:spacing w:after="80" w:line="276" w:lineRule="auto"/>
      </w:pPr>
    </w:p>
    <w:p>
      <w:pPr>
        <w:spacing w:before="160" w:after="60" w:line="276" w:lineRule="auto"/>
      </w:pPr>
      <w:r>
        <w:rPr>
          <w:rFonts w:ascii="Book Antiqua" w:hAnsi="Book Antiqua"/>
          <w:b/>
          <w:i w:val="0"/>
          <w:sz w:val="20"/>
        </w:rPr>
        <w:t>Schedule A – Deliverables (Baseline Version v2.5.2)</w:t>
      </w:r>
    </w:p>
    <w:p>
      <w:pPr>
        <w:pStyle w:val="ListBullet"/>
        <w:spacing w:after="60" w:line="276" w:lineRule="auto"/>
        <w:jc w:val="both"/>
      </w:pPr>
      <w:r>
        <w:rPr>
          <w:rFonts w:ascii="Book Antiqua" w:hAnsi="Book Antiqua"/>
          <w:b/>
          <w:sz w:val="20"/>
        </w:rPr>
        <w:t xml:space="preserve">(i) </w:t>
      </w:r>
      <w:r>
        <w:rPr>
          <w:rFonts w:ascii="Book Antiqua" w:hAnsi="Book Antiqua"/>
          <w:sz w:val="20"/>
        </w:rPr>
        <w:t>Consolidated production-ready release repository of the Baseline Version (v2.5.2).</w:t>
      </w:r>
    </w:p>
    <w:p>
      <w:pPr>
        <w:pStyle w:val="ListBullet"/>
        <w:spacing w:after="60" w:line="276" w:lineRule="auto"/>
        <w:jc w:val="both"/>
      </w:pPr>
      <w:r>
        <w:rPr>
          <w:rFonts w:ascii="Book Antiqua" w:hAnsi="Book Antiqua"/>
          <w:b/>
          <w:sz w:val="20"/>
        </w:rPr>
        <w:t xml:space="preserve">(ii) </w:t>
      </w:r>
      <w:r>
        <w:rPr>
          <w:rFonts w:ascii="Book Antiqua" w:hAnsi="Book Antiqua"/>
          <w:sz w:val="20"/>
        </w:rPr>
        <w:t>All runtime modular source code files: index.html, js/app.js, css/styles.css, run_server.py, and database schema scripts.</w:t>
      </w:r>
    </w:p>
    <w:p>
      <w:pPr>
        <w:pStyle w:val="ListBullet"/>
        <w:spacing w:after="60" w:line="276" w:lineRule="auto"/>
        <w:jc w:val="both"/>
      </w:pPr>
      <w:r>
        <w:rPr>
          <w:rFonts w:ascii="Book Antiqua" w:hAnsi="Book Antiqua"/>
          <w:b/>
          <w:sz w:val="20"/>
        </w:rPr>
        <w:t xml:space="preserve">(iii) </w:t>
      </w:r>
      <w:r>
        <w:rPr>
          <w:rFonts w:ascii="Book Antiqua" w:hAnsi="Book Antiqua"/>
          <w:sz w:val="20"/>
        </w:rPr>
        <w:t>Server-side PDF and Excel contract parsing engines and SOC data processing module (soc_module/ and tariff compilation scripts: compile_kolkata_tariffs.py, compile_hdfc_agreed_2026.py, compile_iocl_2021.py, compile_excelcare_gipsa.py).</w:t>
      </w:r>
    </w:p>
    <w:p>
      <w:pPr>
        <w:pStyle w:val="ListBullet"/>
        <w:spacing w:after="60" w:line="276" w:lineRule="auto"/>
        <w:jc w:val="both"/>
      </w:pPr>
      <w:r>
        <w:rPr>
          <w:rFonts w:ascii="Book Antiqua" w:hAnsi="Book Antiqua"/>
          <w:b/>
          <w:sz w:val="20"/>
        </w:rPr>
        <w:t xml:space="preserve">(iv) </w:t>
      </w:r>
      <w:r>
        <w:rPr>
          <w:rFonts w:ascii="Book Antiqua" w:hAnsi="Book Antiqua"/>
          <w:sz w:val="20"/>
        </w:rPr>
        <w:t>Compiled runtime SQLite / IndexedDB schemas and Originating Unit (Guwahati) master tariff tables.</w:t>
      </w:r>
    </w:p>
    <w:p>
      <w:pPr>
        <w:pStyle w:val="ListBullet"/>
        <w:spacing w:after="60" w:line="276" w:lineRule="auto"/>
        <w:jc w:val="both"/>
      </w:pPr>
      <w:r>
        <w:rPr>
          <w:rFonts w:ascii="Book Antiqua" w:hAnsi="Book Antiqua"/>
          <w:b/>
          <w:sz w:val="20"/>
        </w:rPr>
        <w:t xml:space="preserve">(v) </w:t>
      </w:r>
      <w:r>
        <w:rPr>
          <w:rFonts w:ascii="Book Antiqua" w:hAnsi="Book Antiqua"/>
          <w:sz w:val="20"/>
        </w:rPr>
        <w:t>Software Bill of Materials (SBOM) listing open-source utility libraries and permissive licenses (MIT, Apache 2.0).</w:t>
      </w:r>
    </w:p>
    <w:p>
      <w:pPr>
        <w:pStyle w:val="ListBullet"/>
        <w:spacing w:after="60" w:line="276" w:lineRule="auto"/>
        <w:jc w:val="both"/>
      </w:pPr>
      <w:r>
        <w:rPr>
          <w:rFonts w:ascii="Book Antiqua" w:hAnsi="Book Antiqua"/>
          <w:b/>
          <w:sz w:val="20"/>
        </w:rPr>
        <w:t xml:space="preserve">(vi) </w:t>
      </w:r>
      <w:r>
        <w:rPr>
          <w:rFonts w:ascii="Book Antiqua" w:hAnsi="Book Antiqua"/>
          <w:sz w:val="20"/>
        </w:rPr>
        <w:t>Environment installation, deployment, and execution guide.</w:t>
      </w:r>
    </w:p>
    <w:p>
      <w:pPr>
        <w:pStyle w:val="ListBullet"/>
        <w:spacing w:after="60" w:line="276" w:lineRule="auto"/>
        <w:jc w:val="both"/>
      </w:pPr>
      <w:r>
        <w:rPr>
          <w:rFonts w:ascii="Book Antiqua" w:hAnsi="Book Antiqua"/>
          <w:b/>
          <w:sz w:val="20"/>
        </w:rPr>
        <w:t xml:space="preserve">(vii) </w:t>
      </w:r>
      <w:r>
        <w:rPr>
          <w:rFonts w:ascii="Book Antiqua" w:hAnsi="Book Antiqua"/>
          <w:sz w:val="20"/>
        </w:rPr>
        <w:t>Enterprise Architecture, data-flow, and business-rule specification manual (disclosing rule logic, parameters, and priority sequence).</w:t>
      </w:r>
    </w:p>
    <w:p>
      <w:pPr>
        <w:pStyle w:val="ListBullet"/>
        <w:spacing w:after="60" w:line="276" w:lineRule="auto"/>
        <w:jc w:val="both"/>
      </w:pPr>
      <w:r>
        <w:rPr>
          <w:rFonts w:ascii="Book Antiqua" w:hAnsi="Book Antiqua"/>
          <w:b/>
          <w:sz w:val="20"/>
        </w:rPr>
        <w:t xml:space="preserve">(viii) </w:t>
      </w:r>
      <w:r>
        <w:rPr>
          <w:rFonts w:ascii="Book Antiqua" w:hAnsi="Book Antiqua"/>
          <w:sz w:val="20"/>
        </w:rPr>
        <w:t>SOC Data Processing Module technical manual and Administrator/Auditor User Manuals.</w:t>
      </w:r>
    </w:p>
    <w:p>
      <w:pPr>
        <w:pStyle w:val="ListBullet"/>
        <w:spacing w:after="60" w:line="276" w:lineRule="auto"/>
        <w:jc w:val="both"/>
      </w:pPr>
      <w:r>
        <w:rPr>
          <w:rFonts w:ascii="Book Antiqua" w:hAnsi="Book Antiqua"/>
          <w:b/>
          <w:sz w:val="20"/>
        </w:rPr>
        <w:t xml:space="preserve">Operational Note: </w:t>
      </w:r>
      <w:r>
        <w:rPr>
          <w:rFonts w:ascii="Book Antiqua" w:hAnsi="Book Antiqua"/>
          <w:sz w:val="20"/>
        </w:rPr>
        <w:t>While parsing code engines are delivered, all hands-on data cleaning, file preparation, and operational conversion for additional hospital units beyond the delivered baseline shall be performed independently by AHEL (or under a separate SOW).</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