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left"/>
      </w:pPr>
      <w:r>
        <w:rPr>
          <w:rFonts w:ascii="Calibri" w:hAnsi="Calibri"/>
          <w:b/>
          <w:color w:val="004B87"/>
          <w:sz w:val="36"/>
        </w:rPr>
        <w:t>APOLLO HEALTHCARE REVENUE ASSURANCE &amp; CENTRAL TARIFF GOVERNANCE PLATFORM</w:t>
      </w:r>
    </w:p>
    <w:p>
      <w:pPr>
        <w:spacing w:after="200"/>
      </w:pPr>
      <w:r>
        <w:rPr>
          <w:rFonts w:ascii="Calibri" w:hAnsi="Calibri"/>
          <w:b/>
          <w:color w:val="0D9488"/>
          <w:sz w:val="23"/>
        </w:rPr>
        <w:t>Complete System Working Manual, Central Data Hub Operations, Built-In &amp; Standby Infrastructure Capabilities, Performance Benchmarks, Capacities, and Known Limitations</w:t>
      </w:r>
    </w:p>
    <w:tbl>
      <w:tblPr>
        <w:tblStyle w:val="TableGrid"/>
        <w:tblW w:type="auto" w:w="0"/>
        <w:jc w:val="center"/>
        <w:tblLook w:firstColumn="1" w:firstRow="1" w:lastColumn="0" w:lastRow="0" w:noHBand="0" w:noVBand="1" w:val="04A0"/>
      </w:tblPr>
      <w:tblGrid>
        <w:gridCol w:w="5040"/>
        <w:gridCol w:w="5040"/>
      </w:tblGrid>
      <w:tr>
        <w:tc>
          <w:tcPr>
            <w:tcW w:type="dxa" w:w="3312"/>
            <w:shd w:val="clear" w:color="auto" w:fill="004B87"/>
            <w:tcMar>
              <w:top w:w="110" w:type="dxa"/>
              <w:bottom w:w="110" w:type="dxa"/>
              <w:left w:w="140" w:type="dxa"/>
              <w:right w:w="140" w:type="dxa"/>
            </w:tcMar>
          </w:tcPr>
          <w:p>
            <w:pPr>
              <w:spacing w:before="40" w:after="40"/>
            </w:pPr>
            <w:r/>
            <w:r>
              <w:rPr>
                <w:rFonts w:ascii="Calibri" w:hAnsi="Calibri"/>
                <w:b/>
                <w:color w:val="FFFFFF"/>
                <w:sz w:val="19"/>
              </w:rPr>
              <w:t>Document Attribute</w:t>
            </w:r>
          </w:p>
        </w:tc>
        <w:tc>
          <w:tcPr>
            <w:tcW w:type="dxa" w:w="6768"/>
            <w:shd w:val="clear" w:color="auto" w:fill="004B87"/>
            <w:tcMar>
              <w:top w:w="110" w:type="dxa"/>
              <w:bottom w:w="110" w:type="dxa"/>
              <w:left w:w="140" w:type="dxa"/>
              <w:right w:w="140" w:type="dxa"/>
            </w:tcMar>
          </w:tcPr>
          <w:p>
            <w:pPr>
              <w:spacing w:before="40" w:after="40"/>
            </w:pPr>
            <w:r/>
            <w:r>
              <w:rPr>
                <w:rFonts w:ascii="Calibri" w:hAnsi="Calibri"/>
                <w:b/>
                <w:color w:val="FFFFFF"/>
                <w:sz w:val="19"/>
              </w:rPr>
              <w:t>Specification</w:t>
            </w:r>
          </w:p>
        </w:tc>
      </w:tr>
      <w:tr>
        <w:tc>
          <w:tcPr>
            <w:tcW w:type="dxa" w:w="3312"/>
            <w:shd w:val="clear" w:color="auto" w:fill="FFFFFF"/>
            <w:tcMar>
              <w:top w:w="90" w:type="dxa"/>
              <w:bottom w:w="90" w:type="dxa"/>
              <w:left w:w="130" w:type="dxa"/>
              <w:right w:w="130" w:type="dxa"/>
            </w:tcMar>
          </w:tcPr>
          <w:p>
            <w:pPr>
              <w:spacing w:before="40" w:after="40"/>
            </w:pPr>
            <w:r/>
            <w:r>
              <w:rPr>
                <w:rFonts w:ascii="Calibri" w:hAnsi="Calibri"/>
                <w:b/>
                <w:color w:val="0F172A"/>
                <w:sz w:val="18"/>
              </w:rPr>
              <w:t>Platform Release</w:t>
            </w:r>
          </w:p>
        </w:tc>
        <w:tc>
          <w:tcPr>
            <w:tcW w:type="dxa" w:w="6768"/>
            <w:shd w:val="clear" w:color="auto" w:fill="FFFFFF"/>
            <w:tcMar>
              <w:top w:w="90" w:type="dxa"/>
              <w:bottom w:w="90" w:type="dxa"/>
              <w:left w:w="130" w:type="dxa"/>
              <w:right w:w="130" w:type="dxa"/>
            </w:tcMar>
          </w:tcPr>
          <w:p>
            <w:pPr>
              <w:spacing w:before="40" w:after="40"/>
            </w:pPr>
            <w:r/>
            <w:r>
              <w:rPr>
                <w:rFonts w:ascii="Calibri" w:hAnsi="Calibri"/>
                <w:color w:val="334155"/>
                <w:sz w:val="18"/>
              </w:rPr>
              <w:t>Enterprise Multi-Unit Release V2.5.2 (Central Data Hub + Multi-Ward Ingester)</w:t>
            </w:r>
          </w:p>
        </w:tc>
      </w:tr>
      <w:tr>
        <w:tc>
          <w:tcPr>
            <w:tcW w:type="dxa" w:w="3312"/>
            <w:shd w:val="clear" w:color="auto" w:fill="F8FAFC"/>
            <w:tcMar>
              <w:top w:w="90" w:type="dxa"/>
              <w:bottom w:w="90" w:type="dxa"/>
              <w:left w:w="130" w:type="dxa"/>
              <w:right w:w="130" w:type="dxa"/>
            </w:tcMar>
          </w:tcPr>
          <w:p>
            <w:pPr>
              <w:spacing w:before="40" w:after="40"/>
            </w:pPr>
            <w:r/>
            <w:r>
              <w:rPr>
                <w:rFonts w:ascii="Calibri" w:hAnsi="Calibri"/>
                <w:b/>
                <w:color w:val="0F172A"/>
                <w:sz w:val="18"/>
              </w:rPr>
              <w:t>Originating Deployment</w:t>
            </w:r>
          </w:p>
        </w:tc>
        <w:tc>
          <w:tcPr>
            <w:tcW w:type="dxa" w:w="6768"/>
            <w:shd w:val="clear" w:color="auto" w:fill="F8FAFC"/>
            <w:tcMar>
              <w:top w:w="90" w:type="dxa"/>
              <w:bottom w:w="90" w:type="dxa"/>
              <w:left w:w="130" w:type="dxa"/>
              <w:right w:w="130" w:type="dxa"/>
            </w:tcMar>
          </w:tcPr>
          <w:p>
            <w:pPr>
              <w:spacing w:before="40" w:after="40"/>
            </w:pPr>
            <w:r/>
            <w:r>
              <w:rPr>
                <w:rFonts w:ascii="Calibri" w:hAnsi="Calibri"/>
                <w:color w:val="334155"/>
                <w:sz w:val="18"/>
              </w:rPr>
              <w:t>Apollo Hospitals Guwahati (International Unit &amp; Excelcare Unit) + Apollo Kolkata</w:t>
            </w:r>
          </w:p>
        </w:tc>
      </w:tr>
      <w:tr>
        <w:tc>
          <w:tcPr>
            <w:tcW w:type="dxa" w:w="3312"/>
            <w:shd w:val="clear" w:color="auto" w:fill="FFFFFF"/>
            <w:tcMar>
              <w:top w:w="90" w:type="dxa"/>
              <w:bottom w:w="90" w:type="dxa"/>
              <w:left w:w="130" w:type="dxa"/>
              <w:right w:w="130" w:type="dxa"/>
            </w:tcMar>
          </w:tcPr>
          <w:p>
            <w:pPr>
              <w:spacing w:before="40" w:after="40"/>
            </w:pPr>
            <w:r/>
            <w:r>
              <w:rPr>
                <w:rFonts w:ascii="Calibri" w:hAnsi="Calibri"/>
                <w:b/>
                <w:color w:val="0F172A"/>
                <w:sz w:val="18"/>
              </w:rPr>
              <w:t>Checking &amp; Verification Framework</w:t>
            </w:r>
          </w:p>
        </w:tc>
        <w:tc>
          <w:tcPr>
            <w:tcW w:type="dxa" w:w="6768"/>
            <w:shd w:val="clear" w:color="auto" w:fill="FFFFFF"/>
            <w:tcMar>
              <w:top w:w="90" w:type="dxa"/>
              <w:bottom w:w="90" w:type="dxa"/>
              <w:left w:w="130" w:type="dxa"/>
              <w:right w:w="130" w:type="dxa"/>
            </w:tcMar>
          </w:tcPr>
          <w:p>
            <w:pPr>
              <w:spacing w:before="40" w:after="40"/>
            </w:pPr>
            <w:r/>
            <w:r>
              <w:rPr>
                <w:rFonts w:ascii="Calibri" w:hAnsi="Calibri"/>
                <w:color w:val="334155"/>
                <w:sz w:val="18"/>
              </w:rPr>
              <w:t>Bihani Rashmi &amp; Co (BRC) — Proprietor: CA Rashmi Bihani</w:t>
            </w:r>
          </w:p>
        </w:tc>
      </w:tr>
      <w:tr>
        <w:tc>
          <w:tcPr>
            <w:tcW w:type="dxa" w:w="3312"/>
            <w:shd w:val="clear" w:color="auto" w:fill="F8FAFC"/>
            <w:tcMar>
              <w:top w:w="90" w:type="dxa"/>
              <w:bottom w:w="90" w:type="dxa"/>
              <w:left w:w="130" w:type="dxa"/>
              <w:right w:w="130" w:type="dxa"/>
            </w:tcMar>
          </w:tcPr>
          <w:p>
            <w:pPr>
              <w:spacing w:before="40" w:after="40"/>
            </w:pPr>
            <w:r/>
            <w:r>
              <w:rPr>
                <w:rFonts w:ascii="Calibri" w:hAnsi="Calibri"/>
                <w:b/>
                <w:color w:val="0F172A"/>
                <w:sz w:val="18"/>
              </w:rPr>
              <w:t>Lead System Architect &amp; Author</w:t>
            </w:r>
          </w:p>
        </w:tc>
        <w:tc>
          <w:tcPr>
            <w:tcW w:type="dxa" w:w="6768"/>
            <w:shd w:val="clear" w:color="auto" w:fill="F8FAFC"/>
            <w:tcMar>
              <w:top w:w="90" w:type="dxa"/>
              <w:bottom w:w="90" w:type="dxa"/>
              <w:left w:w="130" w:type="dxa"/>
              <w:right w:w="130" w:type="dxa"/>
            </w:tcMar>
          </w:tcPr>
          <w:p>
            <w:pPr>
              <w:spacing w:before="40" w:after="40"/>
            </w:pPr>
            <w:r/>
            <w:r>
              <w:rPr>
                <w:rFonts w:ascii="Calibri" w:hAnsi="Calibri"/>
                <w:color w:val="334155"/>
                <w:sz w:val="18"/>
              </w:rPr>
              <w:t>CA Siddhant Surana &lt;Siddhant@bihanico.in&gt; (Powered by BRC • Engineered by BRC_SID.AI)</w:t>
            </w:r>
          </w:p>
        </w:tc>
      </w:tr>
      <w:tr>
        <w:tc>
          <w:tcPr>
            <w:tcW w:type="dxa" w:w="3312"/>
            <w:shd w:val="clear" w:color="auto" w:fill="FFFFFF"/>
            <w:tcMar>
              <w:top w:w="90" w:type="dxa"/>
              <w:bottom w:w="90" w:type="dxa"/>
              <w:left w:w="130" w:type="dxa"/>
              <w:right w:w="130" w:type="dxa"/>
            </w:tcMar>
          </w:tcPr>
          <w:p>
            <w:pPr>
              <w:spacing w:before="40" w:after="40"/>
            </w:pPr>
            <w:r/>
            <w:r>
              <w:rPr>
                <w:rFonts w:ascii="Calibri" w:hAnsi="Calibri"/>
                <w:b/>
                <w:color w:val="0F172A"/>
                <w:sz w:val="18"/>
              </w:rPr>
              <w:t>Runtime Architecture</w:t>
            </w:r>
          </w:p>
        </w:tc>
        <w:tc>
          <w:tcPr>
            <w:tcW w:type="dxa" w:w="6768"/>
            <w:shd w:val="clear" w:color="auto" w:fill="FFFFFF"/>
            <w:tcMar>
              <w:top w:w="90" w:type="dxa"/>
              <w:bottom w:w="90" w:type="dxa"/>
              <w:left w:w="130" w:type="dxa"/>
              <w:right w:w="130" w:type="dxa"/>
            </w:tcMar>
          </w:tcPr>
          <w:p>
            <w:pPr>
              <w:spacing w:before="40" w:after="40"/>
            </w:pPr>
            <w:r/>
            <w:r>
              <w:rPr>
                <w:rFonts w:ascii="Calibri" w:hAnsi="Calibri"/>
                <w:color w:val="334155"/>
                <w:sz w:val="18"/>
              </w:rPr>
              <w:t>3-Tier Hybrid Edge-Browser SPA + Python 3.10+ ThreadingHTTPServer + SQLite 3 (WAL Mode)</w:t>
            </w:r>
          </w:p>
        </w:tc>
      </w:tr>
      <w:tr>
        <w:tc>
          <w:tcPr>
            <w:tcW w:type="dxa" w:w="3312"/>
            <w:shd w:val="clear" w:color="auto" w:fill="F8FAFC"/>
            <w:tcMar>
              <w:top w:w="90" w:type="dxa"/>
              <w:bottom w:w="90" w:type="dxa"/>
              <w:left w:w="130" w:type="dxa"/>
              <w:right w:w="130" w:type="dxa"/>
            </w:tcMar>
          </w:tcPr>
          <w:p>
            <w:pPr>
              <w:spacing w:before="40" w:after="40"/>
            </w:pPr>
            <w:r/>
            <w:r>
              <w:rPr>
                <w:rFonts w:ascii="Calibri" w:hAnsi="Calibri"/>
                <w:b/>
                <w:color w:val="0F172A"/>
                <w:sz w:val="18"/>
              </w:rPr>
              <w:t>Pre-Seeded Production Volume</w:t>
            </w:r>
          </w:p>
        </w:tc>
        <w:tc>
          <w:tcPr>
            <w:tcW w:type="dxa" w:w="6768"/>
            <w:shd w:val="clear" w:color="auto" w:fill="F8FAFC"/>
            <w:tcMar>
              <w:top w:w="90" w:type="dxa"/>
              <w:bottom w:w="90" w:type="dxa"/>
              <w:left w:w="130" w:type="dxa"/>
              <w:right w:w="130" w:type="dxa"/>
            </w:tcMar>
          </w:tcPr>
          <w:p>
            <w:pPr>
              <w:spacing w:before="40" w:after="40"/>
            </w:pPr>
            <w:r/>
            <w:r>
              <w:rPr>
                <w:rFonts w:ascii="Calibri" w:hAnsi="Calibri"/>
                <w:color w:val="334155"/>
                <w:sz w:val="18"/>
              </w:rPr>
              <w:t>3 Units | 24 Active SOC Schedules | 85,575 Service Rate Lines | 1,021 Payer Agreements</w:t>
            </w:r>
          </w:p>
        </w:tc>
      </w:tr>
      <w:tr>
        <w:tc>
          <w:tcPr>
            <w:tcW w:type="dxa" w:w="3312"/>
            <w:shd w:val="clear" w:color="auto" w:fill="FFFFFF"/>
            <w:tcMar>
              <w:top w:w="90" w:type="dxa"/>
              <w:bottom w:w="90" w:type="dxa"/>
              <w:left w:w="130" w:type="dxa"/>
              <w:right w:w="130" w:type="dxa"/>
            </w:tcMar>
          </w:tcPr>
          <w:p>
            <w:pPr>
              <w:spacing w:before="40" w:after="40"/>
            </w:pPr>
            <w:r/>
            <w:r>
              <w:rPr>
                <w:rFonts w:ascii="Calibri" w:hAnsi="Calibri"/>
                <w:b/>
                <w:color w:val="0F172A"/>
                <w:sz w:val="18"/>
              </w:rPr>
              <w:t>Verified Multi-Unit Scale</w:t>
            </w:r>
          </w:p>
        </w:tc>
        <w:tc>
          <w:tcPr>
            <w:tcW w:type="dxa" w:w="6768"/>
            <w:shd w:val="clear" w:color="auto" w:fill="FFFFFF"/>
            <w:tcMar>
              <w:top w:w="90" w:type="dxa"/>
              <w:bottom w:w="90" w:type="dxa"/>
              <w:left w:w="130" w:type="dxa"/>
              <w:right w:w="130" w:type="dxa"/>
            </w:tcMar>
          </w:tcPr>
          <w:p>
            <w:pPr>
              <w:spacing w:before="40" w:after="40"/>
            </w:pPr>
            <w:r/>
            <w:r>
              <w:rPr>
                <w:rFonts w:ascii="Calibri" w:hAnsi="Calibri"/>
                <w:color w:val="334155"/>
                <w:sz w:val="18"/>
              </w:rPr>
              <w:t>65+ Hospital Units × 25 SOCs × 6,000 Lines (9,750,000 Rate Lines) + 3,575 Agreements</w:t>
            </w:r>
          </w:p>
        </w:tc>
      </w:tr>
      <w:tr>
        <w:tc>
          <w:tcPr>
            <w:tcW w:type="dxa" w:w="3312"/>
            <w:shd w:val="clear" w:color="auto" w:fill="F8FAFC"/>
            <w:tcMar>
              <w:top w:w="90" w:type="dxa"/>
              <w:bottom w:w="90" w:type="dxa"/>
              <w:left w:w="130" w:type="dxa"/>
              <w:right w:w="130" w:type="dxa"/>
            </w:tcMar>
          </w:tcPr>
          <w:p>
            <w:pPr>
              <w:spacing w:before="40" w:after="40"/>
            </w:pPr>
            <w:r/>
            <w:r>
              <w:rPr>
                <w:rFonts w:ascii="Calibri" w:hAnsi="Calibri"/>
                <w:b/>
                <w:color w:val="0F172A"/>
                <w:sz w:val="18"/>
              </w:rPr>
              <w:t>Licensing &amp; Recurring Cost</w:t>
            </w:r>
          </w:p>
        </w:tc>
        <w:tc>
          <w:tcPr>
            <w:tcW w:type="dxa" w:w="6768"/>
            <w:shd w:val="clear" w:color="auto" w:fill="F8FAFC"/>
            <w:tcMar>
              <w:top w:w="90" w:type="dxa"/>
              <w:bottom w:w="90" w:type="dxa"/>
              <w:left w:w="130" w:type="dxa"/>
              <w:right w:w="130" w:type="dxa"/>
            </w:tcMar>
          </w:tcPr>
          <w:p>
            <w:pPr>
              <w:spacing w:before="40" w:after="40"/>
            </w:pPr>
            <w:r/>
            <w:r>
              <w:rPr>
                <w:rFonts w:ascii="Calibri" w:hAnsi="Calibri"/>
                <w:color w:val="334155"/>
                <w:sz w:val="18"/>
              </w:rPr>
              <w:t>100% Permissive Open-Source (MIT / Apache 2.0 / PSF) — Zero Recurring License Cost</w:t>
            </w:r>
          </w:p>
        </w:tc>
      </w:tr>
    </w:tbl>
    <w:p/>
    <w:p>
      <w:pPr>
        <w:pStyle w:val="Heading1"/>
      </w:pPr>
      <w:r>
        <w:rPr>
          <w:rFonts w:ascii="Calibri" w:hAnsi="Calibri"/>
          <w:color w:val="004B87"/>
          <w:sz w:val="30"/>
        </w:rPr>
        <w:t>1. Complete Working of the Platform (End-to-End Architecture &amp; Modules)</w:t>
      </w:r>
    </w:p>
    <w:p>
      <w:pPr>
        <w:spacing w:before="40" w:after="100"/>
      </w:pPr>
      <w:r>
        <w:rPr>
          <w:rFonts w:ascii="Calibri" w:hAnsi="Calibri"/>
          <w:b w:val="0"/>
          <w:i w:val="0"/>
          <w:color w:val="1E293B"/>
          <w:sz w:val="20"/>
        </w:rPr>
        <w:t>The Apollo Healthcare Revenue Assurance Platform is a deterministic billing verification, contract governance, and claims recovery system. It eliminates manual Excel vlookup auditing by combining a central multi-unit repository of Schedules of Charges (SOCs) and Payer Agreements with an ultra-fast browser-based auditing engine.</w:t>
      </w:r>
    </w:p>
    <w:p>
      <w:pPr>
        <w:pStyle w:val="Heading2"/>
      </w:pPr>
      <w:r>
        <w:rPr>
          <w:rFonts w:ascii="Calibri" w:hAnsi="Calibri"/>
          <w:color w:val="0D9488"/>
          <w:sz w:val="25"/>
        </w:rPr>
        <w:t>1.1 Three-Tier Execution Flow</w:t>
      </w:r>
    </w:p>
    <w:p>
      <w:pPr>
        <w:pStyle w:val="ListBullet"/>
        <w:spacing w:before="20" w:after="60"/>
      </w:pPr>
      <w:r>
        <w:rPr>
          <w:rFonts w:ascii="Calibri" w:hAnsi="Calibri"/>
          <w:b/>
          <w:color w:val="0F172A"/>
          <w:sz w:val="20"/>
        </w:rPr>
        <w:t xml:space="preserve">1. Client Presentation &amp; Calculation Tier (Browser / Intranet): </w:t>
      </w:r>
      <w:r>
        <w:rPr>
          <w:rFonts w:ascii="Calibri" w:hAnsi="Calibri"/>
          <w:color w:val="334155"/>
          <w:sz w:val="20"/>
        </w:rPr>
        <w:t>Built in modular Vanilla HTML5, CSS3, and ES6+ JavaScript (index.html, js/app.js, js/central_hub.js, js/central_hub_admin.js). When an auditor uploads patient billing sheets or TPA settlement PDFs, 100% of the line-item matching, room-category rate lookup, OT slab calculation, and discount validation runs inside the client browser's local RAM. Unit SOCs are cached in browser IndexedDB (apollo_central_hub) keyed by SHA-1 checksum.</w:t>
      </w:r>
    </w:p>
    <w:p>
      <w:pPr>
        <w:pStyle w:val="ListBullet"/>
        <w:spacing w:before="20" w:after="60"/>
      </w:pPr>
      <w:r>
        <w:rPr>
          <w:rFonts w:ascii="Calibri" w:hAnsi="Calibri"/>
          <w:b/>
          <w:color w:val="0F172A"/>
          <w:sz w:val="20"/>
        </w:rPr>
        <w:t xml:space="preserve">2. Application &amp; Ingestion Tier (run_server.py): </w:t>
      </w:r>
      <w:r>
        <w:rPr>
          <w:rFonts w:ascii="Calibri" w:hAnsi="Calibri"/>
          <w:color w:val="334155"/>
          <w:sz w:val="20"/>
        </w:rPr>
        <w:t>A multi-threaded Python 3.10+ server (ThreadingHTTPServer with Gzip compression) that serves the web console, exposes the Central Data Hub REST API (/api/hub/*), handles server-side smart SOC/PDF parsing (/api/soc/* via soc_module/), and synchronizes saved audit repositories (/api/save_audits, /api/load_audits).</w:t>
      </w:r>
    </w:p>
    <w:p>
      <w:pPr>
        <w:pStyle w:val="ListBullet"/>
        <w:spacing w:before="20" w:after="60"/>
      </w:pPr>
      <w:r>
        <w:rPr>
          <w:rFonts w:ascii="Calibri" w:hAnsi="Calibri"/>
          <w:b/>
          <w:color w:val="0F172A"/>
          <w:sz w:val="20"/>
        </w:rPr>
        <w:t xml:space="preserve">3. On-Premises Data Tier (SQLite 3 WAL Mode): </w:t>
      </w:r>
      <w:r>
        <w:rPr>
          <w:rFonts w:ascii="Calibri" w:hAnsi="Calibri"/>
          <w:color w:val="334155"/>
          <w:sz w:val="20"/>
        </w:rPr>
        <w:t>Uses two isolated on-premises databases: (a) data/central_hub.db for hospital units, versioned SOCs, room-wise rate lines, payer agreements, PBKDF2 admin credentials, sessions, and immutable change logs; and (b) revenue_audit.db (or JSON stores) for saved audit runs, customer rate overrides, and settlement disallowance logs.</w:t>
      </w:r>
    </w:p>
    <w:p>
      <w:pPr>
        <w:pStyle w:val="Heading2"/>
      </w:pPr>
      <w:r>
        <w:rPr>
          <w:rFonts w:ascii="Calibri" w:hAnsi="Calibri"/>
          <w:color w:val="0D9488"/>
          <w:sz w:val="25"/>
        </w:rPr>
        <w:t>1.2 Complete Guide to All 13 Functional Modules (Workspace Tabs)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val="clear" w:color="auto" w:fill="004B87"/>
            <w:tcMar>
              <w:top w:w="110" w:type="dxa"/>
              <w:bottom w:w="110" w:type="dxa"/>
              <w:left w:w="140" w:type="dxa"/>
              <w:right w:w="140" w:type="dxa"/>
            </w:tcMar>
          </w:tcPr>
          <w:p>
            <w:pPr>
              <w:spacing w:before="40" w:after="40"/>
            </w:pPr>
            <w:r/>
            <w:r>
              <w:rPr>
                <w:rFonts w:ascii="Calibri" w:hAnsi="Calibri"/>
                <w:b/>
                <w:color w:val="FFFFFF"/>
                <w:sz w:val="19"/>
              </w:rPr>
              <w:t>Module / Tab</w:t>
            </w:r>
          </w:p>
        </w:tc>
        <w:tc>
          <w:tcPr>
            <w:tcW w:type="dxa" w:w="1728"/>
            <w:shd w:val="clear" w:color="auto" w:fill="004B87"/>
            <w:tcMar>
              <w:top w:w="110" w:type="dxa"/>
              <w:bottom w:w="110" w:type="dxa"/>
              <w:left w:w="140" w:type="dxa"/>
              <w:right w:w="140" w:type="dxa"/>
            </w:tcMar>
          </w:tcPr>
          <w:p>
            <w:pPr>
              <w:spacing w:before="40" w:after="40"/>
            </w:pPr>
            <w:r/>
            <w:r>
              <w:rPr>
                <w:rFonts w:ascii="Calibri" w:hAnsi="Calibri"/>
                <w:b/>
                <w:color w:val="FFFFFF"/>
                <w:sz w:val="19"/>
              </w:rPr>
              <w:t>Who Can Access</w:t>
            </w:r>
          </w:p>
        </w:tc>
        <w:tc>
          <w:tcPr>
            <w:tcW w:type="dxa" w:w="6048"/>
            <w:shd w:val="clear" w:color="auto" w:fill="004B87"/>
            <w:tcMar>
              <w:top w:w="110" w:type="dxa"/>
              <w:bottom w:w="110" w:type="dxa"/>
              <w:left w:w="140" w:type="dxa"/>
              <w:right w:w="140" w:type="dxa"/>
            </w:tcMar>
          </w:tcPr>
          <w:p>
            <w:pPr>
              <w:spacing w:before="40" w:after="40"/>
            </w:pPr>
            <w:r/>
            <w:r>
              <w:rPr>
                <w:rFonts w:ascii="Calibri" w:hAnsi="Calibri"/>
                <w:b/>
                <w:color w:val="FFFFFF"/>
                <w:sz w:val="19"/>
              </w:rPr>
              <w:t>Complete Functional Working</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1. IAM Facility Directory &amp; Login Screen</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All Users</w:t>
            </w:r>
          </w:p>
        </w:tc>
        <w:tc>
          <w:tcPr>
            <w:tcW w:type="dxa" w:w="6048"/>
            <w:shd w:val="clear" w:color="auto" w:fill="FFFFFF"/>
            <w:tcMar>
              <w:top w:w="90" w:type="dxa"/>
              <w:bottom w:w="90" w:type="dxa"/>
              <w:left w:w="130" w:type="dxa"/>
              <w:right w:w="130" w:type="dxa"/>
            </w:tcMar>
          </w:tcPr>
          <w:p>
            <w:pPr>
              <w:spacing w:before="40" w:after="40"/>
            </w:pPr>
            <w:r/>
            <w:r>
              <w:rPr>
                <w:rFonts w:ascii="Calibri" w:hAnsi="Calibri"/>
                <w:color w:val="334155"/>
                <w:sz w:val="18"/>
              </w:rPr>
              <w:t>Displays searchable Hospital Facility cards (supports 65+ units) plus the 'Corporate Head Office' Master Console card. Enforces Role-Based Access Control (Viewer, Auditor, Approver, Administrator) and unit-level quarantine. Includes an automatic 5-minute inactivity warning and 10-minute auto-logout security timer.</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2. Executive Dashboard (#panel-dashboard)</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All Roles</w:t>
            </w:r>
          </w:p>
        </w:tc>
        <w:tc>
          <w:tcPr>
            <w:tcW w:type="dxa" w:w="6048"/>
            <w:shd w:val="clear" w:color="auto" w:fill="F8FAFC"/>
            <w:tcMar>
              <w:top w:w="90" w:type="dxa"/>
              <w:bottom w:w="90" w:type="dxa"/>
              <w:left w:w="130" w:type="dxa"/>
              <w:right w:w="130" w:type="dxa"/>
            </w:tcMar>
          </w:tcPr>
          <w:p>
            <w:pPr>
              <w:spacing w:before="40" w:after="40"/>
            </w:pPr>
            <w:r/>
            <w:r>
              <w:rPr>
                <w:rFonts w:ascii="Calibri" w:hAnsi="Calibri"/>
                <w:color w:val="334155"/>
                <w:sz w:val="18"/>
              </w:rPr>
              <w:t>Shows real-time KPIs across active tariffs, agreements, and saved audits. Includes the HDFC ERGO 2026 Comparative Alignment Board (International vs. Excelcare rate drift analysis) and the Cross-Year Tariff Schedule Delta Comparator (comparing any two SOC schedules to quantify price hikes, reductions, unchanged codes, and newly introduced services).</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3. Central Data Hub (#panel-hub)</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Head Office Central Admin</w:t>
            </w:r>
          </w:p>
        </w:tc>
        <w:tc>
          <w:tcPr>
            <w:tcW w:type="dxa" w:w="6048"/>
            <w:shd w:val="clear" w:color="auto" w:fill="FFFFFF"/>
            <w:tcMar>
              <w:top w:w="90" w:type="dxa"/>
              <w:bottom w:w="90" w:type="dxa"/>
              <w:left w:w="130" w:type="dxa"/>
              <w:right w:w="130" w:type="dxa"/>
            </w:tcMar>
          </w:tcPr>
          <w:p>
            <w:pPr>
              <w:spacing w:before="40" w:after="40"/>
            </w:pPr>
            <w:r/>
            <w:r>
              <w:rPr>
                <w:rFonts w:ascii="Calibri" w:hAnsi="Calibri"/>
                <w:color w:val="334155"/>
                <w:sz w:val="18"/>
              </w:rPr>
              <w:t>The master multi-unit governance console. Head Office provisions hospital units (single or bulk Excel), uploads unit SOCs (Excel/CSV/PDF or directly from Tariff Ingester) with automatic version numbering (v1 -&gt; v2) and SUPERSEDED archiving, manages payer agreements (single or bulk Excel), reviews the UTC Change Log, and manages PBKDF2-authenticated Central Admin IDs.</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4. Tariff Ingester (#panel-ingester)</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Head Office Central Admin</w:t>
            </w:r>
          </w:p>
        </w:tc>
        <w:tc>
          <w:tcPr>
            <w:tcW w:type="dxa" w:w="6048"/>
            <w:shd w:val="clear" w:color="auto" w:fill="F8FAFC"/>
            <w:tcMar>
              <w:top w:w="90" w:type="dxa"/>
              <w:bottom w:w="90" w:type="dxa"/>
              <w:left w:w="130" w:type="dxa"/>
              <w:right w:w="130" w:type="dxa"/>
            </w:tcMar>
          </w:tcPr>
          <w:p>
            <w:pPr>
              <w:spacing w:before="40" w:after="40"/>
            </w:pPr>
            <w:r/>
            <w:r>
              <w:rPr>
                <w:rFonts w:ascii="Calibri" w:hAnsi="Calibri"/>
                <w:color w:val="334155"/>
                <w:sz w:val="18"/>
              </w:rPr>
              <w:t>Transforms raw hospital SOC Excel/CSV/PDF files into standardized rate schedules. Features multi-sheet selector, auto-detection of 6+ room-tier columns (OPD, General Ward, Semi-Private, Single, Deluxe/Executive, Suite, ICU), interactive Column Mapping overrides (where unprovided or '-- Unmapped (None) --' columns remain strictly blank/null), clickable 'N Wards' inline ward-rate breakdown badges, 'Expand All Wards' button, 'Show All Rows' pagination, Canonical JSON/Excel export, local commit, and direct publish to the Central Data Hub.</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5. Tariff Repository (#panel-master)</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Central Admin</w:t>
            </w:r>
          </w:p>
        </w:tc>
        <w:tc>
          <w:tcPr>
            <w:tcW w:type="dxa" w:w="6048"/>
            <w:shd w:val="clear" w:color="auto" w:fill="FFFFFF"/>
            <w:tcMar>
              <w:top w:w="90" w:type="dxa"/>
              <w:bottom w:w="90" w:type="dxa"/>
              <w:left w:w="130" w:type="dxa"/>
              <w:right w:w="130" w:type="dxa"/>
            </w:tcMar>
          </w:tcPr>
          <w:p>
            <w:pPr>
              <w:spacing w:before="40" w:after="40"/>
            </w:pPr>
            <w:r/>
            <w:r>
              <w:rPr>
                <w:rFonts w:ascii="Calibri" w:hAnsi="Calibri"/>
                <w:color w:val="334155"/>
                <w:sz w:val="18"/>
              </w:rPr>
              <w:t>Searchable master catalog of all 85,575+ service lines across built-in and imported SOCs. Displays multi-year rate evolution (2021, 2023, 2024, 2025, 2026 GIPSA/TPA/Cash) and unit-specific ward matrices (e.g., Kolkata 13-tier room rates and Excelcare GIPSA 2026 6-ward room rates).</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6. Agreement Repository (#panel-agreement)</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Admin / Authorised Users</w:t>
            </w:r>
          </w:p>
        </w:tc>
        <w:tc>
          <w:tcPr>
            <w:tcW w:type="dxa" w:w="6048"/>
            <w:shd w:val="clear" w:color="auto" w:fill="F8FAFC"/>
            <w:tcMar>
              <w:top w:w="90" w:type="dxa"/>
              <w:bottom w:w="90" w:type="dxa"/>
              <w:left w:w="130" w:type="dxa"/>
              <w:right w:w="130" w:type="dxa"/>
            </w:tcMar>
          </w:tcPr>
          <w:p>
            <w:pPr>
              <w:spacing w:before="40" w:after="40"/>
            </w:pPr>
            <w:r/>
            <w:r>
              <w:rPr>
                <w:rFonts w:ascii="Calibri" w:hAnsi="Calibri"/>
                <w:color w:val="334155"/>
                <w:sz w:val="18"/>
              </w:rPr>
              <w:t>Manages 1,021+ Corporate, TPA, Insurance, GIPSA, and PSU agreements. Includes a 7-tab Agreement Master Editor (A. Header, B. Dept Discounts, C. Service Overrides, D. Room Rent Caps, E. Package Inclusions/Exclusions, F. Charging Methods, G. Conditional Logic Rules) plus 1-click Bulk Agreement Excel Import/Export.</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7. Audit Workspace (#panel-audit)</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Auditor, Approver, Admin</w:t>
            </w:r>
          </w:p>
        </w:tc>
        <w:tc>
          <w:tcPr>
            <w:tcW w:type="dxa" w:w="6048"/>
            <w:shd w:val="clear" w:color="auto" w:fill="FFFFFF"/>
            <w:tcMar>
              <w:top w:w="90" w:type="dxa"/>
              <w:bottom w:w="90" w:type="dxa"/>
              <w:left w:w="130" w:type="dxa"/>
              <w:right w:w="130" w:type="dxa"/>
            </w:tcMar>
          </w:tcPr>
          <w:p>
            <w:pPr>
              <w:spacing w:before="40" w:after="40"/>
            </w:pPr>
            <w:r/>
            <w:r>
              <w:rPr>
                <w:rFonts w:ascii="Calibri" w:hAnsi="Calibri"/>
                <w:color w:val="334155"/>
                <w:sz w:val="18"/>
              </w:rPr>
              <w:t>Core billing verification workbench. Accepts single or multiple discharge billing Excel files (auto-detecting IP vs. OP bills and re-uploaded revised bills). Evaluates every billed line against 3 selectable modes: (1) Customer-Specific Agreement Mapping, (2) Single Tariff Source, or (3) Room-Wise Tariff Mapping. Supports live Department &amp; Item ID discount overrides, Split-Pane Side-by-Side Diff Inspection, 4-stage workflow (Draft -&gt; Validated -&gt; Approved -&gt; Saved), and exports the original billing workbook appended with 12 standardized audit columns.</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8. Exception Command Centre (#panel-exceptions)</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Auditor, Approver, Admin</w:t>
            </w:r>
          </w:p>
        </w:tc>
        <w:tc>
          <w:tcPr>
            <w:tcW w:type="dxa" w:w="6048"/>
            <w:shd w:val="clear" w:color="auto" w:fill="F8FAFC"/>
            <w:tcMar>
              <w:top w:w="90" w:type="dxa"/>
              <w:bottom w:w="90" w:type="dxa"/>
              <w:left w:w="130" w:type="dxa"/>
              <w:right w:w="130" w:type="dxa"/>
            </w:tcMar>
          </w:tcPr>
          <w:p>
            <w:pPr>
              <w:spacing w:before="40" w:after="40"/>
            </w:pPr>
            <w:r/>
            <w:r>
              <w:rPr>
                <w:rFonts w:ascii="Calibri" w:hAnsi="Calibri"/>
                <w:color w:val="334155"/>
                <w:sz w:val="18"/>
              </w:rPr>
              <w:t>Isolates and categorizes bypassed or non-discrepancy items: Ignored (Consumables), Ignored (Pharmacy), Ignored (Inside Package), Ignored (Zero Rated), Ignored (Editable), and Round-Off Differences (within tolerance).</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9. Checking Console (#panel-checking)</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All Roles (Unit-Scoped)</w:t>
            </w:r>
          </w:p>
        </w:tc>
        <w:tc>
          <w:tcPr>
            <w:tcW w:type="dxa" w:w="6048"/>
            <w:shd w:val="clear" w:color="auto" w:fill="FFFFFF"/>
            <w:tcMar>
              <w:top w:w="90" w:type="dxa"/>
              <w:bottom w:w="90" w:type="dxa"/>
              <w:left w:w="130" w:type="dxa"/>
              <w:right w:w="130" w:type="dxa"/>
            </w:tcMar>
          </w:tcPr>
          <w:p>
            <w:pPr>
              <w:spacing w:before="40" w:after="40"/>
            </w:pPr>
            <w:r/>
            <w:r>
              <w:rPr>
                <w:rFonts w:ascii="Calibri" w:hAnsi="Calibri"/>
                <w:color w:val="334155"/>
                <w:sz w:val="18"/>
              </w:rPr>
              <w:t>Tracks daily operational audit coverage: Total Bills vs. Checked Bills (%), Total Bill Value vs. Checked Amount (%), Unique Customers Audited, Bills with Excess Charged (Overcharged), and Bills with Short Charged (Undercharged leakage).</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10. Audit Repository (#panel-repository)</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Auditor, Approver, Admin</w:t>
            </w:r>
          </w:p>
        </w:tc>
        <w:tc>
          <w:tcPr>
            <w:tcW w:type="dxa" w:w="6048"/>
            <w:shd w:val="clear" w:color="auto" w:fill="F8FAFC"/>
            <w:tcMar>
              <w:top w:w="90" w:type="dxa"/>
              <w:bottom w:w="90" w:type="dxa"/>
              <w:left w:w="130" w:type="dxa"/>
              <w:right w:w="130" w:type="dxa"/>
            </w:tcMar>
          </w:tcPr>
          <w:p>
            <w:pPr>
              <w:spacing w:before="40" w:after="40"/>
            </w:pPr>
            <w:r/>
            <w:r>
              <w:rPr>
                <w:rFonts w:ascii="Calibri" w:hAnsi="Calibri"/>
                <w:color w:val="334155"/>
                <w:sz w:val="18"/>
              </w:rPr>
              <w:t>Persistent ledger of all saved audit runs with filters for Business Unit, Workflow Status, Month, Year, and Customer. Any historical audit can be reloaded into the Audit Workspace in one click with full version history and approval trail.</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11. Reports &amp; Exports (#panel-reports)</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Auditor, Approver, Admin</w:t>
            </w:r>
          </w:p>
        </w:tc>
        <w:tc>
          <w:tcPr>
            <w:tcW w:type="dxa" w:w="6048"/>
            <w:shd w:val="clear" w:color="auto" w:fill="FFFFFF"/>
            <w:tcMar>
              <w:top w:w="90" w:type="dxa"/>
              <w:bottom w:w="90" w:type="dxa"/>
              <w:left w:w="130" w:type="dxa"/>
              <w:right w:w="130" w:type="dxa"/>
            </w:tcMar>
          </w:tcPr>
          <w:p>
            <w:pPr>
              <w:spacing w:before="40" w:after="40"/>
            </w:pPr>
            <w:r/>
            <w:r>
              <w:rPr>
                <w:rFonts w:ascii="Calibri" w:hAnsi="Calibri"/>
                <w:color w:val="334155"/>
                <w:sz w:val="18"/>
              </w:rPr>
              <w:t>Generates three executive reporting views: (1) MTD &amp; YTD Financial Variance Summary, (2) Party/Payer-Wise Leakage &amp; Overcharge Report, and (3) Bill-Wise Verification Report, plus the Branded Apollo Formal Dispute Letterhead generator for insurer recovery claims.</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12. Settlement Auditor (#panel-settlement)</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All Roles</w:t>
            </w:r>
          </w:p>
        </w:tc>
        <w:tc>
          <w:tcPr>
            <w:tcW w:type="dxa" w:w="6048"/>
            <w:shd w:val="clear" w:color="auto" w:fill="F8FAFC"/>
            <w:tcMar>
              <w:top w:w="90" w:type="dxa"/>
              <w:bottom w:w="90" w:type="dxa"/>
              <w:left w:w="130" w:type="dxa"/>
              <w:right w:w="130" w:type="dxa"/>
            </w:tcMar>
          </w:tcPr>
          <w:p>
            <w:pPr>
              <w:spacing w:before="40" w:after="40"/>
            </w:pPr>
            <w:r/>
            <w:r>
              <w:rPr>
                <w:rFonts w:ascii="Calibri" w:hAnsi="Calibri"/>
                <w:color w:val="334155"/>
                <w:sz w:val="18"/>
              </w:rPr>
              <w:t>Ingests TPA/Insurance PDF settlement letters (e.g., HDFC ERGO, Aditya Birla, Star Health) using PDF.js text-layer reconstruction. Automatically extracts Claim ID, UHID, Claimed vs. Approved vs. Deducted amounts, UTR number, classifies line-item disallowance reasons (Room Rent Cap, Bundled Monitoring, Consumables, MOU Discount over-deduction), computes Recoverable Amount, and generates preventative billing desk alerts.</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13. Administration Center &amp; Process Manual</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Central Admin / All Roles</w:t>
            </w:r>
          </w:p>
        </w:tc>
        <w:tc>
          <w:tcPr>
            <w:tcW w:type="dxa" w:w="6048"/>
            <w:shd w:val="clear" w:color="auto" w:fill="FFFFFF"/>
            <w:tcMar>
              <w:top w:w="90" w:type="dxa"/>
              <w:bottom w:w="90" w:type="dxa"/>
              <w:left w:w="130" w:type="dxa"/>
              <w:right w:w="130" w:type="dxa"/>
            </w:tcMar>
          </w:tcPr>
          <w:p>
            <w:pPr>
              <w:spacing w:before="40" w:after="40"/>
            </w:pPr>
            <w:r/>
            <w:r>
              <w:rPr>
                <w:rFonts w:ascii="Calibri" w:hAnsi="Calibri"/>
                <w:color w:val="334155"/>
                <w:sz w:val="18"/>
              </w:rPr>
              <w:t>Admin Center (#panel-admin) manages Hospital Facility Nodes, User Credentials, and the Role Access Permissions Matrix. Process Manual (#panel-manual) provides interactive workflow steppers, exclusion rules, validator examples, and multi-unit storage documentation.</w:t>
            </w:r>
          </w:p>
        </w:tc>
      </w:tr>
    </w:tbl>
    <w:p/>
    <w:p>
      <w:pPr>
        <w:pStyle w:val="Heading2"/>
      </w:pPr>
      <w:r>
        <w:rPr>
          <w:rFonts w:ascii="Calibri" w:hAnsi="Calibri"/>
          <w:color w:val="0D9488"/>
          <w:sz w:val="25"/>
        </w:rPr>
        <w:t>1.3 How the Deterministic Bill Audit Engine Calculates Variances</w:t>
      </w:r>
    </w:p>
    <w:p>
      <w:pPr>
        <w:spacing w:before="40" w:after="100"/>
      </w:pPr>
      <w:r>
        <w:rPr>
          <w:rFonts w:ascii="Calibri" w:hAnsi="Calibri"/>
          <w:b w:val="0"/>
          <w:i w:val="0"/>
          <w:color w:val="1E293B"/>
          <w:sz w:val="20"/>
        </w:rPr>
        <w:t>When an auditor clicks 'Run Audit' in the Audit Workspace, the engine executes a 6-step deterministic pipeline for every row in the uploaded billing file:</w:t>
      </w:r>
    </w:p>
    <w:p>
      <w:pPr>
        <w:pStyle w:val="ListBullet"/>
        <w:spacing w:before="20" w:after="60"/>
      </w:pPr>
      <w:r>
        <w:rPr>
          <w:rFonts w:ascii="Calibri" w:hAnsi="Calibri"/>
          <w:b/>
          <w:color w:val="0F172A"/>
          <w:sz w:val="20"/>
        </w:rPr>
        <w:t xml:space="preserve">Step 1 — Header &amp; Phantom-Column Normalization: </w:t>
      </w:r>
      <w:r>
        <w:rPr>
          <w:rFonts w:ascii="Calibri" w:hAnsi="Calibri"/>
          <w:color w:val="334155"/>
          <w:sz w:val="20"/>
        </w:rPr>
        <w:t>Scans the first 100 rows across all worksheet tabs to locate the true billing table header, supporting 150+ header synonyms across Apollo HIS, Excelcare, and Kolkata formats. Automatically trims phantom blank Excel columns (e.g., 16,384 empty formatted columns) to prevent browser memory exhaustion.</w:t>
      </w:r>
    </w:p>
    <w:p>
      <w:pPr>
        <w:pStyle w:val="ListBullet"/>
        <w:spacing w:before="20" w:after="60"/>
      </w:pPr>
      <w:r>
        <w:rPr>
          <w:rFonts w:ascii="Calibri" w:hAnsi="Calibri"/>
          <w:b/>
          <w:color w:val="0F172A"/>
          <w:sz w:val="20"/>
        </w:rPr>
        <w:t xml:space="preserve">Step 2 — Exclusion &amp; Package Filtering: </w:t>
      </w:r>
      <w:r>
        <w:rPr>
          <w:rFonts w:ascii="Calibri" w:hAnsi="Calibri"/>
          <w:color w:val="334155"/>
          <w:sz w:val="20"/>
        </w:rPr>
        <w:t>Checks active Ignore Configuration rules (Pharmacy, Consumables, Inside Package items, Zero-Rated items, and Editable-rate items) and routes matching lines to the Exception Command Centre.</w:t>
      </w:r>
    </w:p>
    <w:p>
      <w:pPr>
        <w:pStyle w:val="ListBullet"/>
        <w:spacing w:before="20" w:after="60"/>
      </w:pPr>
      <w:r>
        <w:rPr>
          <w:rFonts w:ascii="Calibri" w:hAnsi="Calibri"/>
          <w:b/>
          <w:color w:val="0F172A"/>
          <w:sz w:val="20"/>
        </w:rPr>
        <w:t xml:space="preserve">Step 3 — Payer Agreement &amp; SOC Resolution: </w:t>
      </w:r>
      <w:r>
        <w:rPr>
          <w:rFonts w:ascii="Calibri" w:hAnsi="Calibri"/>
          <w:color w:val="334155"/>
          <w:sz w:val="20"/>
        </w:rPr>
        <w:t>Matches the bill's Customer/Payer against the unit's active Agreements. If the agreement comes from the Central Data Hub (tariffMapped = 'HUB:CODE1,CODE2'), CentralHub.resolveTariffMapped() merges the mapped SOCs in priority order (first SOC wins per service code) and falls back to the unit's Default SOC if needed.</w:t>
      </w:r>
    </w:p>
    <w:p>
      <w:pPr>
        <w:pStyle w:val="ListBullet"/>
        <w:spacing w:before="20" w:after="60"/>
      </w:pPr>
      <w:r>
        <w:rPr>
          <w:rFonts w:ascii="Calibri" w:hAnsi="Calibri"/>
          <w:b/>
          <w:color w:val="0F172A"/>
          <w:sz w:val="20"/>
        </w:rPr>
        <w:t xml:space="preserve">Step 4 — Service Lookup &amp; Room-Category Rate Selection: </w:t>
      </w:r>
      <w:r>
        <w:rPr>
          <w:rFonts w:ascii="Calibri" w:hAnsi="Calibri"/>
          <w:color w:val="334155"/>
          <w:sz w:val="20"/>
        </w:rPr>
        <w:t>Matches by exact Service Code first, then exact/cleaned Service Description or Alias. If the SOC is Room-Wise (e.g., EXC_GIPSA_2026 or KOL_SOC_2026), CentralHub.resolveRate() matches the patient's billed Room Category (exact room name first, then canonical room family: WARD, SEMI, PRIVATE, SUITE, ICU, DAYCARE).</w:t>
      </w:r>
    </w:p>
    <w:p>
      <w:pPr>
        <w:pStyle w:val="ListBullet"/>
        <w:spacing w:before="20" w:after="60"/>
      </w:pPr>
      <w:r>
        <w:rPr>
          <w:rFonts w:ascii="Calibri" w:hAnsi="Calibri"/>
          <w:b/>
          <w:color w:val="0F172A"/>
          <w:sz w:val="20"/>
        </w:rPr>
        <w:t xml:space="preserve">Step 5 — Special Unit Rules &amp; Discount Layering: </w:t>
      </w:r>
      <w:r>
        <w:rPr>
          <w:rFonts w:ascii="Calibri" w:hAnsi="Calibri"/>
          <w:color w:val="334155"/>
          <w:sz w:val="20"/>
        </w:rPr>
        <w:t>Applies unit-specific calculation rules (such as Guwahati OT duration slabs, Excelcare nursing tables, or Kolkata hourly/minute quantities) and layers applicable discounts (Item Override -&gt; Department Override -&gt; Agreement Discount % -&gt; Manual Row Override) to compute Expected Net Rate.</w:t>
      </w:r>
    </w:p>
    <w:p>
      <w:pPr>
        <w:pStyle w:val="ListBullet"/>
        <w:spacing w:before="20" w:after="60"/>
      </w:pPr>
      <w:r>
        <w:rPr>
          <w:rFonts w:ascii="Calibri" w:hAnsi="Calibri"/>
          <w:b/>
          <w:color w:val="0F172A"/>
          <w:sz w:val="20"/>
        </w:rPr>
        <w:t xml:space="preserve">Step 6 — Variance Classification: </w:t>
      </w:r>
      <w:r>
        <w:rPr>
          <w:rFonts w:ascii="Calibri" w:hAnsi="Calibri"/>
          <w:color w:val="334155"/>
          <w:sz w:val="20"/>
        </w:rPr>
        <w:t>Compares Billed Net Rate vs. Expected Net Rate: differences within rounding tolerance are marked 'Matching' or 'Round Off Difference'; Billed &gt; Expected is flagged as 'Overcharged' (Excess Charged); Billed &lt; Expected is flagged as 'Undercharged' (Revenue Leakage / Short Charged).</w:t>
      </w:r>
    </w:p>
    <w:p>
      <w:pPr>
        <w:pStyle w:val="Heading1"/>
      </w:pPr>
      <w:r>
        <w:rPr>
          <w:rFonts w:ascii="Calibri" w:hAnsi="Calibri"/>
          <w:color w:val="004B87"/>
          <w:sz w:val="30"/>
        </w:rPr>
        <w:t>2. Built-In Capabilities Currently Dormant / Standby &amp; Infrastructure Layer</w:t>
      </w:r>
    </w:p>
    <w:p>
      <w:pPr>
        <w:spacing w:before="40" w:after="100"/>
      </w:pPr>
      <w:r>
        <w:rPr>
          <w:rFonts w:ascii="Calibri" w:hAnsi="Calibri"/>
          <w:b w:val="0"/>
          <w:i w:val="0"/>
          <w:color w:val="1E293B"/>
          <w:sz w:val="20"/>
        </w:rPr>
        <w:t>Several advanced enterprise and infrastructure capabilities are already engineered and present inside the codebase and UI, but are intentionally switched off by default or kept in standby mode so day-to-day auditing remains simple and zero-friction. Any of these can be activated via configuration or UI toggles without rewriting the application: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shd w:val="clear" w:color="auto" w:fill="004B87"/>
            <w:tcMar>
              <w:top w:w="110" w:type="dxa"/>
              <w:bottom w:w="110" w:type="dxa"/>
              <w:left w:w="140" w:type="dxa"/>
              <w:right w:w="140" w:type="dxa"/>
            </w:tcMar>
          </w:tcPr>
          <w:p>
            <w:pPr>
              <w:spacing w:before="40" w:after="40"/>
            </w:pPr>
            <w:r/>
            <w:r>
              <w:rPr>
                <w:rFonts w:ascii="Calibri" w:hAnsi="Calibri"/>
                <w:b/>
                <w:color w:val="FFFFFF"/>
                <w:sz w:val="19"/>
              </w:rPr>
              <w:t>Built-In Capability</w:t>
            </w:r>
          </w:p>
        </w:tc>
        <w:tc>
          <w:tcPr>
            <w:tcW w:type="dxa" w:w="1872"/>
            <w:shd w:val="clear" w:color="auto" w:fill="004B87"/>
            <w:tcMar>
              <w:top w:w="110" w:type="dxa"/>
              <w:bottom w:w="110" w:type="dxa"/>
              <w:left w:w="140" w:type="dxa"/>
              <w:right w:w="140" w:type="dxa"/>
            </w:tcMar>
          </w:tcPr>
          <w:p>
            <w:pPr>
              <w:spacing w:before="40" w:after="40"/>
            </w:pPr>
            <w:r/>
            <w:r>
              <w:rPr>
                <w:rFonts w:ascii="Calibri" w:hAnsi="Calibri"/>
                <w:b/>
                <w:color w:val="FFFFFF"/>
                <w:sz w:val="19"/>
              </w:rPr>
              <w:t>Source File(s)</w:t>
            </w:r>
          </w:p>
        </w:tc>
        <w:tc>
          <w:tcPr>
            <w:tcW w:type="dxa" w:w="1728"/>
            <w:shd w:val="clear" w:color="auto" w:fill="004B87"/>
            <w:tcMar>
              <w:top w:w="110" w:type="dxa"/>
              <w:bottom w:w="110" w:type="dxa"/>
              <w:left w:w="140" w:type="dxa"/>
              <w:right w:w="140" w:type="dxa"/>
            </w:tcMar>
          </w:tcPr>
          <w:p>
            <w:pPr>
              <w:spacing w:before="40" w:after="40"/>
            </w:pPr>
            <w:r/>
            <w:r>
              <w:rPr>
                <w:rFonts w:ascii="Calibri" w:hAnsi="Calibri"/>
                <w:b/>
                <w:color w:val="FFFFFF"/>
                <w:sz w:val="19"/>
              </w:rPr>
              <w:t>Current Status</w:t>
            </w:r>
          </w:p>
        </w:tc>
        <w:tc>
          <w:tcPr>
            <w:tcW w:type="dxa" w:w="4176"/>
            <w:shd w:val="clear" w:color="auto" w:fill="004B87"/>
            <w:tcMar>
              <w:top w:w="110" w:type="dxa"/>
              <w:bottom w:w="110" w:type="dxa"/>
              <w:left w:w="140" w:type="dxa"/>
              <w:right w:w="140" w:type="dxa"/>
            </w:tcMar>
          </w:tcPr>
          <w:p>
            <w:pPr>
              <w:spacing w:before="40" w:after="40"/>
            </w:pPr>
            <w:r/>
            <w:r>
              <w:rPr>
                <w:rFonts w:ascii="Calibri" w:hAnsi="Calibri"/>
                <w:b/>
                <w:color w:val="FFFFFF"/>
                <w:sz w:val="19"/>
              </w:rPr>
              <w:t>What It Does &amp; How to Activate</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1. Foundation Layer V1.02: Agreement-Driven IndexedDB Engine</w:t>
            </w:r>
          </w:p>
        </w:tc>
        <w:tc>
          <w:tcPr>
            <w:tcW w:type="dxa" w:w="1872"/>
            <w:shd w:val="clear" w:color="auto" w:fill="FFFFFF"/>
            <w:tcMar>
              <w:top w:w="90" w:type="dxa"/>
              <w:bottom w:w="90" w:type="dxa"/>
              <w:left w:w="130" w:type="dxa"/>
              <w:right w:w="130" w:type="dxa"/>
            </w:tcMar>
          </w:tcPr>
          <w:p>
            <w:pPr>
              <w:spacing w:before="40" w:after="40"/>
            </w:pPr>
            <w:r/>
            <w:r>
              <w:rPr>
                <w:rFonts w:ascii="Calibri" w:hAnsi="Calibri"/>
                <w:color w:val="334155"/>
                <w:sz w:val="18"/>
              </w:rPr>
              <w:t>revenue_assurance_db.js, revenue_assurance_engine.js, #panel-infra</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Built-In / Standby (Toggle OFF by default)</w:t>
            </w:r>
          </w:p>
        </w:tc>
        <w:tc>
          <w:tcPr>
            <w:tcW w:type="dxa" w:w="4176"/>
            <w:shd w:val="clear" w:color="auto" w:fill="FFFFFF"/>
            <w:tcMar>
              <w:top w:w="90" w:type="dxa"/>
              <w:bottom w:w="90" w:type="dxa"/>
              <w:left w:w="130" w:type="dxa"/>
              <w:right w:w="130" w:type="dxa"/>
            </w:tcMar>
          </w:tcPr>
          <w:p>
            <w:pPr>
              <w:spacing w:before="40" w:after="40"/>
            </w:pPr>
            <w:r/>
            <w:r>
              <w:rPr>
                <w:rFonts w:ascii="Calibri" w:hAnsi="Calibri"/>
                <w:color w:val="334155"/>
                <w:sz w:val="18"/>
              </w:rPr>
              <w:t>A complete 18-table relational IndexedDB database (RevenueAssuranceDB: tbl_payer_master, tbl_agreement_master, tbl_agreement_rules, tbl_service_master, tbl_service_alias, tbl_room_tariffs, tbl_package_master, tbl_charging_methods, etc.) paired with a 4-stage Service Resolver (Code -&gt; Exact Name -&gt; Alias -&gt; Fuzzy Match) and Charging Logic Engine (Per Hour, Per Minute, Per Day, Package, Slab). Can be toggled ON via the 'Use Agreement-Driven Engine' switch in the Platform Infrastructure tab (#panel-infra).</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2. Pre-Bill Revenue Assurance Gate (HIS Pre-Discharge Stub)</w:t>
            </w:r>
          </w:p>
        </w:tc>
        <w:tc>
          <w:tcPr>
            <w:tcW w:type="dxa" w:w="1872"/>
            <w:shd w:val="clear" w:color="auto" w:fill="F8FAFC"/>
            <w:tcMar>
              <w:top w:w="90" w:type="dxa"/>
              <w:bottom w:w="90" w:type="dxa"/>
              <w:left w:w="130" w:type="dxa"/>
              <w:right w:w="130" w:type="dxa"/>
            </w:tcMar>
          </w:tcPr>
          <w:p>
            <w:pPr>
              <w:spacing w:before="40" w:after="40"/>
            </w:pPr>
            <w:r/>
            <w:r>
              <w:rPr>
                <w:rFonts w:ascii="Calibri" w:hAnsi="Calibri"/>
                <w:color w:val="334155"/>
                <w:sz w:val="18"/>
              </w:rPr>
              <w:t>revenue_assurance_db.js, index.html (#panel-infra)</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Built-In Stub (Not in active workflow)</w:t>
            </w:r>
          </w:p>
        </w:tc>
        <w:tc>
          <w:tcPr>
            <w:tcW w:type="dxa" w:w="4176"/>
            <w:shd w:val="clear" w:color="auto" w:fill="F8FAFC"/>
            <w:tcMar>
              <w:top w:w="90" w:type="dxa"/>
              <w:bottom w:w="90" w:type="dxa"/>
              <w:left w:w="130" w:type="dxa"/>
              <w:right w:w="130" w:type="dxa"/>
            </w:tcMar>
          </w:tcPr>
          <w:p>
            <w:pPr>
              <w:spacing w:before="40" w:after="40"/>
            </w:pPr>
            <w:r/>
            <w:r>
              <w:rPr>
                <w:rFonts w:ascii="Calibri" w:hAnsi="Calibri"/>
                <w:color w:val="334155"/>
                <w:sz w:val="18"/>
              </w:rPr>
              <w:t>Database stores (tbl_prebill_rules, tbl_prebill_workflow, tbl_prebill_approvals) and status telemetry card are pre-built to support pre-bill / pre-discharge validation before a final invoice is released in HIS.</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3. Central SQLite Database Mode for Saved Audits &amp; Overrides</w:t>
            </w:r>
          </w:p>
        </w:tc>
        <w:tc>
          <w:tcPr>
            <w:tcW w:type="dxa" w:w="1872"/>
            <w:shd w:val="clear" w:color="auto" w:fill="FFFFFF"/>
            <w:tcMar>
              <w:top w:w="90" w:type="dxa"/>
              <w:bottom w:w="90" w:type="dxa"/>
              <w:left w:w="130" w:type="dxa"/>
              <w:right w:w="130" w:type="dxa"/>
            </w:tcMar>
          </w:tcPr>
          <w:p>
            <w:pPr>
              <w:spacing w:before="40" w:after="40"/>
            </w:pPr>
            <w:r/>
            <w:r>
              <w:rPr>
                <w:rFonts w:ascii="Calibri" w:hAnsi="Calibri"/>
                <w:color w:val="334155"/>
                <w:sz w:val="18"/>
              </w:rPr>
              <w:t>run_server.py (get_db_connection, json_store), config.json</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Built-In (Defaults to 'local' JSON files)</w:t>
            </w:r>
          </w:p>
        </w:tc>
        <w:tc>
          <w:tcPr>
            <w:tcW w:type="dxa" w:w="4176"/>
            <w:shd w:val="clear" w:color="auto" w:fill="FFFFFF"/>
            <w:tcMar>
              <w:top w:w="90" w:type="dxa"/>
              <w:bottom w:w="90" w:type="dxa"/>
              <w:left w:w="130" w:type="dxa"/>
              <w:right w:w="130" w:type="dxa"/>
            </w:tcMar>
          </w:tcPr>
          <w:p>
            <w:pPr>
              <w:spacing w:before="40" w:after="40"/>
            </w:pPr>
            <w:r/>
            <w:r>
              <w:rPr>
                <w:rFonts w:ascii="Calibri" w:hAnsi="Calibri"/>
                <w:color w:val="334155"/>
                <w:sz w:val="18"/>
              </w:rPr>
              <w:t>run_server.py contains a full SQLite key-value store (revenue_audit.db -&gt; json_store) that automatically migrates saved_audits.json, customer_rate_overrides.json, and saved_settlements.json into SQLite when config.json sets "STORAGE_MODE": "sqlite".</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4. Multi-Factor OTP Authentication Gateway (SMTP Email &amp; Twilio SMS)</w:t>
            </w:r>
          </w:p>
        </w:tc>
        <w:tc>
          <w:tcPr>
            <w:tcW w:type="dxa" w:w="1872"/>
            <w:shd w:val="clear" w:color="auto" w:fill="F8FAFC"/>
            <w:tcMar>
              <w:top w:w="90" w:type="dxa"/>
              <w:bottom w:w="90" w:type="dxa"/>
              <w:left w:w="130" w:type="dxa"/>
              <w:right w:w="130" w:type="dxa"/>
            </w:tcMar>
          </w:tcPr>
          <w:p>
            <w:pPr>
              <w:spacing w:before="40" w:after="40"/>
            </w:pPr>
            <w:r/>
            <w:r>
              <w:rPr>
                <w:rFonts w:ascii="Calibri" w:hAnsi="Calibri"/>
                <w:color w:val="334155"/>
                <w:sz w:val="18"/>
              </w:rPr>
              <w:t>run_server.py (/api/send_otp), js/app.js, index.html</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Built-In / Switched OFF (OTP_ENABLED: false)</w:t>
            </w:r>
          </w:p>
        </w:tc>
        <w:tc>
          <w:tcPr>
            <w:tcW w:type="dxa" w:w="4176"/>
            <w:shd w:val="clear" w:color="auto" w:fill="F8FAFC"/>
            <w:tcMar>
              <w:top w:w="90" w:type="dxa"/>
              <w:bottom w:w="90" w:type="dxa"/>
              <w:left w:w="130" w:type="dxa"/>
              <w:right w:w="130" w:type="dxa"/>
            </w:tcMar>
          </w:tcPr>
          <w:p>
            <w:pPr>
              <w:spacing w:before="40" w:after="40"/>
            </w:pPr>
            <w:r/>
            <w:r>
              <w:rPr>
                <w:rFonts w:ascii="Calibri" w:hAnsi="Calibri"/>
                <w:color w:val="334155"/>
                <w:sz w:val="18"/>
              </w:rPr>
              <w:t>Complete 2FA login verification supporting live SMTP TLS email dispatch, Twilio SMS dispatch (with per-user phone mapping), and terminal mock mode with 5-minute OTP expiry. Disabled by default via "OTP_ENABLED": false in run_server.py / config.json; set "OTP_ENABLED": true to require 2FA at login.</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5. Server-Side SQLite TariffMaster &amp; SOC Import Ledger</w:t>
            </w:r>
          </w:p>
        </w:tc>
        <w:tc>
          <w:tcPr>
            <w:tcW w:type="dxa" w:w="1872"/>
            <w:shd w:val="clear" w:color="auto" w:fill="FFFFFF"/>
            <w:tcMar>
              <w:top w:w="90" w:type="dxa"/>
              <w:bottom w:w="90" w:type="dxa"/>
              <w:left w:w="130" w:type="dxa"/>
              <w:right w:w="130" w:type="dxa"/>
            </w:tcMar>
          </w:tcPr>
          <w:p>
            <w:pPr>
              <w:spacing w:before="40" w:after="40"/>
            </w:pPr>
            <w:r/>
            <w:r>
              <w:rPr>
                <w:rFonts w:ascii="Calibri" w:hAnsi="Calibri"/>
                <w:color w:val="334155"/>
                <w:sz w:val="18"/>
              </w:rPr>
              <w:t>soc_module/tariff_integrator.py, run_server.py</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Built-In / Secondary to Central Hub DB</w:t>
            </w:r>
          </w:p>
        </w:tc>
        <w:tc>
          <w:tcPr>
            <w:tcW w:type="dxa" w:w="4176"/>
            <w:shd w:val="clear" w:color="auto" w:fill="FFFFFF"/>
            <w:tcMar>
              <w:top w:w="90" w:type="dxa"/>
              <w:bottom w:w="90" w:type="dxa"/>
              <w:left w:w="130" w:type="dxa"/>
              <w:right w:w="130" w:type="dxa"/>
            </w:tcMar>
          </w:tcPr>
          <w:p>
            <w:pPr>
              <w:spacing w:before="40" w:after="40"/>
            </w:pPr>
            <w:r/>
            <w:r>
              <w:rPr>
                <w:rFonts w:ascii="Calibri" w:hAnsi="Calibri"/>
                <w:color w:val="334155"/>
                <w:sz w:val="18"/>
              </w:rPr>
              <w:t>Maintains relational TariffMaster and SOCImportLogs tables inside revenue_audit.db via /api/soc/confirm_import and /api/soc/import_logs, plus /api/deploy_tariff for central_tariff_deployments.json.</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6. Cryptographic SHA-256 Statutory Audit Seal Generator</w:t>
            </w:r>
          </w:p>
        </w:tc>
        <w:tc>
          <w:tcPr>
            <w:tcW w:type="dxa" w:w="1872"/>
            <w:shd w:val="clear" w:color="auto" w:fill="F8FAFC"/>
            <w:tcMar>
              <w:top w:w="90" w:type="dxa"/>
              <w:bottom w:w="90" w:type="dxa"/>
              <w:left w:w="130" w:type="dxa"/>
              <w:right w:w="130" w:type="dxa"/>
            </w:tcMar>
          </w:tcPr>
          <w:p>
            <w:pPr>
              <w:spacing w:before="40" w:after="40"/>
            </w:pPr>
            <w:r/>
            <w:r>
              <w:rPr>
                <w:rFonts w:ascii="Calibri" w:hAnsi="Calibri"/>
                <w:color w:val="334155"/>
                <w:sz w:val="18"/>
              </w:rPr>
              <w:t>js/app.js (generateAuditSha256Seal), #panel-infra</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Built-In / On-Demand in Infrastructure Tab</w:t>
            </w:r>
          </w:p>
        </w:tc>
        <w:tc>
          <w:tcPr>
            <w:tcW w:type="dxa" w:w="4176"/>
            <w:shd w:val="clear" w:color="auto" w:fill="F8FAFC"/>
            <w:tcMar>
              <w:top w:w="90" w:type="dxa"/>
              <w:bottom w:w="90" w:type="dxa"/>
              <w:left w:w="130" w:type="dxa"/>
              <w:right w:w="130" w:type="dxa"/>
            </w:tcMar>
          </w:tcPr>
          <w:p>
            <w:pPr>
              <w:spacing w:before="40" w:after="40"/>
            </w:pPr>
            <w:r/>
            <w:r>
              <w:rPr>
                <w:rFonts w:ascii="Calibri" w:hAnsi="Calibri"/>
                <w:color w:val="334155"/>
                <w:sz w:val="18"/>
              </w:rPr>
              <w:t>Uses browser WebCrypto (crypto.subtle.digest('SHA-256')) to generate immutable 64-character hexadecimal digital seals over audit payloads for statutory BRC and internal audit sign-off.</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7. 1-Click Enterprise Snapshot Backup &amp; Restore Engine</w:t>
            </w:r>
          </w:p>
        </w:tc>
        <w:tc>
          <w:tcPr>
            <w:tcW w:type="dxa" w:w="1872"/>
            <w:shd w:val="clear" w:color="auto" w:fill="FFFFFF"/>
            <w:tcMar>
              <w:top w:w="90" w:type="dxa"/>
              <w:bottom w:w="90" w:type="dxa"/>
              <w:left w:w="130" w:type="dxa"/>
              <w:right w:w="130" w:type="dxa"/>
            </w:tcMar>
          </w:tcPr>
          <w:p>
            <w:pPr>
              <w:spacing w:before="40" w:after="40"/>
            </w:pPr>
            <w:r/>
            <w:r>
              <w:rPr>
                <w:rFonts w:ascii="Calibri" w:hAnsi="Calibri"/>
                <w:color w:val="334155"/>
                <w:sz w:val="18"/>
              </w:rPr>
              <w:t>js/app.js (exportDatabaseSnapshot, handleSnapshotFileImport)</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Built-In / On-Demand in Infrastructure Tab</w:t>
            </w:r>
          </w:p>
        </w:tc>
        <w:tc>
          <w:tcPr>
            <w:tcW w:type="dxa" w:w="4176"/>
            <w:shd w:val="clear" w:color="auto" w:fill="FFFFFF"/>
            <w:tcMar>
              <w:top w:w="90" w:type="dxa"/>
              <w:bottom w:w="90" w:type="dxa"/>
              <w:left w:w="130" w:type="dxa"/>
              <w:right w:w="130" w:type="dxa"/>
            </w:tcMar>
          </w:tcPr>
          <w:p>
            <w:pPr>
              <w:spacing w:before="40" w:after="40"/>
            </w:pPr>
            <w:r/>
            <w:r>
              <w:rPr>
                <w:rFonts w:ascii="Calibri" w:hAnsi="Calibri"/>
                <w:color w:val="334155"/>
                <w:sz w:val="18"/>
              </w:rPr>
              <w:t>Exports all hospital unit configurations, custom agreements, department/item discount overrides, and saved audits into a timestamped apollo_tariff_system_snapshot_&lt;date&gt;.json file and restores state in 1 click.</w:t>
            </w:r>
          </w:p>
        </w:tc>
      </w:tr>
      <w:tr>
        <w:tc>
          <w:tcPr>
            <w:tcW w:type="dxa" w:w="2304"/>
            <w:shd w:val="clear" w:color="auto" w:fill="F8FAFC"/>
            <w:tcMar>
              <w:top w:w="90" w:type="dxa"/>
              <w:bottom w:w="90" w:type="dxa"/>
              <w:left w:w="130" w:type="dxa"/>
              <w:right w:w="130" w:type="dxa"/>
            </w:tcMar>
          </w:tcPr>
          <w:p>
            <w:pPr>
              <w:spacing w:before="40" w:after="40"/>
            </w:pPr>
            <w:r/>
            <w:r>
              <w:rPr>
                <w:rFonts w:ascii="Calibri" w:hAnsi="Calibri"/>
                <w:b/>
                <w:color w:val="0F172A"/>
                <w:sz w:val="18"/>
              </w:rPr>
              <w:t>8. Branded Apollo Formal Dispute Letterhead Engine</w:t>
            </w:r>
          </w:p>
        </w:tc>
        <w:tc>
          <w:tcPr>
            <w:tcW w:type="dxa" w:w="1872"/>
            <w:shd w:val="clear" w:color="auto" w:fill="F8FAFC"/>
            <w:tcMar>
              <w:top w:w="90" w:type="dxa"/>
              <w:bottom w:w="90" w:type="dxa"/>
              <w:left w:w="130" w:type="dxa"/>
              <w:right w:w="130" w:type="dxa"/>
            </w:tcMar>
          </w:tcPr>
          <w:p>
            <w:pPr>
              <w:spacing w:before="40" w:after="40"/>
            </w:pPr>
            <w:r/>
            <w:r>
              <w:rPr>
                <w:rFonts w:ascii="Calibri" w:hAnsi="Calibri"/>
                <w:color w:val="334155"/>
                <w:sz w:val="18"/>
              </w:rPr>
              <w:t>js/app.js, index.html</w:t>
            </w:r>
          </w:p>
        </w:tc>
        <w:tc>
          <w:tcPr>
            <w:tcW w:type="dxa" w:w="1728"/>
            <w:shd w:val="clear" w:color="auto" w:fill="F8FAFC"/>
            <w:tcMar>
              <w:top w:w="90" w:type="dxa"/>
              <w:bottom w:w="90" w:type="dxa"/>
              <w:left w:w="130" w:type="dxa"/>
              <w:right w:w="130" w:type="dxa"/>
            </w:tcMar>
          </w:tcPr>
          <w:p>
            <w:pPr>
              <w:spacing w:before="40" w:after="40"/>
            </w:pPr>
            <w:r/>
            <w:r>
              <w:rPr>
                <w:rFonts w:ascii="Calibri" w:hAnsi="Calibri"/>
                <w:color w:val="334155"/>
                <w:sz w:val="18"/>
              </w:rPr>
              <w:t>Built-In / On-Demand</w:t>
            </w:r>
          </w:p>
        </w:tc>
        <w:tc>
          <w:tcPr>
            <w:tcW w:type="dxa" w:w="4176"/>
            <w:shd w:val="clear" w:color="auto" w:fill="F8FAFC"/>
            <w:tcMar>
              <w:top w:w="90" w:type="dxa"/>
              <w:bottom w:w="90" w:type="dxa"/>
              <w:left w:w="130" w:type="dxa"/>
              <w:right w:w="130" w:type="dxa"/>
            </w:tcMar>
          </w:tcPr>
          <w:p>
            <w:pPr>
              <w:spacing w:before="40" w:after="40"/>
            </w:pPr>
            <w:r/>
            <w:r>
              <w:rPr>
                <w:rFonts w:ascii="Calibri" w:hAnsi="Calibri"/>
                <w:color w:val="334155"/>
                <w:sz w:val="18"/>
              </w:rPr>
              <w:t>Generates formal, printable/copyable recovery demand letters on Apollo letterhead summarizing short-settled or disallowed claim items with contract clause citations.</w:t>
            </w:r>
          </w:p>
        </w:tc>
      </w:tr>
      <w:tr>
        <w:tc>
          <w:tcPr>
            <w:tcW w:type="dxa" w:w="2304"/>
            <w:shd w:val="clear" w:color="auto" w:fill="FFFFFF"/>
            <w:tcMar>
              <w:top w:w="90" w:type="dxa"/>
              <w:bottom w:w="90" w:type="dxa"/>
              <w:left w:w="130" w:type="dxa"/>
              <w:right w:w="130" w:type="dxa"/>
            </w:tcMar>
          </w:tcPr>
          <w:p>
            <w:pPr>
              <w:spacing w:before="40" w:after="40"/>
            </w:pPr>
            <w:r/>
            <w:r>
              <w:rPr>
                <w:rFonts w:ascii="Calibri" w:hAnsi="Calibri"/>
                <w:b/>
                <w:color w:val="0F172A"/>
                <w:sz w:val="18"/>
              </w:rPr>
              <w:t>9. Command Palette (Ctrl+K), Shortcut Overlay (?), &amp; Multi-Theme Suite</w:t>
            </w:r>
          </w:p>
        </w:tc>
        <w:tc>
          <w:tcPr>
            <w:tcW w:type="dxa" w:w="1872"/>
            <w:shd w:val="clear" w:color="auto" w:fill="FFFFFF"/>
            <w:tcMar>
              <w:top w:w="90" w:type="dxa"/>
              <w:bottom w:w="90" w:type="dxa"/>
              <w:left w:w="130" w:type="dxa"/>
              <w:right w:w="130" w:type="dxa"/>
            </w:tcMar>
          </w:tcPr>
          <w:p>
            <w:pPr>
              <w:spacing w:before="40" w:after="40"/>
            </w:pPr>
            <w:r/>
            <w:r>
              <w:rPr>
                <w:rFonts w:ascii="Calibri" w:hAnsi="Calibri"/>
                <w:color w:val="334155"/>
                <w:sz w:val="18"/>
              </w:rPr>
              <w:t>js/app.js, css/styles.css</w:t>
            </w:r>
          </w:p>
        </w:tc>
        <w:tc>
          <w:tcPr>
            <w:tcW w:type="dxa" w:w="1728"/>
            <w:shd w:val="clear" w:color="auto" w:fill="FFFFFF"/>
            <w:tcMar>
              <w:top w:w="90" w:type="dxa"/>
              <w:bottom w:w="90" w:type="dxa"/>
              <w:left w:w="130" w:type="dxa"/>
              <w:right w:w="130" w:type="dxa"/>
            </w:tcMar>
          </w:tcPr>
          <w:p>
            <w:pPr>
              <w:spacing w:before="40" w:after="40"/>
            </w:pPr>
            <w:r/>
            <w:r>
              <w:rPr>
                <w:rFonts w:ascii="Calibri" w:hAnsi="Calibri"/>
                <w:color w:val="334155"/>
                <w:sz w:val="18"/>
              </w:rPr>
              <w:t>Built-In Power-User Utilities</w:t>
            </w:r>
          </w:p>
        </w:tc>
        <w:tc>
          <w:tcPr>
            <w:tcW w:type="dxa" w:w="4176"/>
            <w:shd w:val="clear" w:color="auto" w:fill="FFFFFF"/>
            <w:tcMar>
              <w:top w:w="90" w:type="dxa"/>
              <w:bottom w:w="90" w:type="dxa"/>
              <w:left w:w="130" w:type="dxa"/>
              <w:right w:w="130" w:type="dxa"/>
            </w:tcMar>
          </w:tcPr>
          <w:p>
            <w:pPr>
              <w:spacing w:before="40" w:after="40"/>
            </w:pPr>
            <w:r/>
            <w:r>
              <w:rPr>
                <w:rFonts w:ascii="Calibri" w:hAnsi="Calibri"/>
                <w:color w:val="334155"/>
                <w:sz w:val="18"/>
              </w:rPr>
              <w:t>Instant keyboard navigation palette (Ctrl+K), shortcut cheat sheet (?), 3 visual themes (Corporate Slate Dark, Apollo Clinical Light, Midnight OLED), and Service Worker cache purge utility.</w:t>
            </w:r>
          </w:p>
        </w:tc>
      </w:tr>
    </w:tbl>
    <w:p/>
    <w:p>
      <w:pPr>
        <w:pStyle w:val="Heading1"/>
      </w:pPr>
      <w:r>
        <w:rPr>
          <w:rFonts w:ascii="Calibri" w:hAnsi="Calibri"/>
          <w:color w:val="004B87"/>
          <w:sz w:val="30"/>
        </w:rPr>
        <w:t>3. Multi-Unit Central Audit Storage &amp; Tariff Broadcast Governance</w:t>
      </w:r>
    </w:p>
    <w:p>
      <w:pPr>
        <w:pStyle w:val="Heading2"/>
      </w:pPr>
      <w:r>
        <w:rPr>
          <w:rFonts w:ascii="Calibri" w:hAnsi="Calibri"/>
          <w:color w:val="0D9488"/>
          <w:sz w:val="25"/>
        </w:rPr>
        <w:t>3.1 Storing All Unit Audit Results Centrally — Architectural Options</w:t>
      </w:r>
    </w:p>
    <w:p>
      <w:pPr>
        <w:spacing w:before="40" w:after="100"/>
      </w:pPr>
      <w:r>
        <w:rPr>
          <w:rFonts w:ascii="Calibri" w:hAnsi="Calibri"/>
          <w:b w:val="0"/>
          <w:i w:val="0"/>
          <w:color w:val="1E293B"/>
          <w:sz w:val="20"/>
        </w:rPr>
        <w:t>Because bill auditing runs inside each unit user's browser, the central server is never burdened by heavy spreadsheet calculations. When a unit saves an audit, only the compact audited summary and exception rows are sent via POST /api/save_audits. Three deployment patterns are supported:</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val="clear" w:color="auto" w:fill="004B87"/>
            <w:tcMar>
              <w:top w:w="110" w:type="dxa"/>
              <w:bottom w:w="110" w:type="dxa"/>
              <w:left w:w="140" w:type="dxa"/>
              <w:right w:w="140" w:type="dxa"/>
            </w:tcMar>
          </w:tcPr>
          <w:p>
            <w:pPr>
              <w:spacing w:before="40" w:after="40"/>
            </w:pPr>
            <w:r/>
            <w:r>
              <w:rPr>
                <w:rFonts w:ascii="Calibri" w:hAnsi="Calibri"/>
                <w:b/>
                <w:color w:val="FFFFFF"/>
                <w:sz w:val="19"/>
              </w:rPr>
              <w:t>Deployment Option</w:t>
            </w:r>
          </w:p>
        </w:tc>
        <w:tc>
          <w:tcPr>
            <w:tcW w:type="dxa" w:w="5184"/>
            <w:shd w:val="clear" w:color="auto" w:fill="004B87"/>
            <w:tcMar>
              <w:top w:w="110" w:type="dxa"/>
              <w:bottom w:w="110" w:type="dxa"/>
              <w:left w:w="140" w:type="dxa"/>
              <w:right w:w="140" w:type="dxa"/>
            </w:tcMar>
          </w:tcPr>
          <w:p>
            <w:pPr>
              <w:spacing w:before="40" w:after="40"/>
            </w:pPr>
            <w:r/>
            <w:r>
              <w:rPr>
                <w:rFonts w:ascii="Calibri" w:hAnsi="Calibri"/>
                <w:b/>
                <w:color w:val="FFFFFF"/>
                <w:sz w:val="19"/>
              </w:rPr>
              <w:t>Architecture &amp; Data Flow</w:t>
            </w:r>
          </w:p>
        </w:tc>
        <w:tc>
          <w:tcPr>
            <w:tcW w:type="dxa" w:w="2304"/>
            <w:shd w:val="clear" w:color="auto" w:fill="004B87"/>
            <w:tcMar>
              <w:top w:w="110" w:type="dxa"/>
              <w:bottom w:w="110" w:type="dxa"/>
              <w:left w:w="140" w:type="dxa"/>
              <w:right w:w="140" w:type="dxa"/>
            </w:tcMar>
          </w:tcPr>
          <w:p>
            <w:pPr>
              <w:spacing w:before="40" w:after="40"/>
            </w:pPr>
            <w:r/>
            <w:r>
              <w:rPr>
                <w:rFonts w:ascii="Calibri" w:hAnsi="Calibri"/>
                <w:b/>
                <w:color w:val="FFFFFF"/>
                <w:sz w:val="19"/>
              </w:rPr>
              <w:t>Speed Impact</w:t>
            </w:r>
          </w:p>
        </w:tc>
      </w:tr>
      <w:tr>
        <w:tc>
          <w:tcPr>
            <w:tcW w:type="dxa" w:w="2592"/>
            <w:shd w:val="clear" w:color="auto" w:fill="FFFFFF"/>
            <w:tcMar>
              <w:top w:w="90" w:type="dxa"/>
              <w:bottom w:w="90" w:type="dxa"/>
              <w:left w:w="130" w:type="dxa"/>
              <w:right w:w="130" w:type="dxa"/>
            </w:tcMar>
          </w:tcPr>
          <w:p>
            <w:pPr>
              <w:spacing w:before="40" w:after="40"/>
            </w:pPr>
            <w:r/>
            <w:r>
              <w:rPr>
                <w:rFonts w:ascii="Calibri" w:hAnsi="Calibri"/>
                <w:b/>
                <w:color w:val="0F172A"/>
                <w:sz w:val="18"/>
              </w:rPr>
              <w:t>Option A: Single Central Intranet Server (Recommended)</w:t>
            </w:r>
          </w:p>
        </w:tc>
        <w:tc>
          <w:tcPr>
            <w:tcW w:type="dxa" w:w="5184"/>
            <w:shd w:val="clear" w:color="auto" w:fill="FFFFFF"/>
            <w:tcMar>
              <w:top w:w="90" w:type="dxa"/>
              <w:bottom w:w="90" w:type="dxa"/>
              <w:left w:w="130" w:type="dxa"/>
              <w:right w:w="130" w:type="dxa"/>
            </w:tcMar>
          </w:tcPr>
          <w:p>
            <w:pPr>
              <w:spacing w:before="40" w:after="40"/>
            </w:pPr>
            <w:r/>
            <w:r>
              <w:rPr>
                <w:rFonts w:ascii="Calibri" w:hAnsi="Calibri"/>
                <w:color w:val="334155"/>
                <w:sz w:val="18"/>
              </w:rPr>
              <w:t>Host one instance of run_server.py on an Apollo Central VM / Intranet server. All 65+ units open the same URL (http://&lt;central-server-ip&gt;:8500), log into their Unit card, audit bills in their browser, and click 'Save Audit'. All audit results are stored centrally in revenue_audit.db tagged with businessUnit.</w:t>
            </w:r>
          </w:p>
        </w:tc>
        <w:tc>
          <w:tcPr>
            <w:tcW w:type="dxa" w:w="2304"/>
            <w:shd w:val="clear" w:color="auto" w:fill="FFFFFF"/>
            <w:tcMar>
              <w:top w:w="90" w:type="dxa"/>
              <w:bottom w:w="90" w:type="dxa"/>
              <w:left w:w="130" w:type="dxa"/>
              <w:right w:w="130" w:type="dxa"/>
            </w:tcMar>
          </w:tcPr>
          <w:p>
            <w:pPr>
              <w:spacing w:before="40" w:after="40"/>
            </w:pPr>
            <w:r/>
            <w:r>
              <w:rPr>
                <w:rFonts w:ascii="Calibri" w:hAnsi="Calibri"/>
                <w:color w:val="334155"/>
                <w:sz w:val="18"/>
              </w:rPr>
              <w:t>Zero speed impact. Auditing is in-browser; saving an audit takes 10–50 ms.</w:t>
            </w:r>
          </w:p>
        </w:tc>
      </w:tr>
      <w:tr>
        <w:tc>
          <w:tcPr>
            <w:tcW w:type="dxa" w:w="2592"/>
            <w:shd w:val="clear" w:color="auto" w:fill="F8FAFC"/>
            <w:tcMar>
              <w:top w:w="90" w:type="dxa"/>
              <w:bottom w:w="90" w:type="dxa"/>
              <w:left w:w="130" w:type="dxa"/>
              <w:right w:w="130" w:type="dxa"/>
            </w:tcMar>
          </w:tcPr>
          <w:p>
            <w:pPr>
              <w:spacing w:before="40" w:after="40"/>
            </w:pPr>
            <w:r/>
            <w:r>
              <w:rPr>
                <w:rFonts w:ascii="Calibri" w:hAnsi="Calibri"/>
                <w:b/>
                <w:color w:val="0F172A"/>
                <w:sz w:val="18"/>
              </w:rPr>
              <w:t>Option B: Distributed Unit Tools + Background Sync</w:t>
            </w:r>
          </w:p>
        </w:tc>
        <w:tc>
          <w:tcPr>
            <w:tcW w:type="dxa" w:w="5184"/>
            <w:shd w:val="clear" w:color="auto" w:fill="F8FAFC"/>
            <w:tcMar>
              <w:top w:w="90" w:type="dxa"/>
              <w:bottom w:w="90" w:type="dxa"/>
              <w:left w:w="130" w:type="dxa"/>
              <w:right w:w="130" w:type="dxa"/>
            </w:tcMar>
          </w:tcPr>
          <w:p>
            <w:pPr>
              <w:spacing w:before="40" w:after="40"/>
            </w:pPr>
            <w:r/>
            <w:r>
              <w:rPr>
                <w:rFonts w:ascii="Calibri" w:hAnsi="Calibri"/>
                <w:color w:val="334155"/>
                <w:sz w:val="18"/>
              </w:rPr>
              <w:t>Units with unstable connectivity run the tool locally on their PC/LAN, saving audits locally first and automatically syncing saved audit records (POST /api/save_audits) to the Central Hub when connected.</w:t>
            </w:r>
          </w:p>
        </w:tc>
        <w:tc>
          <w:tcPr>
            <w:tcW w:type="dxa" w:w="2304"/>
            <w:shd w:val="clear" w:color="auto" w:fill="F8FAFC"/>
            <w:tcMar>
              <w:top w:w="90" w:type="dxa"/>
              <w:bottom w:w="90" w:type="dxa"/>
              <w:left w:w="130" w:type="dxa"/>
              <w:right w:w="130" w:type="dxa"/>
            </w:tcMar>
          </w:tcPr>
          <w:p>
            <w:pPr>
              <w:spacing w:before="40" w:after="40"/>
            </w:pPr>
            <w:r/>
            <w:r>
              <w:rPr>
                <w:rFonts w:ascii="Calibri" w:hAnsi="Calibri"/>
                <w:color w:val="334155"/>
                <w:sz w:val="18"/>
              </w:rPr>
              <w:t>Zero speed impact. Offline-capable and instant.</w:t>
            </w:r>
          </w:p>
        </w:tc>
      </w:tr>
      <w:tr>
        <w:tc>
          <w:tcPr>
            <w:tcW w:type="dxa" w:w="2592"/>
            <w:shd w:val="clear" w:color="auto" w:fill="FFFFFF"/>
            <w:tcMar>
              <w:top w:w="90" w:type="dxa"/>
              <w:bottom w:w="90" w:type="dxa"/>
              <w:left w:w="130" w:type="dxa"/>
              <w:right w:w="130" w:type="dxa"/>
            </w:tcMar>
          </w:tcPr>
          <w:p>
            <w:pPr>
              <w:spacing w:before="40" w:after="40"/>
            </w:pPr>
            <w:r/>
            <w:r>
              <w:rPr>
                <w:rFonts w:ascii="Calibri" w:hAnsi="Calibri"/>
                <w:b/>
                <w:color w:val="0F172A"/>
                <w:sz w:val="18"/>
              </w:rPr>
              <w:t>Option C: Enterprise RDBMS Backend (PostgreSQL / Azure SQL)</w:t>
            </w:r>
          </w:p>
        </w:tc>
        <w:tc>
          <w:tcPr>
            <w:tcW w:type="dxa" w:w="5184"/>
            <w:shd w:val="clear" w:color="auto" w:fill="FFFFFF"/>
            <w:tcMar>
              <w:top w:w="90" w:type="dxa"/>
              <w:bottom w:w="90" w:type="dxa"/>
              <w:left w:w="130" w:type="dxa"/>
              <w:right w:w="130" w:type="dxa"/>
            </w:tcMar>
          </w:tcPr>
          <w:p>
            <w:pPr>
              <w:spacing w:before="40" w:after="40"/>
            </w:pPr>
            <w:r/>
            <w:r>
              <w:rPr>
                <w:rFonts w:ascii="Calibri" w:hAnsi="Calibri"/>
                <w:color w:val="334155"/>
                <w:sz w:val="18"/>
              </w:rPr>
              <w:t>Point get_db_connection() in run_server.py to an enterprise PostgreSQL or Azure SQL database so Corporate Revenue Assurance BI (PowerBI / Tableau) can query live Pan-India audit KPIs directly.</w:t>
            </w:r>
          </w:p>
        </w:tc>
        <w:tc>
          <w:tcPr>
            <w:tcW w:type="dxa" w:w="2304"/>
            <w:shd w:val="clear" w:color="auto" w:fill="FFFFFF"/>
            <w:tcMar>
              <w:top w:w="90" w:type="dxa"/>
              <w:bottom w:w="90" w:type="dxa"/>
              <w:left w:w="130" w:type="dxa"/>
              <w:right w:w="130" w:type="dxa"/>
            </w:tcMar>
          </w:tcPr>
          <w:p>
            <w:pPr>
              <w:spacing w:before="40" w:after="40"/>
            </w:pPr>
            <w:r/>
            <w:r>
              <w:rPr>
                <w:rFonts w:ascii="Calibri" w:hAnsi="Calibri"/>
                <w:color w:val="334155"/>
                <w:sz w:val="18"/>
              </w:rPr>
              <w:t>Zero speed impact on bill checking.</w:t>
            </w:r>
          </w:p>
        </w:tc>
      </w:tr>
    </w:tbl>
    <w:p/>
    <w:p>
      <w:pPr>
        <w:pStyle w:val="Heading2"/>
      </w:pPr>
      <w:r>
        <w:rPr>
          <w:rFonts w:ascii="Calibri" w:hAnsi="Calibri"/>
          <w:color w:val="0D9488"/>
          <w:sz w:val="25"/>
        </w:rPr>
        <w:t>3.2 Step-by-Step Guide to Enable &amp; Operate Central Audit Storage</w:t>
      </w:r>
    </w:p>
    <w:p>
      <w:pPr>
        <w:pStyle w:val="ListBullet"/>
        <w:spacing w:before="20" w:after="60"/>
      </w:pPr>
      <w:r>
        <w:rPr>
          <w:rFonts w:ascii="Calibri" w:hAnsi="Calibri"/>
          <w:b/>
          <w:color w:val="0F172A"/>
          <w:sz w:val="20"/>
        </w:rPr>
        <w:t xml:space="preserve">Step 1 — Enable SQLite Mode in config.json: </w:t>
      </w:r>
      <w:r>
        <w:rPr>
          <w:rFonts w:ascii="Calibri" w:hAnsi="Calibri"/>
          <w:color w:val="334155"/>
          <w:sz w:val="20"/>
        </w:rPr>
        <w:t>Create config.json in the root folder with {"STORAGE_MODE": "sqlite", "SQLITE_DB_PATH": "revenue_audit.db"}. On startup, load_json_data() in run_server.py automatically initializes the json_store table in revenue_audit.db and migrates any existing saved_audits.json records.</w:t>
      </w:r>
    </w:p>
    <w:p>
      <w:pPr>
        <w:pStyle w:val="ListBullet"/>
        <w:spacing w:before="20" w:after="60"/>
      </w:pPr>
      <w:r>
        <w:rPr>
          <w:rFonts w:ascii="Calibri" w:hAnsi="Calibri"/>
          <w:b/>
          <w:color w:val="0F172A"/>
          <w:sz w:val="20"/>
        </w:rPr>
        <w:t xml:space="preserve">Step 2 — How Client Save Works (window.saveAudit in js/app.js): </w:t>
      </w:r>
      <w:r>
        <w:rPr>
          <w:rFonts w:ascii="Calibri" w:hAnsi="Calibri"/>
          <w:color w:val="334155"/>
          <w:sz w:val="20"/>
        </w:rPr>
        <w:t>When an auditor clicks 'Save Audit', window.saveAudit() builds a savedRecord containing auditId, uploadDate, businessUnit, customer, totalBills, exceptions, leakage (Overcharged), recovery (Undercharged), status, approval metadata, and compact serialized rows, then calls saveAndSyncAudits(db) -&gt; POST /api/save_audits.</w:t>
      </w:r>
    </w:p>
    <w:p>
      <w:pPr>
        <w:pStyle w:val="ListBullet"/>
        <w:spacing w:before="20" w:after="60"/>
      </w:pPr>
      <w:r>
        <w:rPr>
          <w:rFonts w:ascii="Calibri" w:hAnsi="Calibri"/>
          <w:b/>
          <w:color w:val="0F172A"/>
          <w:sz w:val="20"/>
        </w:rPr>
        <w:t xml:space="preserve">Step 3 — Multi-Unit Concurrent Merge &amp; Unit-Scoped Loading: </w:t>
      </w:r>
      <w:r>
        <w:rPr>
          <w:rFonts w:ascii="Calibri" w:hAnsi="Calibri"/>
          <w:color w:val="334155"/>
          <w:sz w:val="20"/>
        </w:rPr>
        <w:t>For multi-unit concurrent saving on a central server, POST /api/save_audits merges incoming audit records by auditId (so Unit A saving an audit never overwrites Unit B's audits), while GET /api/load_audits?unit=&lt;unit_code&gt; returns only that unit's audits to unit users and returns all 65+ units' audits to Central Head Office (unit='all').</w:t>
      </w:r>
    </w:p>
    <w:p>
      <w:pPr>
        <w:pStyle w:val="Heading2"/>
      </w:pPr>
      <w:r>
        <w:rPr>
          <w:rFonts w:ascii="Calibri" w:hAnsi="Calibri"/>
          <w:color w:val="0D9488"/>
          <w:sz w:val="25"/>
        </w:rPr>
        <w:t>3.3 Unit-Wise Tariff Isolation vs. Central Rates (All Units / Selected Units)</w:t>
      </w:r>
    </w:p>
    <w:p>
      <w:pPr>
        <w:spacing w:before="40" w:after="100"/>
      </w:pPr>
      <w:r>
        <w:rPr>
          <w:rFonts w:ascii="Calibri" w:hAnsi="Calibri"/>
          <w:b w:val="0"/>
          <w:i w:val="0"/>
          <w:color w:val="1E293B"/>
          <w:sz w:val="20"/>
        </w:rPr>
        <w:t>The Central Data Hub (central_hub/) is designed around a 3-Tier Hub-and-Spoke Tariff Governance Model:</w:t>
      </w:r>
    </w:p>
    <w:p>
      <w:pPr>
        <w:pStyle w:val="ListBullet"/>
        <w:spacing w:before="20" w:after="60"/>
      </w:pPr>
      <w:r>
        <w:rPr>
          <w:rFonts w:ascii="Calibri" w:hAnsi="Calibri"/>
          <w:b/>
          <w:color w:val="0F172A"/>
          <w:sz w:val="20"/>
        </w:rPr>
        <w:t xml:space="preserve">Tier 1 — Unit-Specific Tariffs (Strict Single-Unit Isolation): </w:t>
      </w:r>
      <w:r>
        <w:rPr>
          <w:rFonts w:ascii="Calibri" w:hAnsi="Calibri"/>
          <w:color w:val="334155"/>
          <w:sz w:val="20"/>
        </w:rPr>
        <w:t>When an auditor signs into a hospital unit (e.g., Excelcare, International, Kolkata, Chennai), js/central_hub.js calls GET /api/hub/units/&lt;unit_code&gt;/bundle. The browser downloads ONLY that unit's active SOCs and Agreements. Other units' tariffs are never downloaded or visible in the unit's dropdowns.</w:t>
      </w:r>
    </w:p>
    <w:p>
      <w:pPr>
        <w:pStyle w:val="ListBullet"/>
        <w:spacing w:before="20" w:after="60"/>
      </w:pPr>
      <w:r>
        <w:rPr>
          <w:rFonts w:ascii="Calibri" w:hAnsi="Calibri"/>
          <w:b/>
          <w:color w:val="0F172A"/>
          <w:sz w:val="20"/>
        </w:rPr>
        <w:t xml:space="preserve">Tier 2 — Central Rates for Selected Units (Regional / Multi-Unit Broadcast): </w:t>
      </w:r>
      <w:r>
        <w:rPr>
          <w:rFonts w:ascii="Calibri" w:hAnsi="Calibri"/>
          <w:color w:val="334155"/>
          <w:sz w:val="20"/>
        </w:rPr>
        <w:t>When a corporate MOU, PSU rate card (e.g., OIL India), or Regional TPA schedule applies to a specific subset of units, Head Office selects those target units (target_units: ['international', 'excelcare', ...]) so the SOC or Agreement is published simultaneously to only the selected units.</w:t>
      </w:r>
    </w:p>
    <w:p>
      <w:pPr>
        <w:pStyle w:val="ListBullet"/>
        <w:spacing w:before="20" w:after="60"/>
      </w:pPr>
      <w:r>
        <w:rPr>
          <w:rFonts w:ascii="Calibri" w:hAnsi="Calibri"/>
          <w:b/>
          <w:color w:val="0F172A"/>
          <w:sz w:val="20"/>
        </w:rPr>
        <w:t xml:space="preserve">Tier 3 — Central Rates for All Active Units (Pan-India Broadcast): </w:t>
      </w:r>
      <w:r>
        <w:rPr>
          <w:rFonts w:ascii="Calibri" w:hAnsi="Calibri"/>
          <w:color w:val="334155"/>
          <w:sz w:val="20"/>
        </w:rPr>
        <w:t>When a Pan-India GIPSA policy, National TPA tie-up, or CGHS/ECHS benchmark applies across all units, Head Office deploys with target_units: 'ALL' to broadcast the SOC or Agreement to all active hospital units in one click.</w:t>
      </w:r>
    </w:p>
    <w:p>
      <w:pPr>
        <w:pStyle w:val="ListBullet"/>
        <w:spacing w:before="20" w:after="60"/>
      </w:pPr>
      <w:r>
        <w:rPr>
          <w:rFonts w:ascii="Calibri" w:hAnsi="Calibri"/>
          <w:b/>
          <w:color w:val="0F172A"/>
          <w:sz w:val="20"/>
        </w:rPr>
        <w:t xml:space="preserve">Priority &amp; Override Rule: </w:t>
      </w:r>
      <w:r>
        <w:rPr>
          <w:rFonts w:ascii="Calibri" w:hAnsi="Calibri"/>
          <w:color w:val="334155"/>
          <w:sz w:val="20"/>
        </w:rPr>
        <w:t>Each agreement maps to SOC codes in priority order (hub_agreement_socs.priority). If a unit has a local addendum SOC mapped as Priority 1 and a Central Rate SOC as Priority 2, the unit-specific rate takes priority while automatically falling back to the Central Rate or Unit Default SOC for remaining services.</w:t>
      </w:r>
    </w:p>
    <w:p>
      <w:pPr>
        <w:pStyle w:val="Heading1"/>
      </w:pPr>
      <w:r>
        <w:rPr>
          <w:rFonts w:ascii="Calibri" w:hAnsi="Calibri"/>
          <w:color w:val="004B87"/>
          <w:sz w:val="30"/>
        </w:rPr>
        <w:t>4. Speed, Capacities &amp; Verified Scale Benchmarks</w:t>
      </w:r>
    </w:p>
    <w:p>
      <w:pPr>
        <w:spacing w:before="40" w:after="100"/>
      </w:pPr>
      <w:r>
        <w:rPr>
          <w:rFonts w:ascii="Calibri" w:hAnsi="Calibri"/>
          <w:b w:val="0"/>
          <w:i w:val="0"/>
          <w:color w:val="1E293B"/>
          <w:sz w:val="20"/>
        </w:rPr>
        <w:t>The platform's performance was verified using the automated scale benchmark suite (tools/scale_test.py) simulating 65 hospital units, 1,625 SOC schedules, 9,750,000 service rate lines, and 3,575 payer agreements:</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val="clear" w:color="auto" w:fill="004B87"/>
            <w:tcMar>
              <w:top w:w="110" w:type="dxa"/>
              <w:bottom w:w="110" w:type="dxa"/>
              <w:left w:w="140" w:type="dxa"/>
              <w:right w:w="140" w:type="dxa"/>
            </w:tcMar>
          </w:tcPr>
          <w:p>
            <w:pPr>
              <w:spacing w:before="40" w:after="40"/>
            </w:pPr>
            <w:r/>
            <w:r>
              <w:rPr>
                <w:rFonts w:ascii="Calibri" w:hAnsi="Calibri"/>
                <w:b/>
                <w:color w:val="FFFFFF"/>
                <w:sz w:val="19"/>
              </w:rPr>
              <w:t>Performance / Capacity Metric</w:t>
            </w:r>
          </w:p>
        </w:tc>
        <w:tc>
          <w:tcPr>
            <w:tcW w:type="dxa" w:w="3024"/>
            <w:shd w:val="clear" w:color="auto" w:fill="004B87"/>
            <w:tcMar>
              <w:top w:w="110" w:type="dxa"/>
              <w:bottom w:w="110" w:type="dxa"/>
              <w:left w:w="140" w:type="dxa"/>
              <w:right w:w="140" w:type="dxa"/>
            </w:tcMar>
          </w:tcPr>
          <w:p>
            <w:pPr>
              <w:spacing w:before="40" w:after="40"/>
            </w:pPr>
            <w:r/>
            <w:r>
              <w:rPr>
                <w:rFonts w:ascii="Calibri" w:hAnsi="Calibri"/>
                <w:b/>
                <w:color w:val="FFFFFF"/>
                <w:sz w:val="19"/>
              </w:rPr>
              <w:t>Verified Benchmark Result</w:t>
            </w:r>
          </w:p>
        </w:tc>
        <w:tc>
          <w:tcPr>
            <w:tcW w:type="dxa" w:w="4032"/>
            <w:shd w:val="clear" w:color="auto" w:fill="004B87"/>
            <w:tcMar>
              <w:top w:w="110" w:type="dxa"/>
              <w:bottom w:w="110" w:type="dxa"/>
              <w:left w:w="140" w:type="dxa"/>
              <w:right w:w="140" w:type="dxa"/>
            </w:tcMar>
          </w:tcPr>
          <w:p>
            <w:pPr>
              <w:spacing w:before="40" w:after="40"/>
            </w:pPr>
            <w:r/>
            <w:r>
              <w:rPr>
                <w:rFonts w:ascii="Calibri" w:hAnsi="Calibri"/>
                <w:b/>
                <w:color w:val="FFFFFF"/>
                <w:sz w:val="19"/>
              </w:rPr>
              <w:t>Technical Explanation</w:t>
            </w:r>
          </w:p>
        </w:tc>
      </w:tr>
      <w:tr>
        <w:tc>
          <w:tcPr>
            <w:tcW w:type="dxa" w:w="3024"/>
            <w:shd w:val="clear" w:color="auto" w:fill="FFFFFF"/>
            <w:tcMar>
              <w:top w:w="90" w:type="dxa"/>
              <w:bottom w:w="90" w:type="dxa"/>
              <w:left w:w="130" w:type="dxa"/>
              <w:right w:w="130" w:type="dxa"/>
            </w:tcMar>
          </w:tcPr>
          <w:p>
            <w:pPr>
              <w:spacing w:before="40" w:after="40"/>
            </w:pPr>
            <w:r/>
            <w:r>
              <w:rPr>
                <w:rFonts w:ascii="Calibri" w:hAnsi="Calibri"/>
                <w:b/>
                <w:color w:val="0F172A"/>
                <w:sz w:val="18"/>
              </w:rPr>
              <w:t>Concurrent Hospital Units Supported</w:t>
            </w:r>
          </w:p>
        </w:tc>
        <w:tc>
          <w:tcPr>
            <w:tcW w:type="dxa" w:w="3024"/>
            <w:shd w:val="clear" w:color="auto" w:fill="FFFFFF"/>
            <w:tcMar>
              <w:top w:w="90" w:type="dxa"/>
              <w:bottom w:w="90" w:type="dxa"/>
              <w:left w:w="130" w:type="dxa"/>
              <w:right w:w="130" w:type="dxa"/>
            </w:tcMar>
          </w:tcPr>
          <w:p>
            <w:pPr>
              <w:spacing w:before="40" w:after="40"/>
            </w:pPr>
            <w:r/>
            <w:r>
              <w:rPr>
                <w:rFonts w:ascii="Calibri" w:hAnsi="Calibri"/>
                <w:color w:val="334155"/>
                <w:sz w:val="18"/>
              </w:rPr>
              <w:t>65+ Hospital Units simultaneously</w:t>
            </w:r>
          </w:p>
        </w:tc>
        <w:tc>
          <w:tcPr>
            <w:tcW w:type="dxa" w:w="4032"/>
            <w:shd w:val="clear" w:color="auto" w:fill="FFFFFF"/>
            <w:tcMar>
              <w:top w:w="90" w:type="dxa"/>
              <w:bottom w:w="90" w:type="dxa"/>
              <w:left w:w="130" w:type="dxa"/>
              <w:right w:w="130" w:type="dxa"/>
            </w:tcMar>
          </w:tcPr>
          <w:p>
            <w:pPr>
              <w:spacing w:before="40" w:after="40"/>
            </w:pPr>
            <w:r/>
            <w:r>
              <w:rPr>
                <w:rFonts w:ascii="Calibri" w:hAnsi="Calibri"/>
                <w:color w:val="334155"/>
                <w:sz w:val="18"/>
              </w:rPr>
              <w:t>Client-side auditing in browser RAM + ThreadingHTTPServer with SQLite WAL mode.</w:t>
            </w:r>
          </w:p>
        </w:tc>
      </w:tr>
      <w:tr>
        <w:tc>
          <w:tcPr>
            <w:tcW w:type="dxa" w:w="3024"/>
            <w:shd w:val="clear" w:color="auto" w:fill="F8FAFC"/>
            <w:tcMar>
              <w:top w:w="90" w:type="dxa"/>
              <w:bottom w:w="90" w:type="dxa"/>
              <w:left w:w="130" w:type="dxa"/>
              <w:right w:w="130" w:type="dxa"/>
            </w:tcMar>
          </w:tcPr>
          <w:p>
            <w:pPr>
              <w:spacing w:before="40" w:after="40"/>
            </w:pPr>
            <w:r/>
            <w:r>
              <w:rPr>
                <w:rFonts w:ascii="Calibri" w:hAnsi="Calibri"/>
                <w:b/>
                <w:color w:val="0F172A"/>
                <w:sz w:val="18"/>
              </w:rPr>
              <w:t>Total Tariff Rate Lines Tested</w:t>
            </w:r>
          </w:p>
        </w:tc>
        <w:tc>
          <w:tcPr>
            <w:tcW w:type="dxa" w:w="3024"/>
            <w:shd w:val="clear" w:color="auto" w:fill="F8FAFC"/>
            <w:tcMar>
              <w:top w:w="90" w:type="dxa"/>
              <w:bottom w:w="90" w:type="dxa"/>
              <w:left w:w="130" w:type="dxa"/>
              <w:right w:w="130" w:type="dxa"/>
            </w:tcMar>
          </w:tcPr>
          <w:p>
            <w:pPr>
              <w:spacing w:before="40" w:after="40"/>
            </w:pPr>
            <w:r/>
            <w:r>
              <w:rPr>
                <w:rFonts w:ascii="Calibri" w:hAnsi="Calibri"/>
                <w:color w:val="334155"/>
                <w:sz w:val="18"/>
              </w:rPr>
              <w:t>9,750,000 lines (65 units × 25 SOCs × 6,000 lines)</w:t>
            </w:r>
          </w:p>
        </w:tc>
        <w:tc>
          <w:tcPr>
            <w:tcW w:type="dxa" w:w="4032"/>
            <w:shd w:val="clear" w:color="auto" w:fill="F8FAFC"/>
            <w:tcMar>
              <w:top w:w="90" w:type="dxa"/>
              <w:bottom w:w="90" w:type="dxa"/>
              <w:left w:w="130" w:type="dxa"/>
              <w:right w:w="130" w:type="dxa"/>
            </w:tcMar>
          </w:tcPr>
          <w:p>
            <w:pPr>
              <w:spacing w:before="40" w:after="40"/>
            </w:pPr>
            <w:r/>
            <w:r>
              <w:rPr>
                <w:rFonts w:ascii="Calibri" w:hAnsi="Calibri"/>
                <w:color w:val="334155"/>
                <w:sz w:val="18"/>
              </w:rPr>
              <w:t>Indexed by (soc_id, service_code) in data/central_hub.db (~869 MB on disk at full 65-unit scale).</w:t>
            </w:r>
          </w:p>
        </w:tc>
      </w:tr>
      <w:tr>
        <w:tc>
          <w:tcPr>
            <w:tcW w:type="dxa" w:w="3024"/>
            <w:shd w:val="clear" w:color="auto" w:fill="FFFFFF"/>
            <w:tcMar>
              <w:top w:w="90" w:type="dxa"/>
              <w:bottom w:w="90" w:type="dxa"/>
              <w:left w:w="130" w:type="dxa"/>
              <w:right w:w="130" w:type="dxa"/>
            </w:tcMar>
          </w:tcPr>
          <w:p>
            <w:pPr>
              <w:spacing w:before="40" w:after="40"/>
            </w:pPr>
            <w:r/>
            <w:r>
              <w:rPr>
                <w:rFonts w:ascii="Calibri" w:hAnsi="Calibri"/>
                <w:b/>
                <w:color w:val="0F172A"/>
                <w:sz w:val="18"/>
              </w:rPr>
              <w:t>Current Pre-Seeded Database Size</w:t>
            </w:r>
          </w:p>
        </w:tc>
        <w:tc>
          <w:tcPr>
            <w:tcW w:type="dxa" w:w="3024"/>
            <w:shd w:val="clear" w:color="auto" w:fill="FFFFFF"/>
            <w:tcMar>
              <w:top w:w="90" w:type="dxa"/>
              <w:bottom w:w="90" w:type="dxa"/>
              <w:left w:w="130" w:type="dxa"/>
              <w:right w:w="130" w:type="dxa"/>
            </w:tcMar>
          </w:tcPr>
          <w:p>
            <w:pPr>
              <w:spacing w:before="40" w:after="40"/>
            </w:pPr>
            <w:r/>
            <w:r>
              <w:rPr>
                <w:rFonts w:ascii="Calibri" w:hAnsi="Calibri"/>
                <w:color w:val="334155"/>
                <w:sz w:val="18"/>
              </w:rPr>
              <w:t>3 Units | 24 SOCs | 85,575 Lines | 1,021 Agreements</w:t>
            </w:r>
          </w:p>
        </w:tc>
        <w:tc>
          <w:tcPr>
            <w:tcW w:type="dxa" w:w="4032"/>
            <w:shd w:val="clear" w:color="auto" w:fill="FFFFFF"/>
            <w:tcMar>
              <w:top w:w="90" w:type="dxa"/>
              <w:bottom w:w="90" w:type="dxa"/>
              <w:left w:w="130" w:type="dxa"/>
              <w:right w:w="130" w:type="dxa"/>
            </w:tcMar>
          </w:tcPr>
          <w:p>
            <w:pPr>
              <w:spacing w:before="40" w:after="40"/>
            </w:pPr>
            <w:r/>
            <w:r>
              <w:rPr>
                <w:rFonts w:ascii="Calibri" w:hAnsi="Calibri"/>
                <w:color w:val="334155"/>
                <w:sz w:val="18"/>
              </w:rPr>
              <w:t>Pre-seeded in data/central_hub.db (~16 MB) from tariff_data.js.</w:t>
            </w:r>
          </w:p>
        </w:tc>
      </w:tr>
      <w:tr>
        <w:tc>
          <w:tcPr>
            <w:tcW w:type="dxa" w:w="3024"/>
            <w:shd w:val="clear" w:color="auto" w:fill="F8FAFC"/>
            <w:tcMar>
              <w:top w:w="90" w:type="dxa"/>
              <w:bottom w:w="90" w:type="dxa"/>
              <w:left w:w="130" w:type="dxa"/>
              <w:right w:w="130" w:type="dxa"/>
            </w:tcMar>
          </w:tcPr>
          <w:p>
            <w:pPr>
              <w:spacing w:before="40" w:after="40"/>
            </w:pPr>
            <w:r/>
            <w:r>
              <w:rPr>
                <w:rFonts w:ascii="Calibri" w:hAnsi="Calibri"/>
                <w:b/>
                <w:color w:val="0F172A"/>
                <w:sz w:val="18"/>
              </w:rPr>
              <w:t>Unit Login Bundle Latency</w:t>
            </w:r>
          </w:p>
        </w:tc>
        <w:tc>
          <w:tcPr>
            <w:tcW w:type="dxa" w:w="3024"/>
            <w:shd w:val="clear" w:color="auto" w:fill="F8FAFC"/>
            <w:tcMar>
              <w:top w:w="90" w:type="dxa"/>
              <w:bottom w:w="90" w:type="dxa"/>
              <w:left w:w="130" w:type="dxa"/>
              <w:right w:w="130" w:type="dxa"/>
            </w:tcMar>
          </w:tcPr>
          <w:p>
            <w:pPr>
              <w:spacing w:before="40" w:after="40"/>
            </w:pPr>
            <w:r/>
            <w:r>
              <w:rPr>
                <w:rFonts w:ascii="Calibri" w:hAnsi="Calibri"/>
                <w:color w:val="334155"/>
                <w:sz w:val="18"/>
              </w:rPr>
              <w:t>3 milliseconds (GET /api/hub/units/&lt;unit&gt;/bundle)</w:t>
            </w:r>
          </w:p>
        </w:tc>
        <w:tc>
          <w:tcPr>
            <w:tcW w:type="dxa" w:w="4032"/>
            <w:shd w:val="clear" w:color="auto" w:fill="F8FAFC"/>
            <w:tcMar>
              <w:top w:w="90" w:type="dxa"/>
              <w:bottom w:w="90" w:type="dxa"/>
              <w:left w:w="130" w:type="dxa"/>
              <w:right w:w="130" w:type="dxa"/>
            </w:tcMar>
          </w:tcPr>
          <w:p>
            <w:pPr>
              <w:spacing w:before="40" w:after="40"/>
            </w:pPr>
            <w:r/>
            <w:r>
              <w:rPr>
                <w:rFonts w:ascii="Calibri" w:hAnsi="Calibri"/>
                <w:color w:val="334155"/>
                <w:sz w:val="18"/>
              </w:rPr>
              <w:t>Fetches unit metadata, active SOC manifest, and active agreements.</w:t>
            </w:r>
          </w:p>
        </w:tc>
      </w:tr>
      <w:tr>
        <w:tc>
          <w:tcPr>
            <w:tcW w:type="dxa" w:w="3024"/>
            <w:shd w:val="clear" w:color="auto" w:fill="FFFFFF"/>
            <w:tcMar>
              <w:top w:w="90" w:type="dxa"/>
              <w:bottom w:w="90" w:type="dxa"/>
              <w:left w:w="130" w:type="dxa"/>
              <w:right w:w="130" w:type="dxa"/>
            </w:tcMar>
          </w:tcPr>
          <w:p>
            <w:pPr>
              <w:spacing w:before="40" w:after="40"/>
            </w:pPr>
            <w:r/>
            <w:r>
              <w:rPr>
                <w:rFonts w:ascii="Calibri" w:hAnsi="Calibri"/>
                <w:b/>
                <w:color w:val="0F172A"/>
                <w:sz w:val="18"/>
              </w:rPr>
              <w:t>Cold Download of 25 SOCs for a Unit</w:t>
            </w:r>
          </w:p>
        </w:tc>
        <w:tc>
          <w:tcPr>
            <w:tcW w:type="dxa" w:w="3024"/>
            <w:shd w:val="clear" w:color="auto" w:fill="FFFFFF"/>
            <w:tcMar>
              <w:top w:w="90" w:type="dxa"/>
              <w:bottom w:w="90" w:type="dxa"/>
              <w:left w:w="130" w:type="dxa"/>
              <w:right w:w="130" w:type="dxa"/>
            </w:tcMar>
          </w:tcPr>
          <w:p>
            <w:pPr>
              <w:spacing w:before="40" w:after="40"/>
            </w:pPr>
            <w:r/>
            <w:r>
              <w:rPr>
                <w:rFonts w:ascii="Calibri" w:hAnsi="Calibri"/>
                <w:color w:val="334155"/>
                <w:sz w:val="18"/>
              </w:rPr>
              <w:t>0.50 seconds (~2–3 MB Gzipped JSON)</w:t>
            </w:r>
          </w:p>
        </w:tc>
        <w:tc>
          <w:tcPr>
            <w:tcW w:type="dxa" w:w="4032"/>
            <w:shd w:val="clear" w:color="auto" w:fill="FFFFFF"/>
            <w:tcMar>
              <w:top w:w="90" w:type="dxa"/>
              <w:bottom w:w="90" w:type="dxa"/>
              <w:left w:w="130" w:type="dxa"/>
              <w:right w:w="130" w:type="dxa"/>
            </w:tcMar>
          </w:tcPr>
          <w:p>
            <w:pPr>
              <w:spacing w:before="40" w:after="40"/>
            </w:pPr>
            <w:r/>
            <w:r>
              <w:rPr>
                <w:rFonts w:ascii="Calibri" w:hAnsi="Calibri"/>
                <w:color w:val="334155"/>
                <w:sz w:val="18"/>
              </w:rPr>
              <w:t>Happens only on first login or when Head Office publishes a new SOC version.</w:t>
            </w:r>
          </w:p>
        </w:tc>
      </w:tr>
      <w:tr>
        <w:tc>
          <w:tcPr>
            <w:tcW w:type="dxa" w:w="3024"/>
            <w:shd w:val="clear" w:color="auto" w:fill="F8FAFC"/>
            <w:tcMar>
              <w:top w:w="90" w:type="dxa"/>
              <w:bottom w:w="90" w:type="dxa"/>
              <w:left w:w="130" w:type="dxa"/>
              <w:right w:w="130" w:type="dxa"/>
            </w:tcMar>
          </w:tcPr>
          <w:p>
            <w:pPr>
              <w:spacing w:before="40" w:after="40"/>
            </w:pPr>
            <w:r/>
            <w:r>
              <w:rPr>
                <w:rFonts w:ascii="Calibri" w:hAnsi="Calibri"/>
                <w:b/>
                <w:color w:val="0F172A"/>
                <w:sz w:val="18"/>
              </w:rPr>
              <w:t>Warm Login (IndexedDB Cache Hit)</w:t>
            </w:r>
          </w:p>
        </w:tc>
        <w:tc>
          <w:tcPr>
            <w:tcW w:type="dxa" w:w="3024"/>
            <w:shd w:val="clear" w:color="auto" w:fill="F8FAFC"/>
            <w:tcMar>
              <w:top w:w="90" w:type="dxa"/>
              <w:bottom w:w="90" w:type="dxa"/>
              <w:left w:w="130" w:type="dxa"/>
              <w:right w:w="130" w:type="dxa"/>
            </w:tcMar>
          </w:tcPr>
          <w:p>
            <w:pPr>
              <w:spacing w:before="40" w:after="40"/>
            </w:pPr>
            <w:r/>
            <w:r>
              <w:rPr>
                <w:rFonts w:ascii="Calibri" w:hAnsi="Calibri"/>
                <w:color w:val="334155"/>
                <w:sz w:val="18"/>
              </w:rPr>
              <w:t>&lt; 15 milliseconds</w:t>
            </w:r>
          </w:p>
        </w:tc>
        <w:tc>
          <w:tcPr>
            <w:tcW w:type="dxa" w:w="4032"/>
            <w:shd w:val="clear" w:color="auto" w:fill="F8FAFC"/>
            <w:tcMar>
              <w:top w:w="90" w:type="dxa"/>
              <w:bottom w:w="90" w:type="dxa"/>
              <w:left w:w="130" w:type="dxa"/>
              <w:right w:w="130" w:type="dxa"/>
            </w:tcMar>
          </w:tcPr>
          <w:p>
            <w:pPr>
              <w:spacing w:before="40" w:after="40"/>
            </w:pPr>
            <w:r/>
            <w:r>
              <w:rPr>
                <w:rFonts w:ascii="Calibri" w:hAnsi="Calibri"/>
                <w:color w:val="334155"/>
                <w:sz w:val="18"/>
              </w:rPr>
              <w:t>Browser IndexedDB verifies SHA-1 checksum (&lt;soc_id&gt;:&lt;checksum&gt;) and loads locally.</w:t>
            </w:r>
          </w:p>
        </w:tc>
      </w:tr>
      <w:tr>
        <w:tc>
          <w:tcPr>
            <w:tcW w:type="dxa" w:w="3024"/>
            <w:shd w:val="clear" w:color="auto" w:fill="FFFFFF"/>
            <w:tcMar>
              <w:top w:w="90" w:type="dxa"/>
              <w:bottom w:w="90" w:type="dxa"/>
              <w:left w:w="130" w:type="dxa"/>
              <w:right w:w="130" w:type="dxa"/>
            </w:tcMar>
          </w:tcPr>
          <w:p>
            <w:pPr>
              <w:spacing w:before="40" w:after="40"/>
            </w:pPr>
            <w:r/>
            <w:r>
              <w:rPr>
                <w:rFonts w:ascii="Calibri" w:hAnsi="Calibri"/>
                <w:b/>
                <w:color w:val="0F172A"/>
                <w:sz w:val="18"/>
              </w:rPr>
              <w:t>SOC Version Upload Speed (6,000 lines)</w:t>
            </w:r>
          </w:p>
        </w:tc>
        <w:tc>
          <w:tcPr>
            <w:tcW w:type="dxa" w:w="3024"/>
            <w:shd w:val="clear" w:color="auto" w:fill="FFFFFF"/>
            <w:tcMar>
              <w:top w:w="90" w:type="dxa"/>
              <w:bottom w:w="90" w:type="dxa"/>
              <w:left w:w="130" w:type="dxa"/>
              <w:right w:w="130" w:type="dxa"/>
            </w:tcMar>
          </w:tcPr>
          <w:p>
            <w:pPr>
              <w:spacing w:before="40" w:after="40"/>
            </w:pPr>
            <w:r/>
            <w:r>
              <w:rPr>
                <w:rFonts w:ascii="Calibri" w:hAnsi="Calibri"/>
                <w:color w:val="334155"/>
                <w:sz w:val="18"/>
              </w:rPr>
              <w:t>0.07 seconds (70 ms)</w:t>
            </w:r>
          </w:p>
        </w:tc>
        <w:tc>
          <w:tcPr>
            <w:tcW w:type="dxa" w:w="4032"/>
            <w:shd w:val="clear" w:color="auto" w:fill="FFFFFF"/>
            <w:tcMar>
              <w:top w:w="90" w:type="dxa"/>
              <w:bottom w:w="90" w:type="dxa"/>
              <w:left w:w="130" w:type="dxa"/>
              <w:right w:w="130" w:type="dxa"/>
            </w:tcMar>
          </w:tcPr>
          <w:p>
            <w:pPr>
              <w:spacing w:before="40" w:after="40"/>
            </w:pPr>
            <w:r/>
            <w:r>
              <w:rPr>
                <w:rFonts w:ascii="Calibri" w:hAnsi="Calibri"/>
                <w:color w:val="334155"/>
                <w:sz w:val="18"/>
              </w:rPr>
              <w:t>Single-transaction batch insert into hub_soc_lines with automatic version increment.</w:t>
            </w:r>
          </w:p>
        </w:tc>
      </w:tr>
      <w:tr>
        <w:tc>
          <w:tcPr>
            <w:tcW w:type="dxa" w:w="3024"/>
            <w:shd w:val="clear" w:color="auto" w:fill="F8FAFC"/>
            <w:tcMar>
              <w:top w:w="90" w:type="dxa"/>
              <w:bottom w:w="90" w:type="dxa"/>
              <w:left w:w="130" w:type="dxa"/>
              <w:right w:w="130" w:type="dxa"/>
            </w:tcMar>
          </w:tcPr>
          <w:p>
            <w:pPr>
              <w:spacing w:before="40" w:after="40"/>
            </w:pPr>
            <w:r/>
            <w:r>
              <w:rPr>
                <w:rFonts w:ascii="Calibri" w:hAnsi="Calibri"/>
                <w:b/>
                <w:color w:val="0F172A"/>
                <w:sz w:val="18"/>
              </w:rPr>
              <w:t>Client-Side Bill Auditing Speed</w:t>
            </w:r>
          </w:p>
        </w:tc>
        <w:tc>
          <w:tcPr>
            <w:tcW w:type="dxa" w:w="3024"/>
            <w:shd w:val="clear" w:color="auto" w:fill="F8FAFC"/>
            <w:tcMar>
              <w:top w:w="90" w:type="dxa"/>
              <w:bottom w:w="90" w:type="dxa"/>
              <w:left w:w="130" w:type="dxa"/>
              <w:right w:w="130" w:type="dxa"/>
            </w:tcMar>
          </w:tcPr>
          <w:p>
            <w:pPr>
              <w:spacing w:before="40" w:after="40"/>
            </w:pPr>
            <w:r/>
            <w:r>
              <w:rPr>
                <w:rFonts w:ascii="Calibri" w:hAnsi="Calibri"/>
                <w:color w:val="334155"/>
                <w:sz w:val="18"/>
              </w:rPr>
              <w:t>1,000 to 10,000+ bill lines in &lt; 0.3 – 1.2 seconds</w:t>
            </w:r>
          </w:p>
        </w:tc>
        <w:tc>
          <w:tcPr>
            <w:tcW w:type="dxa" w:w="4032"/>
            <w:shd w:val="clear" w:color="auto" w:fill="F8FAFC"/>
            <w:tcMar>
              <w:top w:w="90" w:type="dxa"/>
              <w:bottom w:w="90" w:type="dxa"/>
              <w:left w:w="130" w:type="dxa"/>
              <w:right w:w="130" w:type="dxa"/>
            </w:tcMar>
          </w:tcPr>
          <w:p>
            <w:pPr>
              <w:spacing w:before="40" w:after="40"/>
            </w:pPr>
            <w:r/>
            <w:r>
              <w:rPr>
                <w:rFonts w:ascii="Calibri" w:hAnsi="Calibri"/>
                <w:color w:val="334155"/>
                <w:sz w:val="18"/>
              </w:rPr>
              <w:t>O(1) hash-map lookup per service code in browser memory; zero network round-trips during audit.</w:t>
            </w:r>
          </w:p>
        </w:tc>
      </w:tr>
      <w:tr>
        <w:tc>
          <w:tcPr>
            <w:tcW w:type="dxa" w:w="3024"/>
            <w:shd w:val="clear" w:color="auto" w:fill="FFFFFF"/>
            <w:tcMar>
              <w:top w:w="90" w:type="dxa"/>
              <w:bottom w:w="90" w:type="dxa"/>
              <w:left w:w="130" w:type="dxa"/>
              <w:right w:w="130" w:type="dxa"/>
            </w:tcMar>
          </w:tcPr>
          <w:p>
            <w:pPr>
              <w:spacing w:before="40" w:after="40"/>
            </w:pPr>
            <w:r/>
            <w:r>
              <w:rPr>
                <w:rFonts w:ascii="Calibri" w:hAnsi="Calibri"/>
                <w:b/>
                <w:color w:val="0F172A"/>
                <w:sz w:val="18"/>
              </w:rPr>
              <w:t>Maximum Single Upload Payload</w:t>
            </w:r>
          </w:p>
        </w:tc>
        <w:tc>
          <w:tcPr>
            <w:tcW w:type="dxa" w:w="3024"/>
            <w:shd w:val="clear" w:color="auto" w:fill="FFFFFF"/>
            <w:tcMar>
              <w:top w:w="90" w:type="dxa"/>
              <w:bottom w:w="90" w:type="dxa"/>
              <w:left w:w="130" w:type="dxa"/>
              <w:right w:w="130" w:type="dxa"/>
            </w:tcMar>
          </w:tcPr>
          <w:p>
            <w:pPr>
              <w:spacing w:before="40" w:after="40"/>
            </w:pPr>
            <w:r/>
            <w:r>
              <w:rPr>
                <w:rFonts w:ascii="Calibri" w:hAnsi="Calibri"/>
                <w:color w:val="334155"/>
                <w:sz w:val="18"/>
              </w:rPr>
              <w:t>60 MB per HTTP POST request</w:t>
            </w:r>
          </w:p>
        </w:tc>
        <w:tc>
          <w:tcPr>
            <w:tcW w:type="dxa" w:w="4032"/>
            <w:shd w:val="clear" w:color="auto" w:fill="FFFFFF"/>
            <w:tcMar>
              <w:top w:w="90" w:type="dxa"/>
              <w:bottom w:w="90" w:type="dxa"/>
              <w:left w:w="130" w:type="dxa"/>
              <w:right w:w="130" w:type="dxa"/>
            </w:tcMar>
          </w:tcPr>
          <w:p>
            <w:pPr>
              <w:spacing w:before="40" w:after="40"/>
            </w:pPr>
            <w:r/>
            <w:r>
              <w:rPr>
                <w:rFonts w:ascii="Calibri" w:hAnsi="Calibri"/>
                <w:color w:val="334155"/>
                <w:sz w:val="18"/>
              </w:rPr>
              <w:t>Configured via MAX_BODY_BYTES = 60 * 1024 * 1024 in central_hub/api.py.</w:t>
            </w:r>
          </w:p>
        </w:tc>
      </w:tr>
      <w:tr>
        <w:tc>
          <w:tcPr>
            <w:tcW w:type="dxa" w:w="3024"/>
            <w:shd w:val="clear" w:color="auto" w:fill="F8FAFC"/>
            <w:tcMar>
              <w:top w:w="90" w:type="dxa"/>
              <w:bottom w:w="90" w:type="dxa"/>
              <w:left w:w="130" w:type="dxa"/>
              <w:right w:w="130" w:type="dxa"/>
            </w:tcMar>
          </w:tcPr>
          <w:p>
            <w:pPr>
              <w:spacing w:before="40" w:after="40"/>
            </w:pPr>
            <w:r/>
            <w:r>
              <w:rPr>
                <w:rFonts w:ascii="Calibri" w:hAnsi="Calibri"/>
                <w:b/>
                <w:color w:val="0F172A"/>
                <w:sz w:val="18"/>
              </w:rPr>
              <w:t>Tariff Ingester Preview Capacity</w:t>
            </w:r>
          </w:p>
        </w:tc>
        <w:tc>
          <w:tcPr>
            <w:tcW w:type="dxa" w:w="3024"/>
            <w:shd w:val="clear" w:color="auto" w:fill="F8FAFC"/>
            <w:tcMar>
              <w:top w:w="90" w:type="dxa"/>
              <w:bottom w:w="90" w:type="dxa"/>
              <w:left w:w="130" w:type="dxa"/>
              <w:right w:w="130" w:type="dxa"/>
            </w:tcMar>
          </w:tcPr>
          <w:p>
            <w:pPr>
              <w:spacing w:before="40" w:after="40"/>
            </w:pPr>
            <w:r/>
            <w:r>
              <w:rPr>
                <w:rFonts w:ascii="Calibri" w:hAnsi="Calibri"/>
                <w:color w:val="334155"/>
                <w:sz w:val="18"/>
              </w:rPr>
              <w:t>Unlimited ('Show All Rows', 500, 1,000, 2,500, 5,000)</w:t>
            </w:r>
          </w:p>
        </w:tc>
        <w:tc>
          <w:tcPr>
            <w:tcW w:type="dxa" w:w="4032"/>
            <w:shd w:val="clear" w:color="auto" w:fill="F8FAFC"/>
            <w:tcMar>
              <w:top w:w="90" w:type="dxa"/>
              <w:bottom w:w="90" w:type="dxa"/>
              <w:left w:w="130" w:type="dxa"/>
              <w:right w:w="130" w:type="dxa"/>
            </w:tcMar>
          </w:tcPr>
          <w:p>
            <w:pPr>
              <w:spacing w:before="40" w:after="40"/>
            </w:pPr>
            <w:r/>
            <w:r>
              <w:rPr>
                <w:rFonts w:ascii="Calibri" w:hAnsi="Calibri"/>
                <w:color w:val="334155"/>
                <w:sz w:val="18"/>
              </w:rPr>
              <w:t>Supports instant inline expansion of 6+ ward rate tiers per service row.</w:t>
            </w:r>
          </w:p>
        </w:tc>
      </w:tr>
    </w:tbl>
    <w:p/>
    <w:p>
      <w:pPr>
        <w:pStyle w:val="Heading1"/>
      </w:pPr>
      <w:r>
        <w:rPr>
          <w:rFonts w:ascii="Calibri" w:hAnsi="Calibri"/>
          <w:color w:val="004B87"/>
          <w:sz w:val="30"/>
        </w:rPr>
        <w:t>5. Current Limitations &amp; Next-Stage Enterprise Roadmap</w:t>
      </w:r>
    </w:p>
    <w:p>
      <w:pPr>
        <w:spacing w:before="40" w:after="100"/>
      </w:pPr>
      <w:r>
        <w:rPr>
          <w:rFonts w:ascii="Calibri" w:hAnsi="Calibri"/>
          <w:b w:val="0"/>
          <w:i w:val="0"/>
          <w:color w:val="1E293B"/>
          <w:sz w:val="20"/>
        </w:rPr>
        <w:t>Below is a transparent summary of current architectural boundaries and the recommended enhancements when scaling to a corporate-wide production deployment across Apollo:</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val="clear" w:color="auto" w:fill="004B87"/>
            <w:tcMar>
              <w:top w:w="110" w:type="dxa"/>
              <w:bottom w:w="110" w:type="dxa"/>
              <w:left w:w="140" w:type="dxa"/>
              <w:right w:w="140" w:type="dxa"/>
            </w:tcMar>
          </w:tcPr>
          <w:p>
            <w:pPr>
              <w:spacing w:before="40" w:after="40"/>
            </w:pPr>
            <w:r/>
            <w:r>
              <w:rPr>
                <w:rFonts w:ascii="Calibri" w:hAnsi="Calibri"/>
                <w:b/>
                <w:color w:val="FFFFFF"/>
                <w:sz w:val="19"/>
              </w:rPr>
              <w:t>Area / Limitation</w:t>
            </w:r>
          </w:p>
        </w:tc>
        <w:tc>
          <w:tcPr>
            <w:tcW w:type="dxa" w:w="3600"/>
            <w:shd w:val="clear" w:color="auto" w:fill="004B87"/>
            <w:tcMar>
              <w:top w:w="110" w:type="dxa"/>
              <w:bottom w:w="110" w:type="dxa"/>
              <w:left w:w="140" w:type="dxa"/>
              <w:right w:w="140" w:type="dxa"/>
            </w:tcMar>
          </w:tcPr>
          <w:p>
            <w:pPr>
              <w:spacing w:before="40" w:after="40"/>
            </w:pPr>
            <w:r/>
            <w:r>
              <w:rPr>
                <w:rFonts w:ascii="Calibri" w:hAnsi="Calibri"/>
                <w:b/>
                <w:color w:val="FFFFFF"/>
                <w:sz w:val="19"/>
              </w:rPr>
              <w:t>Current Behavior in V2.5.2</w:t>
            </w:r>
          </w:p>
        </w:tc>
        <w:tc>
          <w:tcPr>
            <w:tcW w:type="dxa" w:w="4032"/>
            <w:shd w:val="clear" w:color="auto" w:fill="004B87"/>
            <w:tcMar>
              <w:top w:w="110" w:type="dxa"/>
              <w:bottom w:w="110" w:type="dxa"/>
              <w:left w:w="140" w:type="dxa"/>
              <w:right w:w="140" w:type="dxa"/>
            </w:tcMar>
          </w:tcPr>
          <w:p>
            <w:pPr>
              <w:spacing w:before="40" w:after="40"/>
            </w:pPr>
            <w:r/>
            <w:r>
              <w:rPr>
                <w:rFonts w:ascii="Calibri" w:hAnsi="Calibri"/>
                <w:b/>
                <w:color w:val="FFFFFF"/>
                <w:sz w:val="19"/>
              </w:rPr>
              <w:t>Recommended Enterprise Upgrade Path</w:t>
            </w:r>
          </w:p>
        </w:tc>
      </w:tr>
      <w:tr>
        <w:tc>
          <w:tcPr>
            <w:tcW w:type="dxa" w:w="2448"/>
            <w:shd w:val="clear" w:color="auto" w:fill="FFFFFF"/>
            <w:tcMar>
              <w:top w:w="90" w:type="dxa"/>
              <w:bottom w:w="90" w:type="dxa"/>
              <w:left w:w="130" w:type="dxa"/>
              <w:right w:w="130" w:type="dxa"/>
            </w:tcMar>
          </w:tcPr>
          <w:p>
            <w:pPr>
              <w:spacing w:before="40" w:after="40"/>
            </w:pPr>
            <w:r/>
            <w:r>
              <w:rPr>
                <w:rFonts w:ascii="Calibri" w:hAnsi="Calibri"/>
                <w:b/>
                <w:color w:val="0F172A"/>
                <w:sz w:val="18"/>
              </w:rPr>
              <w:t>1. Unit-Level User Authentication</w:t>
            </w:r>
          </w:p>
        </w:tc>
        <w:tc>
          <w:tcPr>
            <w:tcW w:type="dxa" w:w="3600"/>
            <w:shd w:val="clear" w:color="auto" w:fill="FFFFFF"/>
            <w:tcMar>
              <w:top w:w="90" w:type="dxa"/>
              <w:bottom w:w="90" w:type="dxa"/>
              <w:left w:w="130" w:type="dxa"/>
              <w:right w:w="130" w:type="dxa"/>
            </w:tcMar>
          </w:tcPr>
          <w:p>
            <w:pPr>
              <w:spacing w:before="40" w:after="40"/>
            </w:pPr>
            <w:r/>
            <w:r>
              <w:rPr>
                <w:rFonts w:ascii="Calibri" w:hAnsi="Calibri"/>
                <w:color w:val="334155"/>
                <w:sz w:val="18"/>
              </w:rPr>
              <w:t>Head Office Central Admin IDs are verified server-side using PBKDF2-HMAC-SHA256 (central_hub/auth.py). However, standard unit logins (Viewer/Auditor/Approver) are currently verified in browser JS against SHA-256 hashes from /api/load_users (saved_users.json).</w:t>
            </w:r>
          </w:p>
        </w:tc>
        <w:tc>
          <w:tcPr>
            <w:tcW w:type="dxa" w:w="4032"/>
            <w:shd w:val="clear" w:color="auto" w:fill="FFFFFF"/>
            <w:tcMar>
              <w:top w:w="90" w:type="dxa"/>
              <w:bottom w:w="90" w:type="dxa"/>
              <w:left w:w="130" w:type="dxa"/>
              <w:right w:w="130" w:type="dxa"/>
            </w:tcMar>
          </w:tcPr>
          <w:p>
            <w:pPr>
              <w:spacing w:before="40" w:after="40"/>
            </w:pPr>
            <w:r/>
            <w:r>
              <w:rPr>
                <w:rFonts w:ascii="Calibri" w:hAnsi="Calibri"/>
                <w:color w:val="334155"/>
                <w:sz w:val="18"/>
              </w:rPr>
              <w:t>Move unit user accounts into the server-side hub_users table with PBKDF2 hashing and server session tokens, or integrate Azure AD (Entra ID) SSO OIDC token validation in central_hub/auth.py.</w:t>
            </w:r>
          </w:p>
        </w:tc>
      </w:tr>
      <w:tr>
        <w:tc>
          <w:tcPr>
            <w:tcW w:type="dxa" w:w="2448"/>
            <w:shd w:val="clear" w:color="auto" w:fill="F8FAFC"/>
            <w:tcMar>
              <w:top w:w="90" w:type="dxa"/>
              <w:bottom w:w="90" w:type="dxa"/>
              <w:left w:w="130" w:type="dxa"/>
              <w:right w:w="130" w:type="dxa"/>
            </w:tcMar>
          </w:tcPr>
          <w:p>
            <w:pPr>
              <w:spacing w:before="40" w:after="40"/>
            </w:pPr>
            <w:r/>
            <w:r>
              <w:rPr>
                <w:rFonts w:ascii="Calibri" w:hAnsi="Calibri"/>
                <w:b/>
                <w:color w:val="0F172A"/>
                <w:sz w:val="18"/>
              </w:rPr>
              <w:t>2. Unauthenticated Read Endpoints on Intranet</w:t>
            </w:r>
          </w:p>
        </w:tc>
        <w:tc>
          <w:tcPr>
            <w:tcW w:type="dxa" w:w="3600"/>
            <w:shd w:val="clear" w:color="auto" w:fill="F8FAFC"/>
            <w:tcMar>
              <w:top w:w="90" w:type="dxa"/>
              <w:bottom w:w="90" w:type="dxa"/>
              <w:left w:w="130" w:type="dxa"/>
              <w:right w:w="130" w:type="dxa"/>
            </w:tcMar>
          </w:tcPr>
          <w:p>
            <w:pPr>
              <w:spacing w:before="40" w:after="40"/>
            </w:pPr>
            <w:r/>
            <w:r>
              <w:rPr>
                <w:rFonts w:ascii="Calibri" w:hAnsi="Calibri"/>
                <w:color w:val="334155"/>
                <w:sz w:val="18"/>
              </w:rPr>
              <w:t>Write endpoints (/api/hub/admin/*) strictly require a Bearer token, while read endpoints (/api/hub/units/*) are open to clients on the hospital intranet (similar to static tariff_data.js).</w:t>
            </w:r>
          </w:p>
        </w:tc>
        <w:tc>
          <w:tcPr>
            <w:tcW w:type="dxa" w:w="4032"/>
            <w:shd w:val="clear" w:color="auto" w:fill="F8FAFC"/>
            <w:tcMar>
              <w:top w:w="90" w:type="dxa"/>
              <w:bottom w:w="90" w:type="dxa"/>
              <w:left w:w="130" w:type="dxa"/>
              <w:right w:w="130" w:type="dxa"/>
            </w:tcMar>
          </w:tcPr>
          <w:p>
            <w:pPr>
              <w:spacing w:before="40" w:after="40"/>
            </w:pPr>
            <w:r/>
            <w:r>
              <w:rPr>
                <w:rFonts w:ascii="Calibri" w:hAnsi="Calibri"/>
                <w:color w:val="334155"/>
                <w:sz w:val="18"/>
              </w:rPr>
              <w:t>Require a valid unit or SSO session token on /api/hub/units/&lt;unit&gt;/bundle and /api/hub/socs/&lt;id&gt;/lines once server-side unit sessions are enabled.</w:t>
            </w:r>
          </w:p>
        </w:tc>
      </w:tr>
      <w:tr>
        <w:tc>
          <w:tcPr>
            <w:tcW w:type="dxa" w:w="2448"/>
            <w:shd w:val="clear" w:color="auto" w:fill="FFFFFF"/>
            <w:tcMar>
              <w:top w:w="90" w:type="dxa"/>
              <w:bottom w:w="90" w:type="dxa"/>
              <w:left w:w="130" w:type="dxa"/>
              <w:right w:w="130" w:type="dxa"/>
            </w:tcMar>
          </w:tcPr>
          <w:p>
            <w:pPr>
              <w:spacing w:before="40" w:after="40"/>
            </w:pPr>
            <w:r/>
            <w:r>
              <w:rPr>
                <w:rFonts w:ascii="Calibri" w:hAnsi="Calibri"/>
                <w:b/>
                <w:color w:val="0F172A"/>
                <w:sz w:val="18"/>
              </w:rPr>
              <w:t>3. Static tariff_data.js (17 MB) Initial Load</w:t>
            </w:r>
          </w:p>
        </w:tc>
        <w:tc>
          <w:tcPr>
            <w:tcW w:type="dxa" w:w="3600"/>
            <w:shd w:val="clear" w:color="auto" w:fill="FFFFFF"/>
            <w:tcMar>
              <w:top w:w="90" w:type="dxa"/>
              <w:bottom w:w="90" w:type="dxa"/>
              <w:left w:w="130" w:type="dxa"/>
              <w:right w:w="130" w:type="dxa"/>
            </w:tcMar>
          </w:tcPr>
          <w:p>
            <w:pPr>
              <w:spacing w:before="40" w:after="40"/>
            </w:pPr>
            <w:r/>
            <w:r>
              <w:rPr>
                <w:rFonts w:ascii="Calibri" w:hAnsi="Calibri"/>
                <w:color w:val="334155"/>
                <w:sz w:val="18"/>
              </w:rPr>
              <w:t>tariff_data.js is included in index.html for the 3 built-in library units (International, Excelcare, Kolkata). Browsers cache it after the first visit, but the first cold page load transfers ~17 MB (~3 MB gzipped).</w:t>
            </w:r>
          </w:p>
        </w:tc>
        <w:tc>
          <w:tcPr>
            <w:tcW w:type="dxa" w:w="4032"/>
            <w:shd w:val="clear" w:color="auto" w:fill="FFFFFF"/>
            <w:tcMar>
              <w:top w:w="90" w:type="dxa"/>
              <w:bottom w:w="90" w:type="dxa"/>
              <w:left w:w="130" w:type="dxa"/>
              <w:right w:w="130" w:type="dxa"/>
            </w:tcMar>
          </w:tcPr>
          <w:p>
            <w:pPr>
              <w:spacing w:before="40" w:after="40"/>
            </w:pPr>
            <w:r/>
            <w:r>
              <w:rPr>
                <w:rFonts w:ascii="Calibri" w:hAnsi="Calibri"/>
                <w:color w:val="334155"/>
                <w:sz w:val="18"/>
              </w:rPr>
              <w:t>Lazy-load tariff_data.js only when a user logs into one of the 3 legacy library units, or migrate the remaining custom unit rules into central_hub.db so tariff_data.js is no longer needed on the client.</w:t>
            </w:r>
          </w:p>
        </w:tc>
      </w:tr>
      <w:tr>
        <w:tc>
          <w:tcPr>
            <w:tcW w:type="dxa" w:w="2448"/>
            <w:shd w:val="clear" w:color="auto" w:fill="F8FAFC"/>
            <w:tcMar>
              <w:top w:w="90" w:type="dxa"/>
              <w:bottom w:w="90" w:type="dxa"/>
              <w:left w:w="130" w:type="dxa"/>
              <w:right w:w="130" w:type="dxa"/>
            </w:tcMar>
          </w:tcPr>
          <w:p>
            <w:pPr>
              <w:spacing w:before="40" w:after="40"/>
            </w:pPr>
            <w:r/>
            <w:r>
              <w:rPr>
                <w:rFonts w:ascii="Calibri" w:hAnsi="Calibri"/>
                <w:b/>
                <w:color w:val="0F172A"/>
                <w:sz w:val="18"/>
              </w:rPr>
              <w:t>4. Browser localStorage Quota (~5–10 MB) for Local Audit History</w:t>
            </w:r>
          </w:p>
        </w:tc>
        <w:tc>
          <w:tcPr>
            <w:tcW w:type="dxa" w:w="3600"/>
            <w:shd w:val="clear" w:color="auto" w:fill="F8FAFC"/>
            <w:tcMar>
              <w:top w:w="90" w:type="dxa"/>
              <w:bottom w:w="90" w:type="dxa"/>
              <w:left w:w="130" w:type="dxa"/>
              <w:right w:w="130" w:type="dxa"/>
            </w:tcMar>
          </w:tcPr>
          <w:p>
            <w:pPr>
              <w:spacing w:before="40" w:after="40"/>
            </w:pPr>
            <w:r/>
            <w:r>
              <w:rPr>
                <w:rFonts w:ascii="Calibri" w:hAnsi="Calibri"/>
                <w:color w:val="334155"/>
                <w:sz w:val="18"/>
              </w:rPr>
              <w:t>When running without server-side unit filtering, brc_v2_saved_audits caches saved audits in browser localStorage, which browsers cap at ~5–10 MB.</w:t>
            </w:r>
          </w:p>
        </w:tc>
        <w:tc>
          <w:tcPr>
            <w:tcW w:type="dxa" w:w="4032"/>
            <w:shd w:val="clear" w:color="auto" w:fill="F8FAFC"/>
            <w:tcMar>
              <w:top w:w="90" w:type="dxa"/>
              <w:bottom w:w="90" w:type="dxa"/>
              <w:left w:w="130" w:type="dxa"/>
              <w:right w:w="130" w:type="dxa"/>
            </w:tcMar>
          </w:tcPr>
          <w:p>
            <w:pPr>
              <w:spacing w:before="40" w:after="40"/>
            </w:pPr>
            <w:r/>
            <w:r>
              <w:rPr>
                <w:rFonts w:ascii="Calibri" w:hAnsi="Calibri"/>
                <w:color w:val="334155"/>
                <w:sz w:val="18"/>
              </w:rPr>
              <w:t>Enable STORAGE_MODE='sqlite' in config.json and activate server-side unit-scoped audit merging/pagination on /api/save_audits and /api/load_audits so full history lives in SQLite/PostgreSQL.</w:t>
            </w:r>
          </w:p>
        </w:tc>
      </w:tr>
      <w:tr>
        <w:tc>
          <w:tcPr>
            <w:tcW w:type="dxa" w:w="2448"/>
            <w:shd w:val="clear" w:color="auto" w:fill="FFFFFF"/>
            <w:tcMar>
              <w:top w:w="90" w:type="dxa"/>
              <w:bottom w:w="90" w:type="dxa"/>
              <w:left w:w="130" w:type="dxa"/>
              <w:right w:w="130" w:type="dxa"/>
            </w:tcMar>
          </w:tcPr>
          <w:p>
            <w:pPr>
              <w:spacing w:before="40" w:after="40"/>
            </w:pPr>
            <w:r/>
            <w:r>
              <w:rPr>
                <w:rFonts w:ascii="Calibri" w:hAnsi="Calibri"/>
                <w:b/>
                <w:color w:val="0F172A"/>
                <w:sz w:val="18"/>
              </w:rPr>
              <w:t>5. Single-Server SQLite Concurrency vs. High-Availability Clustering</w:t>
            </w:r>
          </w:p>
        </w:tc>
        <w:tc>
          <w:tcPr>
            <w:tcW w:type="dxa" w:w="3600"/>
            <w:shd w:val="clear" w:color="auto" w:fill="FFFFFF"/>
            <w:tcMar>
              <w:top w:w="90" w:type="dxa"/>
              <w:bottom w:w="90" w:type="dxa"/>
              <w:left w:w="130" w:type="dxa"/>
              <w:right w:w="130" w:type="dxa"/>
            </w:tcMar>
          </w:tcPr>
          <w:p>
            <w:pPr>
              <w:spacing w:before="40" w:after="40"/>
            </w:pPr>
            <w:r/>
            <w:r>
              <w:rPr>
                <w:rFonts w:ascii="Calibri" w:hAnsi="Calibri"/>
                <w:color w:val="334155"/>
                <w:sz w:val="18"/>
              </w:rPr>
              <w:t>SQLite WAL mode easily supports 65+ units reading and saving audits on a single central VM, but SQLite is a single-node file database.</w:t>
            </w:r>
          </w:p>
        </w:tc>
        <w:tc>
          <w:tcPr>
            <w:tcW w:type="dxa" w:w="4032"/>
            <w:shd w:val="clear" w:color="auto" w:fill="FFFFFF"/>
            <w:tcMar>
              <w:top w:w="90" w:type="dxa"/>
              <w:bottom w:w="90" w:type="dxa"/>
              <w:left w:w="130" w:type="dxa"/>
              <w:right w:w="130" w:type="dxa"/>
            </w:tcMar>
          </w:tcPr>
          <w:p>
            <w:pPr>
              <w:spacing w:before="40" w:after="40"/>
            </w:pPr>
            <w:r/>
            <w:r>
              <w:rPr>
                <w:rFonts w:ascii="Calibri" w:hAnsi="Calibri"/>
                <w:color w:val="334155"/>
                <w:sz w:val="18"/>
              </w:rPr>
              <w:t>For multi-node active-active load balancing across data centers, swap HubDB.connect() in central_hub/db.py and get_db_connection() in run_server.py to PostgreSQL or Azure SQL.</w:t>
            </w:r>
          </w:p>
        </w:tc>
      </w:tr>
      <w:tr>
        <w:tc>
          <w:tcPr>
            <w:tcW w:type="dxa" w:w="2448"/>
            <w:shd w:val="clear" w:color="auto" w:fill="F8FAFC"/>
            <w:tcMar>
              <w:top w:w="90" w:type="dxa"/>
              <w:bottom w:w="90" w:type="dxa"/>
              <w:left w:w="130" w:type="dxa"/>
              <w:right w:w="130" w:type="dxa"/>
            </w:tcMar>
          </w:tcPr>
          <w:p>
            <w:pPr>
              <w:spacing w:before="40" w:after="40"/>
            </w:pPr>
            <w:r/>
            <w:r>
              <w:rPr>
                <w:rFonts w:ascii="Calibri" w:hAnsi="Calibri"/>
                <w:b/>
                <w:color w:val="0F172A"/>
                <w:sz w:val="18"/>
              </w:rPr>
              <w:t>6. Scanned Image-Only PDF Tariffs (No Text Layer)</w:t>
            </w:r>
          </w:p>
        </w:tc>
        <w:tc>
          <w:tcPr>
            <w:tcW w:type="dxa" w:w="3600"/>
            <w:shd w:val="clear" w:color="auto" w:fill="F8FAFC"/>
            <w:tcMar>
              <w:top w:w="90" w:type="dxa"/>
              <w:bottom w:w="90" w:type="dxa"/>
              <w:left w:w="130" w:type="dxa"/>
              <w:right w:w="130" w:type="dxa"/>
            </w:tcMar>
          </w:tcPr>
          <w:p>
            <w:pPr>
              <w:spacing w:before="40" w:after="40"/>
            </w:pPr>
            <w:r/>
            <w:r>
              <w:rPr>
                <w:rFonts w:ascii="Calibri" w:hAnsi="Calibri"/>
                <w:color w:val="334155"/>
                <w:sz w:val="18"/>
              </w:rPr>
              <w:t>soc_module/pdf_parser.py and the Settlement Auditor extract embedded PDF text layers. If a scanned image PDF (photocopy without OCR text) is uploaded, the tool displays a Scanned PDF Warning Banner.</w:t>
            </w:r>
          </w:p>
        </w:tc>
        <w:tc>
          <w:tcPr>
            <w:tcW w:type="dxa" w:w="4032"/>
            <w:shd w:val="clear" w:color="auto" w:fill="F8FAFC"/>
            <w:tcMar>
              <w:top w:w="90" w:type="dxa"/>
              <w:bottom w:w="90" w:type="dxa"/>
              <w:left w:w="130" w:type="dxa"/>
              <w:right w:w="130" w:type="dxa"/>
            </w:tcMar>
          </w:tcPr>
          <w:p>
            <w:pPr>
              <w:spacing w:before="40" w:after="40"/>
            </w:pPr>
            <w:r/>
            <w:r>
              <w:rPr>
                <w:rFonts w:ascii="Calibri" w:hAnsi="Calibri"/>
                <w:color w:val="334155"/>
                <w:sz w:val="18"/>
              </w:rPr>
              <w:t>Pre-process scanned paper contracts with OCR (e.g., Azure AI Document Intelligence or Tesseract OCR) or upload the Excel/CSV schedule.</w:t>
            </w:r>
          </w:p>
        </w:tc>
      </w:tr>
      <w:tr>
        <w:tc>
          <w:tcPr>
            <w:tcW w:type="dxa" w:w="2448"/>
            <w:shd w:val="clear" w:color="auto" w:fill="FFFFFF"/>
            <w:tcMar>
              <w:top w:w="90" w:type="dxa"/>
              <w:bottom w:w="90" w:type="dxa"/>
              <w:left w:w="130" w:type="dxa"/>
              <w:right w:w="130" w:type="dxa"/>
            </w:tcMar>
          </w:tcPr>
          <w:p>
            <w:pPr>
              <w:spacing w:before="40" w:after="40"/>
            </w:pPr>
            <w:r/>
            <w:r>
              <w:rPr>
                <w:rFonts w:ascii="Calibri" w:hAnsi="Calibri"/>
                <w:b/>
                <w:color w:val="0F172A"/>
                <w:sz w:val="18"/>
              </w:rPr>
              <w:t>7. Unit-Specific Hardcoded Clinical Billing Nuances</w:t>
            </w:r>
          </w:p>
        </w:tc>
        <w:tc>
          <w:tcPr>
            <w:tcW w:type="dxa" w:w="3600"/>
            <w:shd w:val="clear" w:color="auto" w:fill="FFFFFF"/>
            <w:tcMar>
              <w:top w:w="90" w:type="dxa"/>
              <w:bottom w:w="90" w:type="dxa"/>
              <w:left w:w="130" w:type="dxa"/>
              <w:right w:w="130" w:type="dxa"/>
            </w:tcMar>
          </w:tcPr>
          <w:p>
            <w:pPr>
              <w:spacing w:before="40" w:after="40"/>
            </w:pPr>
            <w:r/>
            <w:r>
              <w:rPr>
                <w:rFonts w:ascii="Calibri" w:hAnsi="Calibri"/>
                <w:color w:val="334155"/>
                <w:sz w:val="18"/>
              </w:rPr>
              <w:t>Complex unit-specific billing formulas (such as Guwahati OT duration slabs, Excelcare nursing tables, and Kolkata time-based procedure rules) are coded in js/app.js for the 3 library units; new hub units use flat or room-wise SOC rates + agreement discounts.</w:t>
            </w:r>
          </w:p>
        </w:tc>
        <w:tc>
          <w:tcPr>
            <w:tcW w:type="dxa" w:w="4032"/>
            <w:shd w:val="clear" w:color="auto" w:fill="FFFFFF"/>
            <w:tcMar>
              <w:top w:w="90" w:type="dxa"/>
              <w:bottom w:w="90" w:type="dxa"/>
              <w:left w:w="130" w:type="dxa"/>
              <w:right w:w="130" w:type="dxa"/>
            </w:tcMar>
          </w:tcPr>
          <w:p>
            <w:pPr>
              <w:spacing w:before="40" w:after="40"/>
            </w:pPr>
            <w:r/>
            <w:r>
              <w:rPr>
                <w:rFonts w:ascii="Calibri" w:hAnsi="Calibri"/>
                <w:color w:val="334155"/>
                <w:sz w:val="18"/>
              </w:rPr>
              <w:t>Expose configurable unit-level rule templates in the Central Data Hub UI so new units can attach custom OT slab or nursing multiplier rules declaratively.</w:t>
            </w:r>
          </w:p>
        </w:tc>
      </w:tr>
    </w:tbl>
    <w:p/>
    <w:p>
      <w:pPr>
        <w:pStyle w:val="Heading1"/>
      </w:pPr>
      <w:r>
        <w:rPr>
          <w:rFonts w:ascii="Calibri" w:hAnsi="Calibri"/>
          <w:color w:val="004B87"/>
          <w:sz w:val="30"/>
        </w:rPr>
        <w:t>6. Complete Index of Documentation Files in Repository</w:t>
      </w:r>
    </w:p>
    <w:tbl>
      <w:tblPr>
        <w:tblStyle w:val="TableGrid"/>
        <w:tblW w:type="auto" w:w="0"/>
        <w:jc w:val="center"/>
        <w:tblLook w:firstColumn="1" w:firstRow="1" w:lastColumn="0" w:lastRow="0" w:noHBand="0" w:noVBand="1" w:val="04A0"/>
      </w:tblPr>
      <w:tblGrid>
        <w:gridCol w:w="5040"/>
        <w:gridCol w:w="5040"/>
      </w:tblGrid>
      <w:tr>
        <w:tc>
          <w:tcPr>
            <w:tcW w:type="dxa" w:w="3888"/>
            <w:shd w:val="clear" w:color="auto" w:fill="004B87"/>
            <w:tcMar>
              <w:top w:w="110" w:type="dxa"/>
              <w:bottom w:w="110" w:type="dxa"/>
              <w:left w:w="140" w:type="dxa"/>
              <w:right w:w="140" w:type="dxa"/>
            </w:tcMar>
          </w:tcPr>
          <w:p>
            <w:pPr>
              <w:spacing w:before="40" w:after="40"/>
            </w:pPr>
            <w:r/>
            <w:r>
              <w:rPr>
                <w:rFonts w:ascii="Calibri" w:hAnsi="Calibri"/>
                <w:b/>
                <w:color w:val="FFFFFF"/>
                <w:sz w:val="19"/>
              </w:rPr>
              <w:t>File Path</w:t>
            </w:r>
          </w:p>
        </w:tc>
        <w:tc>
          <w:tcPr>
            <w:tcW w:type="dxa" w:w="6192"/>
            <w:shd w:val="clear" w:color="auto" w:fill="004B87"/>
            <w:tcMar>
              <w:top w:w="110" w:type="dxa"/>
              <w:bottom w:w="110" w:type="dxa"/>
              <w:left w:w="140" w:type="dxa"/>
              <w:right w:w="140" w:type="dxa"/>
            </w:tcMar>
          </w:tcPr>
          <w:p>
            <w:pPr>
              <w:spacing w:before="40" w:after="40"/>
            </w:pPr>
            <w:r/>
            <w:r>
              <w:rPr>
                <w:rFonts w:ascii="Calibri" w:hAnsi="Calibri"/>
                <w:b/>
                <w:color w:val="FFFFFF"/>
                <w:sz w:val="19"/>
              </w:rPr>
              <w:t>Purpose &amp; Contents</w:t>
            </w:r>
          </w:p>
        </w:tc>
      </w:tr>
      <w:tr>
        <w:tc>
          <w:tcPr>
            <w:tcW w:type="dxa" w:w="3888"/>
            <w:shd w:val="clear" w:color="auto" w:fill="FFFFFF"/>
            <w:tcMar>
              <w:top w:w="90" w:type="dxa"/>
              <w:bottom w:w="90" w:type="dxa"/>
              <w:left w:w="130" w:type="dxa"/>
              <w:right w:w="130" w:type="dxa"/>
            </w:tcMar>
          </w:tcPr>
          <w:p>
            <w:pPr>
              <w:spacing w:before="40" w:after="40"/>
            </w:pPr>
            <w:r/>
            <w:r>
              <w:rPr>
                <w:rFonts w:ascii="Calibri" w:hAnsi="Calibri"/>
                <w:b/>
                <w:color w:val="0F172A"/>
                <w:sz w:val="18"/>
              </w:rPr>
              <w:t>docs/Apollo_Revenue_Assurance_Platform_Complete_Documentation.docx</w:t>
            </w:r>
          </w:p>
        </w:tc>
        <w:tc>
          <w:tcPr>
            <w:tcW w:type="dxa" w:w="6192"/>
            <w:shd w:val="clear" w:color="auto" w:fill="FFFFFF"/>
            <w:tcMar>
              <w:top w:w="90" w:type="dxa"/>
              <w:bottom w:w="90" w:type="dxa"/>
              <w:left w:w="130" w:type="dxa"/>
              <w:right w:w="130" w:type="dxa"/>
            </w:tcMar>
          </w:tcPr>
          <w:p>
            <w:pPr>
              <w:spacing w:before="40" w:after="40"/>
            </w:pPr>
            <w:r/>
            <w:r>
              <w:rPr>
                <w:rFonts w:ascii="Calibri" w:hAnsi="Calibri"/>
                <w:color w:val="334155"/>
                <w:sz w:val="18"/>
              </w:rPr>
              <w:t>This comprehensive Microsoft Word manual covering complete tool working, all 13 modules, built-in/standby infrastructure capabilities, central storage &amp; tariff broadcast governance, speed/capacity benchmarks, and limitations.</w:t>
            </w:r>
          </w:p>
        </w:tc>
      </w:tr>
      <w:tr>
        <w:tc>
          <w:tcPr>
            <w:tcW w:type="dxa" w:w="3888"/>
            <w:shd w:val="clear" w:color="auto" w:fill="F8FAFC"/>
            <w:tcMar>
              <w:top w:w="90" w:type="dxa"/>
              <w:bottom w:w="90" w:type="dxa"/>
              <w:left w:w="130" w:type="dxa"/>
              <w:right w:w="130" w:type="dxa"/>
            </w:tcMar>
          </w:tcPr>
          <w:p>
            <w:pPr>
              <w:spacing w:before="40" w:after="40"/>
            </w:pPr>
            <w:r/>
            <w:r>
              <w:rPr>
                <w:rFonts w:ascii="Calibri" w:hAnsi="Calibri"/>
                <w:b/>
                <w:color w:val="0F172A"/>
                <w:sz w:val="18"/>
              </w:rPr>
              <w:t>docs/CENTRAL_DATA_HUB.md</w:t>
            </w:r>
          </w:p>
        </w:tc>
        <w:tc>
          <w:tcPr>
            <w:tcW w:type="dxa" w:w="6192"/>
            <w:shd w:val="clear" w:color="auto" w:fill="F8FAFC"/>
            <w:tcMar>
              <w:top w:w="90" w:type="dxa"/>
              <w:bottom w:w="90" w:type="dxa"/>
              <w:left w:w="130" w:type="dxa"/>
              <w:right w:w="130" w:type="dxa"/>
            </w:tcMar>
          </w:tcPr>
          <w:p>
            <w:pPr>
              <w:spacing w:before="40" w:after="40"/>
            </w:pPr>
            <w:r/>
            <w:r>
              <w:rPr>
                <w:rFonts w:ascii="Calibri" w:hAnsi="Calibri"/>
                <w:color w:val="334155"/>
                <w:sz w:val="18"/>
              </w:rPr>
              <w:t>Operational &amp; technical reference for the Central Data Hub (V2.5.0+): architecture diagram, engine profiles, Head Office &amp; Unit team workflows, configuration keys, REST API endpoints, security controls, and 65-unit scale test.</w:t>
            </w:r>
          </w:p>
        </w:tc>
      </w:tr>
      <w:tr>
        <w:tc>
          <w:tcPr>
            <w:tcW w:type="dxa" w:w="3888"/>
            <w:shd w:val="clear" w:color="auto" w:fill="FFFFFF"/>
            <w:tcMar>
              <w:top w:w="90" w:type="dxa"/>
              <w:bottom w:w="90" w:type="dxa"/>
              <w:left w:w="130" w:type="dxa"/>
              <w:right w:w="130" w:type="dxa"/>
            </w:tcMar>
          </w:tcPr>
          <w:p>
            <w:pPr>
              <w:spacing w:before="40" w:after="40"/>
            </w:pPr>
            <w:r/>
            <w:r>
              <w:rPr>
                <w:rFonts w:ascii="Calibri" w:hAnsi="Calibri"/>
                <w:b/>
                <w:color w:val="0F172A"/>
                <w:sz w:val="18"/>
              </w:rPr>
              <w:t>docs/MULTI_UNIT_STORAGE_AND_RATE_GOVERNANCE.md</w:t>
            </w:r>
          </w:p>
        </w:tc>
        <w:tc>
          <w:tcPr>
            <w:tcW w:type="dxa" w:w="6192"/>
            <w:shd w:val="clear" w:color="auto" w:fill="FFFFFF"/>
            <w:tcMar>
              <w:top w:w="90" w:type="dxa"/>
              <w:bottom w:w="90" w:type="dxa"/>
              <w:left w:w="130" w:type="dxa"/>
              <w:right w:w="130" w:type="dxa"/>
            </w:tcMar>
          </w:tcPr>
          <w:p>
            <w:pPr>
              <w:spacing w:before="40" w:after="40"/>
            </w:pPr>
            <w:r/>
            <w:r>
              <w:rPr>
                <w:rFonts w:ascii="Calibri" w:hAnsi="Calibri"/>
                <w:color w:val="334155"/>
                <w:sz w:val="18"/>
              </w:rPr>
              <w:t>Detailed guide on Multi-Unit Concurrent Deployment speed, Central Audit Result Storage options (Options A/B/C + step-by-step storage function activation), and 3-Tier Tariff Broadcast Governance (Unit-Specific, Selected Units, All Units).</w:t>
            </w:r>
          </w:p>
        </w:tc>
      </w:tr>
      <w:tr>
        <w:tc>
          <w:tcPr>
            <w:tcW w:type="dxa" w:w="3888"/>
            <w:shd w:val="clear" w:color="auto" w:fill="F8FAFC"/>
            <w:tcMar>
              <w:top w:w="90" w:type="dxa"/>
              <w:bottom w:w="90" w:type="dxa"/>
              <w:left w:w="130" w:type="dxa"/>
              <w:right w:w="130" w:type="dxa"/>
            </w:tcMar>
          </w:tcPr>
          <w:p>
            <w:pPr>
              <w:spacing w:before="40" w:after="40"/>
            </w:pPr>
            <w:r/>
            <w:r>
              <w:rPr>
                <w:rFonts w:ascii="Calibri" w:hAnsi="Calibri"/>
                <w:b/>
                <w:color w:val="0F172A"/>
                <w:sz w:val="18"/>
              </w:rPr>
              <w:t>docs/ARCHITECTURE_AND_HANDOVER.md</w:t>
            </w:r>
          </w:p>
        </w:tc>
        <w:tc>
          <w:tcPr>
            <w:tcW w:type="dxa" w:w="6192"/>
            <w:shd w:val="clear" w:color="auto" w:fill="F8FAFC"/>
            <w:tcMar>
              <w:top w:w="90" w:type="dxa"/>
              <w:bottom w:w="90" w:type="dxa"/>
              <w:left w:w="130" w:type="dxa"/>
              <w:right w:w="130" w:type="dxa"/>
            </w:tcMar>
          </w:tcPr>
          <w:p>
            <w:pPr>
              <w:spacing w:before="40" w:after="40"/>
            </w:pPr>
            <w:r/>
            <w:r>
              <w:rPr>
                <w:rFonts w:ascii="Calibri" w:hAnsi="Calibri"/>
                <w:color w:val="334155"/>
                <w:sz w:val="18"/>
              </w:rPr>
              <w:t>Enterprise Architecture, Security, Data Privacy, Open-Source Licensing, and Apollo IT Handover specification (including Azure DevOps CI/CD pipeline steps, X-API-Key daily push extension, and Azure AD SSO extension).</w:t>
            </w:r>
          </w:p>
        </w:tc>
      </w:tr>
      <w:tr>
        <w:tc>
          <w:tcPr>
            <w:tcW w:type="dxa" w:w="3888"/>
            <w:shd w:val="clear" w:color="auto" w:fill="FFFFFF"/>
            <w:tcMar>
              <w:top w:w="90" w:type="dxa"/>
              <w:bottom w:w="90" w:type="dxa"/>
              <w:left w:w="130" w:type="dxa"/>
              <w:right w:w="130" w:type="dxa"/>
            </w:tcMar>
          </w:tcPr>
          <w:p>
            <w:pPr>
              <w:spacing w:before="40" w:after="40"/>
            </w:pPr>
            <w:r/>
            <w:r>
              <w:rPr>
                <w:rFonts w:ascii="Calibri" w:hAnsi="Calibri"/>
                <w:b/>
                <w:color w:val="0F172A"/>
                <w:sz w:val="18"/>
              </w:rPr>
              <w:t>SOC_DATA_PROCESSING_MODULE_DOCUMENTATION.md</w:t>
            </w:r>
          </w:p>
        </w:tc>
        <w:tc>
          <w:tcPr>
            <w:tcW w:type="dxa" w:w="6192"/>
            <w:shd w:val="clear" w:color="auto" w:fill="FFFFFF"/>
            <w:tcMar>
              <w:top w:w="90" w:type="dxa"/>
              <w:bottom w:w="90" w:type="dxa"/>
              <w:left w:w="130" w:type="dxa"/>
              <w:right w:w="130" w:type="dxa"/>
            </w:tcMar>
          </w:tcPr>
          <w:p>
            <w:pPr>
              <w:spacing w:before="40" w:after="40"/>
            </w:pPr>
            <w:r/>
            <w:r>
              <w:rPr>
                <w:rFonts w:ascii="Calibri" w:hAnsi="Calibri"/>
                <w:color w:val="334155"/>
                <w:sz w:val="18"/>
              </w:rPr>
              <w:t>Technical specification of the Statement of Charges (SOC) ingestion and parsing pipeline (soc_module/, Excel &amp; PDF extraction, column mapping, validation rules, and canonical JSON schema).</w:t>
            </w:r>
          </w:p>
        </w:tc>
      </w:tr>
      <w:tr>
        <w:tc>
          <w:tcPr>
            <w:tcW w:type="dxa" w:w="3888"/>
            <w:shd w:val="clear" w:color="auto" w:fill="F8FAFC"/>
            <w:tcMar>
              <w:top w:w="90" w:type="dxa"/>
              <w:bottom w:w="90" w:type="dxa"/>
              <w:left w:w="130" w:type="dxa"/>
              <w:right w:w="130" w:type="dxa"/>
            </w:tcMar>
          </w:tcPr>
          <w:p>
            <w:pPr>
              <w:spacing w:before="40" w:after="40"/>
            </w:pPr>
            <w:r/>
            <w:r>
              <w:rPr>
                <w:rFonts w:ascii="Calibri" w:hAnsi="Calibri"/>
                <w:b/>
                <w:color w:val="0F172A"/>
                <w:sz w:val="18"/>
              </w:rPr>
              <w:t>SBOM.md</w:t>
            </w:r>
          </w:p>
        </w:tc>
        <w:tc>
          <w:tcPr>
            <w:tcW w:type="dxa" w:w="6192"/>
            <w:shd w:val="clear" w:color="auto" w:fill="F8FAFC"/>
            <w:tcMar>
              <w:top w:w="90" w:type="dxa"/>
              <w:bottom w:w="90" w:type="dxa"/>
              <w:left w:w="130" w:type="dxa"/>
              <w:right w:w="130" w:type="dxa"/>
            </w:tcMar>
          </w:tcPr>
          <w:p>
            <w:pPr>
              <w:spacing w:before="40" w:after="40"/>
            </w:pPr>
            <w:r/>
            <w:r>
              <w:rPr>
                <w:rFonts w:ascii="Calibri" w:hAnsi="Calibri"/>
                <w:color w:val="334155"/>
                <w:sz w:val="18"/>
              </w:rPr>
              <w:t>Software Bill of Materials listing all Python and browser libraries, versions, and permissive open-source licenses (MIT / Apache 2.0).</w:t>
            </w:r>
          </w:p>
        </w:tc>
      </w:tr>
      <w:tr>
        <w:tc>
          <w:tcPr>
            <w:tcW w:type="dxa" w:w="3888"/>
            <w:shd w:val="clear" w:color="auto" w:fill="FFFFFF"/>
            <w:tcMar>
              <w:top w:w="90" w:type="dxa"/>
              <w:bottom w:w="90" w:type="dxa"/>
              <w:left w:w="130" w:type="dxa"/>
              <w:right w:w="130" w:type="dxa"/>
            </w:tcMar>
          </w:tcPr>
          <w:p>
            <w:pPr>
              <w:spacing w:before="40" w:after="40"/>
            </w:pPr>
            <w:r/>
            <w:r>
              <w:rPr>
                <w:rFonts w:ascii="Calibri" w:hAnsi="Calibri"/>
                <w:b/>
                <w:color w:val="0F172A"/>
                <w:sz w:val="18"/>
              </w:rPr>
              <w:t>README.md</w:t>
            </w:r>
          </w:p>
        </w:tc>
        <w:tc>
          <w:tcPr>
            <w:tcW w:type="dxa" w:w="6192"/>
            <w:shd w:val="clear" w:color="auto" w:fill="FFFFFF"/>
            <w:tcMar>
              <w:top w:w="90" w:type="dxa"/>
              <w:bottom w:w="90" w:type="dxa"/>
              <w:left w:w="130" w:type="dxa"/>
              <w:right w:w="130" w:type="dxa"/>
            </w:tcMar>
          </w:tcPr>
          <w:p>
            <w:pPr>
              <w:spacing w:before="40" w:after="40"/>
            </w:pPr>
            <w:r/>
            <w:r>
              <w:rPr>
                <w:rFonts w:ascii="Calibri" w:hAnsi="Calibri"/>
                <w:color w:val="334155"/>
                <w:sz w:val="18"/>
              </w:rPr>
              <w:t>Main repository quick-start guide, live web access links, local server startup commands, and documentation index.</w:t>
            </w:r>
          </w:p>
        </w:tc>
      </w:tr>
    </w:tbl>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Powered by BRC • Engineered by BRC_SID.AI | Lead Architect: Siddhant Surana &lt;Siddhant@bihanico.in&gt;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Apollo Healthcare Revenue Assurance &amp; Central Tariff Governance Platform (V2.5.2)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