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pacing w:val="20"/>
          <w:sz w:val="20"/>
          <w:szCs w:val="20"/>
        </w:rPr>
        <w:t xml:space="preserve">PROJECT CASE STUDY</w:t>
      </w:r>
    </w:p>
    <w:p>
      <w:pPr>
        <w:spacing w:after="100"/>
      </w:pPr>
      <w:r>
        <w:rPr>
          <w:b/>
          <w:bCs/>
          <w:color w:val="1F1F1F"/>
          <w:sz w:val="44"/>
          <w:szCs w:val="44"/>
        </w:rPr>
        <w:t xml:space="preserve">Gold Price Trend Forecast</w:t>
      </w:r>
    </w:p>
    <w:p>
      <w:pPr>
        <w:spacing w:after="60"/>
      </w:pPr>
      <w:r>
        <w:rPr>
          <w:i/>
          <w:iCs/>
          <w:color w:val="595959"/>
          <w:sz w:val="24"/>
          <w:szCs w:val="24"/>
        </w:rPr>
        <w:t xml:space="preserve">Short-term gold price direction prediction using LightGBM quantile regression</w:t>
      </w:r>
    </w:p>
    <w:p>
      <w:pPr>
        <w:spacing w:after="300"/>
      </w:pPr>
      <w:r>
        <w:rPr>
          <w:color w:val="595959"/>
          <w:sz w:val="20"/>
          <w:szCs w:val="20"/>
        </w:rPr>
        <w:t xml:space="preserve">Siddharth Singh   |   B.Sc (Hons.) Data Science, Semester V   |   Swami Rama Himalayan University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10"/>
        <w:gridCol w:w="2510"/>
        <w:gridCol w:w="2510"/>
        <w:gridCol w:w="2510"/>
      </w:tblGrid>
      <w:tr>
        <w:tc>
          <w:tcPr>
            <w:tcW w:type="dxa" w:w="2510"/>
            <w:shd w:fill="2B2B2B" w:val="clear"/>
            <w:tcMar>
              <w:top w:type="dxa" w:w="100"/>
              <w:left w:type="dxa" w:w="120"/>
              <w:bottom w:type="dxa" w:w="100"/>
              <w:right w:type="dxa" w:w="120"/>
            </w:tcMar>
          </w:tcPr>
          <w:p>
            <w:r>
              <w:rPr>
                <w:b/>
                <w:bCs/>
                <w:color w:val="FFFFFF"/>
                <w:sz w:val="20"/>
                <w:szCs w:val="20"/>
              </w:rPr>
              <w:t xml:space="preserve">Model</w:t>
            </w:r>
          </w:p>
        </w:tc>
        <w:tc>
          <w:tcPr>
            <w:tcW w:type="dxa" w:w="2510"/>
            <w:shd w:fill="2B2B2B" w:val="clear"/>
            <w:tcMar>
              <w:top w:type="dxa" w:w="100"/>
              <w:left w:type="dxa" w:w="120"/>
              <w:bottom w:type="dxa" w:w="100"/>
              <w:right w:type="dxa" w:w="120"/>
            </w:tcMar>
          </w:tcPr>
          <w:p>
            <w:r>
              <w:rPr>
                <w:b/>
                <w:bCs/>
                <w:color w:val="FFFFFF"/>
                <w:sz w:val="20"/>
                <w:szCs w:val="20"/>
              </w:rPr>
              <w:t xml:space="preserve">Horizons</w:t>
            </w:r>
          </w:p>
        </w:tc>
        <w:tc>
          <w:tcPr>
            <w:tcW w:type="dxa" w:w="2510"/>
            <w:shd w:fill="2B2B2B" w:val="clear"/>
            <w:tcMar>
              <w:top w:type="dxa" w:w="100"/>
              <w:left w:type="dxa" w:w="120"/>
              <w:bottom w:type="dxa" w:w="100"/>
              <w:right w:type="dxa" w:w="120"/>
            </w:tcMar>
          </w:tcPr>
          <w:p>
            <w:r>
              <w:rPr>
                <w:b/>
                <w:bCs/>
                <w:color w:val="FFFFFF"/>
                <w:sz w:val="20"/>
                <w:szCs w:val="20"/>
              </w:rPr>
              <w:t xml:space="preserve">Coverage</w:t>
            </w:r>
          </w:p>
        </w:tc>
        <w:tc>
          <w:tcPr>
            <w:tcW w:type="dxa" w:w="2510"/>
            <w:shd w:fill="2B2B2B" w:val="clear"/>
            <w:tcMar>
              <w:top w:type="dxa" w:w="100"/>
              <w:left w:type="dxa" w:w="120"/>
              <w:bottom w:type="dxa" w:w="100"/>
              <w:right w:type="dxa" w:w="120"/>
            </w:tcMar>
          </w:tcPr>
          <w:p>
            <w:r>
              <w:rPr>
                <w:b/>
                <w:bCs/>
                <w:color w:val="FFFFFF"/>
                <w:sz w:val="20"/>
                <w:szCs w:val="20"/>
              </w:rPr>
              <w:t xml:space="preserve">Deployment</w:t>
            </w:r>
          </w:p>
        </w:tc>
      </w:tr>
      <w:tr>
        <w:tc>
          <w:tcPr>
            <w:tcW w:type="dxa" w:w="2510"/>
            <w:shd w:fill="F7F1E3" w:val="clear"/>
            <w:tcMar>
              <w:top w:type="dxa" w:w="100"/>
              <w:left w:type="dxa" w:w="120"/>
              <w:bottom w:type="dxa" w:w="100"/>
              <w:right w:type="dxa" w:w="120"/>
            </w:tcMar>
          </w:tcPr>
          <w:p>
            <w:r>
              <w:rPr>
                <w:b w:val="false"/>
                <w:bCs w:val="false"/>
                <w:color w:val="1F1F1F"/>
                <w:sz w:val="20"/>
                <w:szCs w:val="20"/>
              </w:rPr>
              <w:t xml:space="preserve">LightGBM (Quantile Regression)</w:t>
            </w:r>
          </w:p>
        </w:tc>
        <w:tc>
          <w:tcPr>
            <w:tcW w:type="dxa" w:w="2510"/>
            <w:shd w:fill="F7F1E3" w:val="clear"/>
            <w:tcMar>
              <w:top w:type="dxa" w:w="100"/>
              <w:left w:type="dxa" w:w="120"/>
              <w:bottom w:type="dxa" w:w="100"/>
              <w:right w:type="dxa" w:w="120"/>
            </w:tcMar>
          </w:tcPr>
          <w:p>
            <w:r>
              <w:rPr>
                <w:b w:val="false"/>
                <w:bCs w:val="false"/>
                <w:color w:val="1F1F1F"/>
                <w:sz w:val="20"/>
                <w:szCs w:val="20"/>
              </w:rPr>
              <w:t xml:space="preserve">1-day / 2-day / 3-day % change</w:t>
            </w:r>
          </w:p>
        </w:tc>
        <w:tc>
          <w:tcPr>
            <w:tcW w:type="dxa" w:w="2510"/>
            <w:shd w:fill="F7F1E3" w:val="clear"/>
            <w:tcMar>
              <w:top w:type="dxa" w:w="100"/>
              <w:left w:type="dxa" w:w="120"/>
              <w:bottom w:type="dxa" w:w="100"/>
              <w:right w:type="dxa" w:w="120"/>
            </w:tcMar>
          </w:tcPr>
          <w:p>
            <w:r>
              <w:rPr>
                <w:b w:val="false"/>
                <w:bCs w:val="false"/>
                <w:color w:val="1F1F1F"/>
                <w:sz w:val="20"/>
                <w:szCs w:val="20"/>
              </w:rPr>
              <w:t xml:space="preserve">~63–65% empirical coverage</w:t>
            </w:r>
          </w:p>
        </w:tc>
        <w:tc>
          <w:tcPr>
            <w:tcW w:type="dxa" w:w="2510"/>
            <w:shd w:fill="F7F1E3" w:val="clear"/>
            <w:tcMar>
              <w:top w:type="dxa" w:w="100"/>
              <w:left w:type="dxa" w:w="120"/>
              <w:bottom w:type="dxa" w:w="100"/>
              <w:right w:type="dxa" w:w="120"/>
            </w:tcMar>
          </w:tcPr>
          <w:p>
            <w:r>
              <w:rPr>
                <w:b w:val="false"/>
                <w:bCs w:val="false"/>
                <w:color w:val="1F1F1F"/>
                <w:sz w:val="20"/>
                <w:szCs w:val="20"/>
              </w:rPr>
              <w:t xml:space="preserve">Streamlit Community Cloud</w:t>
            </w:r>
          </w:p>
        </w:tc>
      </w:tr>
    </w:tbl>
    <w:p>
      <w:pPr>
        <w:pStyle w:val="Heading1"/>
        <w:pBdr>
          <w:bottom w:val="single" w:color="B8860B" w:sz="6" w:space="4"/>
        </w:pBdr>
        <w:spacing w:after="160" w:before="320"/>
      </w:pPr>
      <w:r>
        <w:rPr>
          <w:b/>
          <w:bCs/>
          <w:color w:val="1F1F1F"/>
          <w:sz w:val="30"/>
          <w:szCs w:val="30"/>
        </w:rPr>
        <w:t xml:space="preserve">1. Why This Project</w:t>
      </w:r>
    </w:p>
    <w:p>
      <w:pPr>
        <w:spacing w:after="140"/>
      </w:pPr>
      <w:r>
        <w:rPr>
          <w:color w:val="1F1F1F"/>
          <w:sz w:val="22"/>
          <w:szCs w:val="22"/>
        </w:rPr>
        <w:t xml:space="preserve">Gold price prediction is a natural fit for a Phase 2 ("Machine Learning done properly") portfolio project because it is a real forecasting problem with public, continuously updating data, a clear business audience (retail investors), and enough complexity to justify a full ML pipeline rather than a toy dataset.</w:t>
      </w:r>
    </w:p>
    <w:p>
      <w:pPr>
        <w:spacing w:after="140"/>
      </w:pPr>
      <w:r>
        <w:rPr>
          <w:color w:val="1F1F1F"/>
          <w:sz w:val="22"/>
          <w:szCs w:val="22"/>
        </w:rPr>
        <w:t xml:space="preserve">The goal was deliberately narrower than "predict the price of gold." Point-price prediction on a volatile commodity is close to guessing and is easy to expose as unreliable. Instead, the project was framed as: predict a realistic range for short-term price movement, and be transparent about how often that range is actually correct. This framing is closer to how forecasting is used in real financial and risk contexts, and it demonstrates statistical judgment rather than just model-fitting.</w:t>
      </w:r>
    </w:p>
    <w:p>
      <w:pPr>
        <w:pStyle w:val="Heading1"/>
        <w:pBdr>
          <w:bottom w:val="single" w:color="B8860B" w:sz="6" w:space="4"/>
        </w:pBdr>
        <w:spacing w:after="160" w:before="320"/>
      </w:pPr>
      <w:r>
        <w:rPr>
          <w:b/>
          <w:bCs/>
          <w:color w:val="1F1F1F"/>
          <w:sz w:val="30"/>
          <w:szCs w:val="30"/>
        </w:rPr>
        <w:t xml:space="preserve">2. Workflow</w:t>
      </w:r>
    </w:p>
    <w:p>
      <w:pPr>
        <w:pStyle w:val="Heading2"/>
        <w:spacing w:after="100" w:before="220"/>
      </w:pPr>
      <w:r>
        <w:rPr>
          <w:b/>
          <w:bCs/>
          <w:color w:val="B8860B"/>
          <w:sz w:val="24"/>
          <w:szCs w:val="24"/>
        </w:rPr>
        <w:t xml:space="preserve">2.1 Data Collection</w:t>
      </w:r>
    </w:p>
    <w:p>
      <w:pPr>
        <w:spacing w:after="140"/>
      </w:pPr>
      <w:r>
        <w:rPr>
          <w:color w:val="1F1F1F"/>
          <w:sz w:val="22"/>
          <w:szCs w:val="22"/>
        </w:rPr>
        <w:t xml:space="preserve">Historical price data was pulled for gold alongside four correlated macro instruments that are known to drive gold price movement:</w:t>
      </w:r>
    </w:p>
    <w:p>
      <w:pPr>
        <w:pStyle w:val="ListParagraph"/>
        <w:numPr>
          <w:ilvl w:val="0"/>
          <w:numId w:val="2"/>
        </w:numPr>
        <w:spacing w:after="100"/>
      </w:pPr>
      <w:r>
        <w:rPr>
          <w:color w:val="1F1F1F"/>
          <w:sz w:val="22"/>
          <w:szCs w:val="22"/>
        </w:rPr>
        <w:t xml:space="preserve">DXY — US Dollar Index (gold is dollar-denominated; inverse relationship)</w:t>
      </w:r>
    </w:p>
    <w:p>
      <w:pPr>
        <w:pStyle w:val="ListParagraph"/>
        <w:numPr>
          <w:ilvl w:val="0"/>
          <w:numId w:val="2"/>
        </w:numPr>
        <w:spacing w:after="100"/>
      </w:pPr>
      <w:r>
        <w:rPr>
          <w:color w:val="1F1F1F"/>
          <w:sz w:val="22"/>
          <w:szCs w:val="22"/>
        </w:rPr>
        <w:t xml:space="preserve">Crude Oil prices (inflation / commodity-cycle proxy)</w:t>
      </w:r>
    </w:p>
    <w:p>
      <w:pPr>
        <w:pStyle w:val="ListParagraph"/>
        <w:numPr>
          <w:ilvl w:val="0"/>
          <w:numId w:val="2"/>
        </w:numPr>
        <w:spacing w:after="100"/>
      </w:pPr>
      <w:r>
        <w:rPr>
          <w:color w:val="1F1F1F"/>
          <w:sz w:val="22"/>
          <w:szCs w:val="22"/>
        </w:rPr>
        <w:t xml:space="preserve">US 10-Year Treasury Yield (opportunity cost of holding a non-yielding asset)</w:t>
      </w:r>
    </w:p>
    <w:p>
      <w:pPr>
        <w:pStyle w:val="ListParagraph"/>
        <w:numPr>
          <w:ilvl w:val="0"/>
          <w:numId w:val="2"/>
        </w:numPr>
        <w:spacing w:after="100"/>
      </w:pPr>
      <w:r>
        <w:rPr>
          <w:color w:val="1F1F1F"/>
          <w:sz w:val="22"/>
          <w:szCs w:val="22"/>
        </w:rPr>
        <w:t xml:space="preserve">S&amp;P 500 Index (risk-on / risk-off sentiment)</w:t>
      </w:r>
    </w:p>
    <w:p>
      <w:pPr>
        <w:pStyle w:val="Heading2"/>
        <w:spacing w:after="100" w:before="220"/>
      </w:pPr>
      <w:r>
        <w:rPr>
          <w:b/>
          <w:bCs/>
          <w:color w:val="B8860B"/>
          <w:sz w:val="24"/>
          <w:szCs w:val="24"/>
        </w:rPr>
        <w:t xml:space="preserve">2.2 Feature Engineering &amp; Target Design</w:t>
      </w:r>
    </w:p>
    <w:p>
      <w:pPr>
        <w:spacing w:after="140"/>
      </w:pPr>
      <w:r>
        <w:rPr>
          <w:color w:val="1F1F1F"/>
          <w:sz w:val="22"/>
          <w:szCs w:val="22"/>
        </w:rPr>
        <w:t xml:space="preserve">Rather than predicting the next absolute price, the target was converted to percentage change over three separate horizons (1, 2, and 3 days). This keeps the target stationary-ish and comparable across time, which absolute price levels are not.</w:t>
      </w:r>
    </w:p>
    <w:p>
      <w:pPr>
        <w:spacing w:after="140"/>
      </w:pPr>
      <w:r>
        <w:rPr>
          <w:color w:val="1F1F1F"/>
          <w:sz w:val="22"/>
          <w:szCs w:val="22"/>
        </w:rPr>
        <w:t xml:space="preserve">Lag features and rolling statistics were engineered from each of the four correlated assets so the model could learn short-term momentum and cross-asset relationships, not just gold's own recent history.</w:t>
      </w:r>
    </w:p>
    <w:p>
      <w:pPr>
        <w:pStyle w:val="Heading2"/>
        <w:spacing w:after="100" w:before="220"/>
      </w:pPr>
      <w:r>
        <w:rPr>
          <w:b/>
          <w:bCs/>
          <w:color w:val="B8860B"/>
          <w:sz w:val="24"/>
          <w:szCs w:val="24"/>
        </w:rPr>
        <w:t xml:space="preserve">2.3 Model Selection</w:t>
      </w:r>
    </w:p>
    <w:p>
      <w:pPr>
        <w:spacing w:after="140"/>
      </w:pPr>
      <w:r>
        <w:rPr>
          <w:color w:val="1F1F1F"/>
          <w:sz w:val="22"/>
          <w:szCs w:val="22"/>
        </w:rPr>
        <w:t xml:space="preserve">Several approaches were evaluated before settling on LightGBM:</w:t>
      </w:r>
    </w:p>
    <w:p>
      <w:pPr>
        <w:pStyle w:val="ListParagraph"/>
        <w:numPr>
          <w:ilvl w:val="0"/>
          <w:numId w:val="2"/>
        </w:numPr>
        <w:spacing w:after="100"/>
      </w:pPr>
      <w:r>
        <w:rPr>
          <w:color w:val="1F1F1F"/>
          <w:sz w:val="22"/>
          <w:szCs w:val="22"/>
        </w:rPr>
        <w:t xml:space="preserve">Linear Regression — used as a baseline; too rigid for the non-linear cross-asset interactions observed.</w:t>
      </w:r>
    </w:p>
    <w:p>
      <w:pPr>
        <w:pStyle w:val="ListParagraph"/>
        <w:numPr>
          <w:ilvl w:val="0"/>
          <w:numId w:val="2"/>
        </w:numPr>
        <w:spacing w:after="100"/>
      </w:pPr>
      <w:r>
        <w:rPr>
          <w:color w:val="1F1F1F"/>
          <w:sz w:val="22"/>
          <w:szCs w:val="22"/>
        </w:rPr>
        <w:t xml:space="preserve">ARIMA / Prophet — classical time-series models; struggled to incorporate exogenous correlated-asset features cleanly.</w:t>
      </w:r>
    </w:p>
    <w:p>
      <w:pPr>
        <w:pStyle w:val="ListParagraph"/>
        <w:numPr>
          <w:ilvl w:val="0"/>
          <w:numId w:val="2"/>
        </w:numPr>
        <w:spacing w:after="100"/>
      </w:pPr>
      <w:r>
        <w:rPr>
          <w:color w:val="1F1F1F"/>
          <w:sz w:val="22"/>
          <w:szCs w:val="22"/>
        </w:rPr>
        <w:t xml:space="preserve">LSTM — considered for its sequence-modelling strength, but ruled out given the limited dataset size and the added complexity/training time it demands without a clear accuracy payoff at this stage.</w:t>
      </w:r>
    </w:p>
    <w:p>
      <w:pPr>
        <w:pStyle w:val="ListParagraph"/>
        <w:numPr>
          <w:ilvl w:val="0"/>
          <w:numId w:val="2"/>
        </w:numPr>
        <w:spacing w:after="100"/>
      </w:pPr>
      <w:r>
        <w:rPr>
          <w:color w:val="1F1F1F"/>
          <w:sz w:val="22"/>
          <w:szCs w:val="22"/>
        </w:rPr>
        <w:t xml:space="preserve">LightGBM (chosen) — handles tabular, engineered features well, trains quickly, and — critically — supports quantile regression out of the box.</w:t>
      </w:r>
    </w:p>
    <w:p>
      <w:pPr>
        <w:pStyle w:val="Heading2"/>
        <w:spacing w:after="100" w:before="220"/>
      </w:pPr>
      <w:r>
        <w:rPr>
          <w:b/>
          <w:bCs/>
          <w:color w:val="B8860B"/>
          <w:sz w:val="24"/>
          <w:szCs w:val="24"/>
        </w:rPr>
        <w:t xml:space="preserve">2.4 Quantile Regression Instead of Point Prediction</w:t>
      </w:r>
    </w:p>
    <w:p>
      <w:pPr>
        <w:spacing w:after="140"/>
      </w:pPr>
      <w:r>
        <w:rPr>
          <w:color w:val="1F1F1F"/>
          <w:sz w:val="22"/>
          <w:szCs w:val="22"/>
        </w:rPr>
        <w:t xml:space="preserve">The core modelling decision was to train LightGBM in quantile regression mode rather than standard regression. This produces a predicted range (e.g. a lower and upper bound) instead of a single number, directly representing the model's uncertainty. Backtesting showed the true price fell inside the predicted range roughly 63–65% of the time across the three horizons — this coverage number is reported honestly in the app rather than hidden, which is itself part of the project's design philosophy.</w:t>
      </w:r>
    </w:p>
    <w:p>
      <w:pPr>
        <w:pStyle w:val="Heading2"/>
        <w:spacing w:after="100" w:before="220"/>
      </w:pPr>
      <w:r>
        <w:rPr>
          <w:b/>
          <w:bCs/>
          <w:color w:val="B8860B"/>
          <w:sz w:val="24"/>
          <w:szCs w:val="24"/>
        </w:rPr>
        <w:t xml:space="preserve">2.5 Deployment</w:t>
      </w:r>
    </w:p>
    <w:p>
      <w:pPr>
        <w:spacing w:after="140"/>
      </w:pPr>
      <w:r>
        <w:rPr>
          <w:color w:val="1F1F1F"/>
          <w:sz w:val="22"/>
          <w:szCs w:val="22"/>
        </w:rPr>
        <w:t xml:space="preserve">The trained model was serialised and wrapped in a Streamlit application with a dark, gold-themed UI and a USD/INR currency toggle for accessibility to an Indian audience. The app was deployed on Streamlit Community Cloud with the code and README maintained on GitHub, so the project is live and shareable rather than sitting in a notebook.</w:t>
      </w:r>
    </w:p>
    <w:p>
      <w:pPr>
        <w:pStyle w:val="Heading1"/>
        <w:pBdr>
          <w:bottom w:val="single" w:color="B8860B" w:sz="6" w:space="4"/>
        </w:pBdr>
        <w:spacing w:after="160" w:before="320"/>
      </w:pPr>
      <w:r>
        <w:rPr>
          <w:b/>
          <w:bCs/>
          <w:color w:val="1F1F1F"/>
          <w:sz w:val="30"/>
          <w:szCs w:val="30"/>
        </w:rPr>
        <w:t xml:space="preserve">3. What I Learned</w:t>
      </w:r>
    </w:p>
    <w:p>
      <w:pPr>
        <w:pStyle w:val="ListParagraph"/>
        <w:numPr>
          <w:ilvl w:val="0"/>
          <w:numId w:val="2"/>
        </w:numPr>
        <w:spacing w:after="100"/>
      </w:pPr>
      <w:r>
        <w:rPr>
          <w:color w:val="1F1F1F"/>
          <w:sz w:val="22"/>
          <w:szCs w:val="22"/>
        </w:rPr>
        <w:t xml:space="preserve">Framing the problem correctly matters more than model choice — switching from "predict the price" to "predict a range of movement" made the whole project more honest and more useful.</w:t>
      </w:r>
    </w:p>
    <w:p>
      <w:pPr>
        <w:pStyle w:val="ListParagraph"/>
        <w:numPr>
          <w:ilvl w:val="0"/>
          <w:numId w:val="2"/>
        </w:numPr>
        <w:spacing w:after="100"/>
      </w:pPr>
      <w:r>
        <w:rPr>
          <w:color w:val="1F1F1F"/>
          <w:sz w:val="22"/>
          <w:szCs w:val="22"/>
        </w:rPr>
        <w:t xml:space="preserve">Quantile regression is a practical way to communicate model uncertainty to a non-technical user, without needing a full Bayesian setup.</w:t>
      </w:r>
    </w:p>
    <w:p>
      <w:pPr>
        <w:pStyle w:val="ListParagraph"/>
        <w:numPr>
          <w:ilvl w:val="0"/>
          <w:numId w:val="2"/>
        </w:numPr>
        <w:spacing w:after="100"/>
      </w:pPr>
      <w:r>
        <w:rPr>
          <w:color w:val="1F1F1F"/>
          <w:sz w:val="22"/>
          <w:szCs w:val="22"/>
        </w:rPr>
        <w:t xml:space="preserve">Cross-asset features (DXY, crude oil, yields, S&amp;P 500) carry more predictive signal for gold than gold's own price history alone — domain knowledge directly improved feature engineering.</w:t>
      </w:r>
    </w:p>
    <w:p>
      <w:pPr>
        <w:pStyle w:val="ListParagraph"/>
        <w:numPr>
          <w:ilvl w:val="0"/>
          <w:numId w:val="2"/>
        </w:numPr>
        <w:spacing w:after="100"/>
      </w:pPr>
      <w:r>
        <w:rPr>
          <w:color w:val="1F1F1F"/>
          <w:sz w:val="22"/>
          <w:szCs w:val="22"/>
        </w:rPr>
        <w:t xml:space="preserve">Shipping a deployed, interactive app forces a different level of polish than a notebook — UI, currency handling, and clear communication of model limitations all became part of the "real" project, not an afterthought.</w:t>
      </w:r>
    </w:p>
    <w:p>
      <w:pPr>
        <w:pStyle w:val="ListParagraph"/>
        <w:numPr>
          <w:ilvl w:val="0"/>
          <w:numId w:val="2"/>
        </w:numPr>
        <w:spacing w:after="100"/>
      </w:pPr>
      <w:r>
        <w:rPr>
          <w:color w:val="1F1F1F"/>
          <w:sz w:val="22"/>
          <w:szCs w:val="22"/>
        </w:rPr>
        <w:t xml:space="preserve">Reporting a model's actual coverage/accuracy honestly (63–65%, not overstated) is part of doing the work with integrity, and is a stronger signal to a recruiter than a suspiciously perfect number.</w:t>
      </w:r>
    </w:p>
    <w:p>
      <w:pPr>
        <w:pStyle w:val="Heading1"/>
        <w:pBdr>
          <w:bottom w:val="single" w:color="B8860B" w:sz="6" w:space="4"/>
        </w:pBdr>
        <w:spacing w:after="160" w:before="320"/>
      </w:pPr>
      <w:r>
        <w:rPr>
          <w:b/>
          <w:bCs/>
          <w:color w:val="1F1F1F"/>
          <w:sz w:val="30"/>
          <w:szCs w:val="30"/>
        </w:rPr>
        <w:t xml:space="preserve">4. Outcome</w:t>
      </w:r>
    </w:p>
    <w:p>
      <w:pPr>
        <w:pStyle w:val="ListParagraph"/>
        <w:numPr>
          <w:ilvl w:val="0"/>
          <w:numId w:val="2"/>
        </w:numPr>
        <w:spacing w:after="100"/>
      </w:pPr>
      <w:r>
        <w:rPr>
          <w:color w:val="1F1F1F"/>
          <w:sz w:val="22"/>
          <w:szCs w:val="22"/>
        </w:rPr>
        <w:t xml:space="preserve">A live, publicly deployed forecasting app — not just code, but a usable product.</w:t>
      </w:r>
    </w:p>
    <w:p>
      <w:pPr>
        <w:pStyle w:val="ListParagraph"/>
        <w:numPr>
          <w:ilvl w:val="0"/>
          <w:numId w:val="2"/>
        </w:numPr>
        <w:spacing w:after="100"/>
      </w:pPr>
      <w:r>
        <w:rPr>
          <w:color w:val="1F1F1F"/>
          <w:sz w:val="22"/>
          <w:szCs w:val="22"/>
        </w:rPr>
        <w:t xml:space="preserve">A complete end-to-end pipeline: data collection → feature engineering → model training (quantile regression) → evaluation → deployment.</w:t>
      </w:r>
    </w:p>
    <w:p>
      <w:pPr>
        <w:pStyle w:val="ListParagraph"/>
        <w:numPr>
          <w:ilvl w:val="0"/>
          <w:numId w:val="2"/>
        </w:numPr>
        <w:spacing w:after="100"/>
      </w:pPr>
      <w:r>
        <w:rPr>
          <w:color w:val="1F1F1F"/>
          <w:sz w:val="22"/>
          <w:szCs w:val="22"/>
        </w:rPr>
        <w:t xml:space="preserve">A documented GitHub repository with a professional README, ready to be shown to recruiters or discussed in interviews.</w:t>
      </w:r>
    </w:p>
    <w:p>
      <w:pPr>
        <w:pStyle w:val="ListParagraph"/>
        <w:numPr>
          <w:ilvl w:val="0"/>
          <w:numId w:val="2"/>
        </w:numPr>
        <w:spacing w:after="100"/>
      </w:pPr>
      <w:r>
        <w:rPr>
          <w:color w:val="1F1F1F"/>
          <w:sz w:val="22"/>
          <w:szCs w:val="22"/>
        </w:rPr>
        <w:t xml:space="preserve">Direct progress against the personal roadmap's Phase 2 milestone ("end-to-end predictive model wrapped in a deployable interface"), completed ahead of schedule.</w:t>
      </w:r>
    </w:p>
    <w:p>
      <w:pPr>
        <w:pStyle w:val="Heading1"/>
        <w:pBdr>
          <w:bottom w:val="single" w:color="B8860B" w:sz="6" w:space="4"/>
        </w:pBdr>
        <w:spacing w:after="160" w:before="320"/>
      </w:pPr>
      <w:r>
        <w:rPr>
          <w:b/>
          <w:bCs/>
          <w:color w:val="1F1F1F"/>
          <w:sz w:val="30"/>
          <w:szCs w:val="30"/>
        </w:rPr>
        <w:t xml:space="preserve">5. Links</w:t>
      </w:r>
    </w:p>
    <w:p>
      <w:pPr>
        <w:spacing w:after="80"/>
      </w:pPr>
      <w:r>
        <w:rPr>
          <w:b/>
          <w:bCs/>
          <w:color w:val="1F1F1F"/>
          <w:sz w:val="22"/>
          <w:szCs w:val="22"/>
        </w:rPr>
        <w:t xml:space="preserve">Live App:  </w:t>
      </w:r>
      <w:hyperlink w:history="1" r:id="rId8yw7r4d_svepbgvkuywyh">
        <w:r>
          <w:rPr>
            <w:rStyle w:val="Hyperlink"/>
            <w:sz w:val="22"/>
            <w:szCs w:val="22"/>
          </w:rPr>
          <w:t xml:space="preserve">gold-price-forecast-bcehaikrf8b5a3nnducoff.streamlit.app</w:t>
        </w:r>
      </w:hyperlink>
    </w:p>
    <w:p>
      <w:pPr>
        <w:spacing w:after="80"/>
      </w:pPr>
      <w:r>
        <w:rPr>
          <w:b/>
          <w:bCs/>
          <w:color w:val="1F1F1F"/>
          <w:sz w:val="22"/>
          <w:szCs w:val="22"/>
        </w:rPr>
        <w:t xml:space="preserve">GitHub:  </w:t>
      </w:r>
      <w:hyperlink w:history="1" r:id="rIdgzhixl5_uoynil0zqnf-y">
        <w:r>
          <w:rPr>
            <w:rStyle w:val="Hyperlink"/>
            <w:sz w:val="22"/>
            <w:szCs w:val="22"/>
          </w:rPr>
          <w:t xml:space="preserve">github.com/siddharth-0309/gold-price-forecast</w:t>
        </w:r>
      </w:hyperlink>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yw7r4d_svepbgvkuywyh" Type="http://schemas.openxmlformats.org/officeDocument/2006/relationships/hyperlink" Target="https://gold-price-forecast-bcehaikrf8b5a3nnducoff.streamlit.app/" TargetMode="External"/><Relationship Id="rIdgzhixl5_uoynil0zqnf-y" Type="http://schemas.openxmlformats.org/officeDocument/2006/relationships/hyperlink" Target="https://github.com/siddharth-0309/gold-price-forecas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2026-07-20T12:54:21.028Z</dcterms:created>
  <dcterms:modified xsi:type="dcterms:W3CDTF">2026-07-20T12:54:21.046Z</dcterms:modified>
</cp:coreProperties>
</file>

<file path=docProps/custom.xml><?xml version="1.0" encoding="utf-8"?>
<Properties xmlns="http://schemas.openxmlformats.org/officeDocument/2006/custom-properties" xmlns:vt="http://schemas.openxmlformats.org/officeDocument/2006/docPropsVTypes"/>
</file>