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Times New Roman" w:hAnsi="Times New Roman"/>
          <w:sz w:val="24"/>
        </w:rPr>
        <w:t>Concurrent Data Processing System in Java and Go</w:t>
      </w:r>
    </w:p>
    <w:p>
      <w:pPr>
        <w:spacing w:line="480" w:lineRule="auto"/>
        <w:jc w:val="center"/>
      </w:pPr>
      <w:r>
        <w:rPr>
          <w:rFonts w:ascii="Times New Roman" w:hAnsi="Times New Roman"/>
          <w:sz w:val="24"/>
        </w:rPr>
        <w:t>Siddharth Malhotra</w:t>
      </w:r>
    </w:p>
    <w:p>
      <w:pPr>
        <w:spacing w:line="480" w:lineRule="auto"/>
        <w:jc w:val="center"/>
      </w:pPr>
      <w:r>
        <w:rPr>
          <w:rFonts w:ascii="Times New Roman" w:hAnsi="Times New Roman"/>
          <w:sz w:val="24"/>
        </w:rPr>
        <w:t>Data Processing System Assignment</w:t>
      </w:r>
    </w:p>
    <w:p>
      <w:pPr>
        <w:spacing w:line="480" w:lineRule="auto"/>
        <w:jc w:val="center"/>
      </w:pPr>
      <w:r>
        <w:rPr>
          <w:rFonts w:ascii="Times New Roman" w:hAnsi="Times New Roman"/>
          <w:sz w:val="24"/>
        </w:rPr>
        <w:t>October 8, 2026</w:t>
      </w:r>
    </w:p>
    <w:p>
      <w:r>
        <w:rPr>
          <w:rFonts w:ascii="Times New Roman" w:hAnsi="Times New Roman"/>
          <w:sz w:val="24"/>
        </w:rPr>
        <w:br w:type="page"/>
      </w:r>
    </w:p>
    <w:p>
      <w:pPr>
        <w:pStyle w:val="Title"/>
        <w:jc w:val="center"/>
      </w:pPr>
      <w:r>
        <w:rPr>
          <w:rFonts w:ascii="Times New Roman" w:hAnsi="Times New Roman"/>
          <w:sz w:val="24"/>
        </w:rPr>
        <w:t>Concurrent Data Processing System in Java and Go</w:t>
      </w:r>
    </w:p>
    <w:p>
      <w:pPr>
        <w:pStyle w:val="BodyText"/>
        <w:ind w:firstLine="720"/>
      </w:pPr>
      <w:r>
        <w:rPr>
          <w:rFonts w:ascii="Times New Roman" w:hAnsi="Times New Roman"/>
          <w:sz w:val="24"/>
        </w:rPr>
        <w:t>This project compares equivalent three-worker systems in Java and Go. Each processes 10 queued integer tasks, records nine successes and one intentional input failure, and sorts the saved results for verification.</w:t>
      </w:r>
    </w:p>
    <w:p>
      <w:pPr>
        <w:pStyle w:val="Heading1"/>
        <w:jc w:val="center"/>
      </w:pPr>
      <w:r>
        <w:rPr>
          <w:rFonts w:ascii="Times New Roman" w:hAnsi="Times New Roman"/>
          <w:sz w:val="24"/>
        </w:rPr>
        <w:t>Java Concurrency and Exception Handling</w:t>
      </w:r>
    </w:p>
    <w:p>
      <w:pPr>
        <w:pStyle w:val="BodyText"/>
        <w:ind w:firstLine="720"/>
      </w:pPr>
      <w:r>
        <w:rPr>
          <w:rFonts w:ascii="Times New Roman" w:hAnsi="Times New Roman"/>
          <w:sz w:val="24"/>
        </w:rPr>
        <w:t>The Java TaskQueue wraps an ArrayDeque with addTask and getTask methods. A ReentrantLock protects queue state, while a Condition suspends workers when no task is available. Unlock runs in finally blocks, so an exception cannot leave the queue locked. When the producer closes the queue, signalAll wakes waiting workers; getTask returns null only after the closed queue is drained. This creates a termination condition without polling or poison-pill tasks.</w:t>
      </w:r>
    </w:p>
    <w:p>
      <w:pPr>
        <w:pStyle w:val="BodyText"/>
        <w:ind w:firstLine="720"/>
      </w:pPr>
      <w:r>
        <w:rPr>
          <w:rFonts w:ascii="Times New Roman" w:hAnsi="Times New Roman"/>
          <w:sz w:val="24"/>
        </w:rPr>
        <w:t>A fixed ExecutorService owns the workers. Main calls shutdown after submission and awaits termination with a timeout. Oracle (2026a) states that orderly shutdown rejects new work while allowing submitted work to finish. A synchronized list protects results. Worker try-catch blocks convert invalid inputs into ERROR records, preserve InterruptedException status, and continue processing when possible. Try-with-resources closes the output writer, and IOException is logged.</w:t>
      </w:r>
    </w:p>
    <w:p>
      <w:pPr>
        <w:pStyle w:val="Heading1"/>
        <w:jc w:val="center"/>
      </w:pPr>
      <w:r>
        <w:rPr>
          <w:rFonts w:ascii="Times New Roman" w:hAnsi="Times New Roman"/>
          <w:sz w:val="24"/>
        </w:rPr>
        <w:t>Go Concurrency and Error Handling</w:t>
      </w:r>
    </w:p>
    <w:p>
      <w:pPr>
        <w:pStyle w:val="BodyText"/>
        <w:ind w:firstLine="720"/>
      </w:pPr>
      <w:r>
        <w:rPr>
          <w:rFonts w:ascii="Times New Roman" w:hAnsi="Times New Roman"/>
          <w:sz w:val="24"/>
        </w:rPr>
        <w:t>Go uses a buffered channel as its TaskQueue. AddTask sends a value, GetTask exposes a receive-only channel, and Close closes the channel after submission. A goroutine ranges over the channel and stops after it is closed and drained. Closing a channel indicates that no more values will be sent (The Go Authors, 2026a). A sync.WaitGroup prevents output from being written before every worker returns.</w:t>
      </w:r>
    </w:p>
    <w:p>
      <w:pPr>
        <w:pStyle w:val="BodyText"/>
        <w:ind w:firstLine="720"/>
      </w:pPr>
      <w:r>
        <w:rPr>
          <w:rFonts w:ascii="Times New Roman" w:hAnsi="Times New Roman"/>
          <w:sz w:val="24"/>
        </w:rPr>
        <w:t>Go functions return errors rather than throwing exceptions. processTask returns a Result and an error; a bad value becomes a logged ERROR record without stopping other goroutines. A mutex protects the result slice, and deferred Unlock calls limit the critical section to slice operations. The output function wraps create, write, flush, and close errors. Deferred cleanup runs on every return path.</w:t>
      </w:r>
    </w:p>
    <w:p>
      <w:pPr>
        <w:pStyle w:val="Heading1"/>
        <w:jc w:val="center"/>
      </w:pPr>
      <w:r>
        <w:rPr>
          <w:rFonts w:ascii="Times New Roman" w:hAnsi="Times New Roman"/>
          <w:sz w:val="24"/>
        </w:rPr>
        <w:t>Comparison of the Concurrency Models</w:t>
      </w:r>
    </w:p>
    <w:p>
      <w:pPr>
        <w:pStyle w:val="BodyText"/>
        <w:ind w:firstLine="720"/>
      </w:pPr>
      <w:r>
        <w:rPr>
          <w:rFonts w:ascii="Times New Roman" w:hAnsi="Times New Roman"/>
          <w:sz w:val="24"/>
        </w:rPr>
        <w:t>Java coordinates shared state with locks and a condition; ExecutorService separately manages thread lifecycle. ReentrantLock provides monitor-like exclusion, but lock release remains the programmer's responsibility, which is why Oracle (2026b) recommends try-finally. Go moves task ownership through a channel. Closing the channel communicates completion, while WaitGroup provides the join operation. A mutex is still required for the shared result slice.</w:t>
      </w:r>
    </w:p>
    <w:p>
      <w:pPr>
        <w:pStyle w:val="BodyText"/>
        <w:ind w:firstLine="720"/>
      </w:pPr>
      <w:r>
        <w:rPr>
          <w:rFonts w:ascii="Times New Roman" w:hAnsi="Times New Roman"/>
          <w:sz w:val="24"/>
        </w:rPr>
        <w:t>Go needs less queue synchronization code because send, receive, and close express the handoff directly. Its pipeline guidance recommends closing outbound channels and draining receive loops (The Go Authors, 2014). Java gives more explicit control over waiting and interruption but requires stricter lock discipline.</w:t>
      </w:r>
    </w:p>
    <w:p>
      <w:pPr>
        <w:pStyle w:val="Heading1"/>
        <w:jc w:val="center"/>
      </w:pPr>
      <w:r>
        <w:rPr>
          <w:rFonts w:ascii="Times New Roman" w:hAnsi="Times New Roman"/>
          <w:sz w:val="24"/>
        </w:rPr>
        <w:t>Deadlock Prevention and Verification</w:t>
      </w:r>
    </w:p>
    <w:p>
      <w:pPr>
        <w:pStyle w:val="BodyText"/>
        <w:ind w:firstLine="720"/>
      </w:pPr>
      <w:r>
        <w:rPr>
          <w:rFonts w:ascii="Times New Roman" w:hAnsi="Times New Roman"/>
          <w:sz w:val="24"/>
        </w:rPr>
        <w:t>Neither implementation nests locks or performs work while holding one. Java unlocks in finally blocks and wakes all waiters at closure; Go closes the task channel once after all sends. Both saved 10 records with nine OK and one ERROR status. The Go race-enabled test produced no race report.</w:t>
      </w:r>
    </w:p>
    <w:p>
      <w:r>
        <w:rPr>
          <w:rFonts w:ascii="Times New Roman" w:hAnsi="Times New Roman"/>
          <w:sz w:val="24"/>
        </w:rPr>
        <w:br w:type="page"/>
      </w:r>
    </w:p>
    <w:p>
      <w:pPr>
        <w:pStyle w:val="Heading1"/>
        <w:jc w:val="center"/>
      </w:pPr>
      <w:r>
        <w:rPr>
          <w:rFonts w:ascii="Times New Roman" w:hAnsi="Times New Roman"/>
          <w:sz w:val="24"/>
        </w:rPr>
        <w:t>References</w:t>
      </w:r>
    </w:p>
    <w:p>
      <w:pPr>
        <w:pStyle w:val="Reference"/>
      </w:pPr>
      <w:r>
        <w:rPr>
          <w:rFonts w:ascii="Times New Roman" w:hAnsi="Times New Roman"/>
          <w:sz w:val="24"/>
        </w:rPr>
        <w:t>Oracle. (2026a). ExecutorService (Java SE 25 &amp; JDK 25). https://docs.oracle.com/en/java/javase/25/docs/api/java.base/java/util/concurrent/ExecutorService.html</w:t>
      </w:r>
    </w:p>
    <w:p>
      <w:pPr>
        <w:pStyle w:val="Reference"/>
      </w:pPr>
      <w:r>
        <w:rPr>
          <w:rFonts w:ascii="Times New Roman" w:hAnsi="Times New Roman"/>
          <w:sz w:val="24"/>
        </w:rPr>
        <w:t>Oracle. (2026b). ReentrantLock (Java SE 25 &amp; JDK 25). https://docs.oracle.com/en/java/javase/25/docs/api/java.base/java/util/concurrent/locks/ReentrantLock.html</w:t>
      </w:r>
    </w:p>
    <w:p>
      <w:pPr>
        <w:pStyle w:val="Reference"/>
      </w:pPr>
      <w:r>
        <w:rPr>
          <w:rFonts w:ascii="Times New Roman" w:hAnsi="Times New Roman"/>
          <w:sz w:val="24"/>
        </w:rPr>
        <w:t>The Go Authors. (2014, March 13). Go concurrency patterns: Pipelines and cancellation. https://go.dev/blog/pipelines</w:t>
      </w:r>
    </w:p>
    <w:p>
      <w:pPr>
        <w:pStyle w:val="Reference"/>
      </w:pPr>
      <w:r>
        <w:rPr>
          <w:rFonts w:ascii="Times New Roman" w:hAnsi="Times New Roman"/>
          <w:sz w:val="24"/>
        </w:rPr>
        <w:t>The Go Authors. (2026a). The Go programming language specification: Channel types. https://go.dev/ref/spec#Channel_types</w:t>
      </w:r>
    </w:p>
    <w:p>
      <w:pPr>
        <w:pStyle w:val="Heading1"/>
        <w:jc w:val="center"/>
      </w:pPr>
      <w:r>
        <w:rPr>
          <w:rFonts w:ascii="Times New Roman" w:hAnsi="Times New Roman"/>
          <w:sz w:val="24"/>
        </w:rPr>
        <w:t>Repository</w:t>
      </w:r>
    </w:p>
    <w:p>
      <w:pPr>
        <w:pStyle w:val="BodyText"/>
        <w:ind w:firstLine="720"/>
      </w:pPr>
      <w:r>
        <w:rPr>
          <w:rFonts w:ascii="Times New Roman" w:hAnsi="Times New Roman"/>
          <w:sz w:val="24"/>
        </w:rPr>
        <w:t>The complete source code, execution instructions, and report are available at https://github.com/siddharth2170/data-processing-system</w:t>
      </w:r>
    </w:p>
    <w:p>
      <w:r>
        <w:rPr>
          <w:rFonts w:ascii="Times New Roman" w:hAnsi="Times New Roman"/>
          <w:sz w:val="24"/>
        </w:rPr>
        <w:br w:type="page"/>
      </w:r>
    </w:p>
    <w:p>
      <w:pPr>
        <w:pStyle w:val="Heading1"/>
        <w:jc w:val="center"/>
      </w:pPr>
      <w:r>
        <w:rPr>
          <w:rFonts w:ascii="Times New Roman" w:hAnsi="Times New Roman"/>
          <w:sz w:val="24"/>
        </w:rPr>
        <w:t>Appendix A</w:t>
      </w:r>
    </w:p>
    <w:p>
      <w:pPr>
        <w:jc w:val="center"/>
      </w:pPr>
      <w:r>
        <w:rPr>
          <w:rFonts w:ascii="Times New Roman" w:hAnsi="Times New Roman"/>
          <w:b/>
          <w:sz w:val="24"/>
        </w:rPr>
        <w:t>Java Source Code and Sample Output</w:t>
      </w:r>
    </w:p>
    <w:p>
      <w:pPr>
        <w:spacing w:after="80"/>
        <w:jc w:val="center"/>
      </w:pPr>
      <w:r>
        <w:drawing>
          <wp:inline xmlns:a="http://schemas.openxmlformats.org/drawingml/2006/main" xmlns:pic="http://schemas.openxmlformats.org/drawingml/2006/picture">
            <wp:extent cx="5897880" cy="3686175"/>
            <wp:docPr id="1" name="Picture 1"/>
            <wp:cNvGraphicFramePr>
              <a:graphicFrameLocks noChangeAspect="1"/>
            </wp:cNvGraphicFramePr>
            <a:graphic>
              <a:graphicData uri="http://schemas.openxmlformats.org/drawingml/2006/picture">
                <pic:pic>
                  <pic:nvPicPr>
                    <pic:cNvPr id="0" name="java-code.png"/>
                    <pic:cNvPicPr/>
                  </pic:nvPicPr>
                  <pic:blipFill>
                    <a:blip r:embed="rId10"/>
                    <a:stretch>
                      <a:fillRect/>
                    </a:stretch>
                  </pic:blipFill>
                  <pic:spPr>
                    <a:xfrm>
                      <a:off x="0" y="0"/>
                      <a:ext cx="5897880" cy="3686175"/>
                    </a:xfrm>
                    <a:prstGeom prst="rect"/>
                  </pic:spPr>
                </pic:pic>
              </a:graphicData>
            </a:graphic>
          </wp:inline>
        </w:drawing>
      </w:r>
    </w:p>
    <w:p>
      <w:pPr>
        <w:pStyle w:val="Caption"/>
        <w:keepNext w:val="0"/>
        <w:jc w:val="left"/>
      </w:pPr>
      <w:r>
        <w:rPr>
          <w:rFonts w:ascii="Times New Roman" w:hAnsi="Times New Roman"/>
          <w:b/>
          <w:sz w:val="24"/>
        </w:rPr>
        <w:t xml:space="preserve">Figure A1. </w:t>
      </w:r>
      <w:r>
        <w:rPr>
          <w:rFonts w:ascii="Times New Roman" w:hAnsi="Times New Roman"/>
          <w:i/>
          <w:sz w:val="24"/>
        </w:rPr>
        <w:t>Java synchronized queue and worker-pool code excerpt</w:t>
      </w:r>
    </w:p>
    <w:p>
      <w:r>
        <w:rPr>
          <w:rFonts w:ascii="Times New Roman" w:hAnsi="Times New Roman"/>
          <w:sz w:val="24"/>
        </w:rPr>
        <w:br w:type="page"/>
      </w:r>
    </w:p>
    <w:p>
      <w:pPr>
        <w:pStyle w:val="Heading1"/>
        <w:jc w:val="center"/>
      </w:pPr>
      <w:r>
        <w:rPr>
          <w:rFonts w:ascii="Times New Roman" w:hAnsi="Times New Roman"/>
          <w:sz w:val="24"/>
        </w:rPr>
        <w:t>Appendix A Continued</w:t>
      </w:r>
    </w:p>
    <w:p>
      <w:pPr>
        <w:spacing w:after="80"/>
        <w:jc w:val="center"/>
      </w:pPr>
      <w:r>
        <w:drawing>
          <wp:inline xmlns:a="http://schemas.openxmlformats.org/drawingml/2006/main" xmlns:pic="http://schemas.openxmlformats.org/drawingml/2006/picture">
            <wp:extent cx="5897880" cy="3686175"/>
            <wp:docPr id="2" name="Picture 2"/>
            <wp:cNvGraphicFramePr>
              <a:graphicFrameLocks noChangeAspect="1"/>
            </wp:cNvGraphicFramePr>
            <a:graphic>
              <a:graphicData uri="http://schemas.openxmlformats.org/drawingml/2006/picture">
                <pic:pic>
                  <pic:nvPicPr>
                    <pic:cNvPr id="0" name="java-output.png"/>
                    <pic:cNvPicPr/>
                  </pic:nvPicPr>
                  <pic:blipFill>
                    <a:blip r:embed="rId11"/>
                    <a:stretch>
                      <a:fillRect/>
                    </a:stretch>
                  </pic:blipFill>
                  <pic:spPr>
                    <a:xfrm>
                      <a:off x="0" y="0"/>
                      <a:ext cx="5897880" cy="3686175"/>
                    </a:xfrm>
                    <a:prstGeom prst="rect"/>
                  </pic:spPr>
                </pic:pic>
              </a:graphicData>
            </a:graphic>
          </wp:inline>
        </w:drawing>
      </w:r>
    </w:p>
    <w:p>
      <w:pPr>
        <w:pStyle w:val="Caption"/>
        <w:keepNext w:val="0"/>
        <w:jc w:val="left"/>
      </w:pPr>
      <w:r>
        <w:rPr>
          <w:rFonts w:ascii="Times New Roman" w:hAnsi="Times New Roman"/>
          <w:b/>
          <w:sz w:val="24"/>
        </w:rPr>
        <w:t xml:space="preserve">Figure A2. </w:t>
      </w:r>
      <w:r>
        <w:rPr>
          <w:rFonts w:ascii="Times New Roman" w:hAnsi="Times New Roman"/>
          <w:i/>
          <w:sz w:val="24"/>
        </w:rPr>
        <w:t>Java execution log showing worker lifecycle and final counts</w:t>
      </w:r>
    </w:p>
    <w:p>
      <w:r>
        <w:rPr>
          <w:rFonts w:ascii="Times New Roman" w:hAnsi="Times New Roman"/>
          <w:sz w:val="24"/>
        </w:rPr>
        <w:br w:type="page"/>
      </w:r>
    </w:p>
    <w:p>
      <w:pPr>
        <w:pStyle w:val="Heading1"/>
        <w:jc w:val="center"/>
      </w:pPr>
      <w:r>
        <w:rPr>
          <w:rFonts w:ascii="Times New Roman" w:hAnsi="Times New Roman"/>
          <w:sz w:val="24"/>
        </w:rPr>
        <w:t>Appendix B</w:t>
      </w:r>
    </w:p>
    <w:p>
      <w:pPr>
        <w:jc w:val="center"/>
      </w:pPr>
      <w:r>
        <w:rPr>
          <w:rFonts w:ascii="Times New Roman" w:hAnsi="Times New Roman"/>
          <w:b/>
          <w:sz w:val="24"/>
        </w:rPr>
        <w:t>Go Source Code and Sample Output</w:t>
      </w:r>
    </w:p>
    <w:p>
      <w:pPr>
        <w:spacing w:after="80"/>
        <w:jc w:val="center"/>
      </w:pPr>
      <w:r>
        <w:drawing>
          <wp:inline xmlns:a="http://schemas.openxmlformats.org/drawingml/2006/main" xmlns:pic="http://schemas.openxmlformats.org/drawingml/2006/picture">
            <wp:extent cx="5897880" cy="3686175"/>
            <wp:docPr id="3" name="Picture 3"/>
            <wp:cNvGraphicFramePr>
              <a:graphicFrameLocks noChangeAspect="1"/>
            </wp:cNvGraphicFramePr>
            <a:graphic>
              <a:graphicData uri="http://schemas.openxmlformats.org/drawingml/2006/picture">
                <pic:pic>
                  <pic:nvPicPr>
                    <pic:cNvPr id="0" name="go-code.png"/>
                    <pic:cNvPicPr/>
                  </pic:nvPicPr>
                  <pic:blipFill>
                    <a:blip r:embed="rId12"/>
                    <a:stretch>
                      <a:fillRect/>
                    </a:stretch>
                  </pic:blipFill>
                  <pic:spPr>
                    <a:xfrm>
                      <a:off x="0" y="0"/>
                      <a:ext cx="5897880" cy="3686175"/>
                    </a:xfrm>
                    <a:prstGeom prst="rect"/>
                  </pic:spPr>
                </pic:pic>
              </a:graphicData>
            </a:graphic>
          </wp:inline>
        </w:drawing>
      </w:r>
    </w:p>
    <w:p>
      <w:pPr>
        <w:pStyle w:val="Caption"/>
        <w:keepNext w:val="0"/>
        <w:jc w:val="left"/>
      </w:pPr>
      <w:r>
        <w:rPr>
          <w:rFonts w:ascii="Times New Roman" w:hAnsi="Times New Roman"/>
          <w:b/>
          <w:sz w:val="24"/>
        </w:rPr>
        <w:t xml:space="preserve">Figure B1. </w:t>
      </w:r>
      <w:r>
        <w:rPr>
          <w:rFonts w:ascii="Times New Roman" w:hAnsi="Times New Roman"/>
          <w:i/>
          <w:sz w:val="24"/>
        </w:rPr>
        <w:t>Go channel queue and synchronized result-store code excerpt</w:t>
      </w:r>
    </w:p>
    <w:p>
      <w:r>
        <w:rPr>
          <w:rFonts w:ascii="Times New Roman" w:hAnsi="Times New Roman"/>
          <w:sz w:val="24"/>
        </w:rPr>
        <w:br w:type="page"/>
      </w:r>
    </w:p>
    <w:p>
      <w:pPr>
        <w:pStyle w:val="Heading1"/>
        <w:jc w:val="center"/>
      </w:pPr>
      <w:r>
        <w:rPr>
          <w:rFonts w:ascii="Times New Roman" w:hAnsi="Times New Roman"/>
          <w:sz w:val="24"/>
        </w:rPr>
        <w:t>Appendix B Continued</w:t>
      </w:r>
    </w:p>
    <w:p>
      <w:pPr>
        <w:spacing w:after="80"/>
        <w:jc w:val="center"/>
      </w:pPr>
      <w:r>
        <w:drawing>
          <wp:inline xmlns:a="http://schemas.openxmlformats.org/drawingml/2006/main" xmlns:pic="http://schemas.openxmlformats.org/drawingml/2006/picture">
            <wp:extent cx="5897880" cy="3686175"/>
            <wp:docPr id="4" name="Picture 4"/>
            <wp:cNvGraphicFramePr>
              <a:graphicFrameLocks noChangeAspect="1"/>
            </wp:cNvGraphicFramePr>
            <a:graphic>
              <a:graphicData uri="http://schemas.openxmlformats.org/drawingml/2006/picture">
                <pic:pic>
                  <pic:nvPicPr>
                    <pic:cNvPr id="0" name="go-output.png"/>
                    <pic:cNvPicPr/>
                  </pic:nvPicPr>
                  <pic:blipFill>
                    <a:blip r:embed="rId13"/>
                    <a:stretch>
                      <a:fillRect/>
                    </a:stretch>
                  </pic:blipFill>
                  <pic:spPr>
                    <a:xfrm>
                      <a:off x="0" y="0"/>
                      <a:ext cx="5897880" cy="3686175"/>
                    </a:xfrm>
                    <a:prstGeom prst="rect"/>
                  </pic:spPr>
                </pic:pic>
              </a:graphicData>
            </a:graphic>
          </wp:inline>
        </w:drawing>
      </w:r>
    </w:p>
    <w:p>
      <w:pPr>
        <w:pStyle w:val="Caption"/>
        <w:keepNext w:val="0"/>
        <w:jc w:val="left"/>
      </w:pPr>
      <w:r>
        <w:rPr>
          <w:rFonts w:ascii="Times New Roman" w:hAnsi="Times New Roman"/>
          <w:b/>
          <w:sz w:val="24"/>
        </w:rPr>
        <w:t xml:space="preserve">Figure B2. </w:t>
      </w:r>
      <w:r>
        <w:rPr>
          <w:rFonts w:ascii="Times New Roman" w:hAnsi="Times New Roman"/>
          <w:i/>
          <w:sz w:val="24"/>
        </w:rPr>
        <w:t>Go execution log showing worker lifecycle and final counts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line="480" w:lineRule="auto" w:after="0"/>
      <w:ind w:left="720" w:hanging="7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Concurrent Data Processing System in Java and Go</dc:title>
  <dc:subject>Concurrency and exception handling comparison</dc:subject>
  <dc:creator>Siddharth Malhotra</dc:creator>
  <cp:keywords/>
  <dc:description>generated by python-docx</dc:description>
  <cp:lastModifiedBy/>
  <cp:revision>1</cp:revision>
  <dcterms:created xsi:type="dcterms:W3CDTF">2013-12-23T23:15:00Z</dcterms:created>
  <dcterms:modified xsi:type="dcterms:W3CDTF">2013-12-23T23:15:00Z</dcterms:modified>
  <cp:category/>
</cp:coreProperties>
</file>