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 novo peptide binders against human RBP4</w:t>
      </w:r>
    </w:p>
    <w:p>
      <w:pPr>
        <w:spacing w:after="40"/>
      </w:pPr>
      <w:r>
        <w:rPr>
          <w:i/>
          <w:iCs/>
          <w:color w:val="555555"/>
        </w:rPr>
        <w:t xml:space="preserve">Design campaign, orthogonal validation, and candidate shortlist</w:t>
      </w:r>
    </w:p>
    <w:p>
      <w:pPr>
        <w:spacing w:after="260"/>
      </w:pPr>
      <w:r>
        <w:rPr>
          <w:color w:val="777777"/>
          <w:sz w:val="17"/>
          <w:szCs w:val="17"/>
        </w:rPr>
        <w:t xml:space="preserve">24 September 2026 · BindCraft 2 + Protenix-v2 · AIMecoSPECS</w:t>
      </w:r>
    </w:p>
    <w:p>
      <w:pPr>
        <w:pStyle w:val="Heading1"/>
        <w:spacing w:after="110" w:before="190"/>
      </w:pPr>
      <w:r>
        <w:t xml:space="preserve">Summary</w:t>
      </w:r>
    </w:p>
    <w:p>
      <w:pPr>
        <w:spacing w:after="120"/>
      </w:pPr>
      <w:r>
        <w:t xml:space="preserve">Two BindCraft 2 (BC2) campaigns produced 21 accepted peptide binders against the retinol portal of human RBP4 — 10 head-to-tail macrocycles and 11 linear peptides. Twenty of these were re-predicted with Protenix-v2, an independent structure-prediction architecture, across five random seeds (500 structures total). The twenty are all 10 macrocycles and 10 of the 11 linears; linear rank 5 was excluded at input generation, having already bound off-epitope in BC2's own output.</w:t>
      </w:r>
    </w:p>
    <w:p>
      <w:pPr>
        <w:spacing w:after="120"/>
      </w:pPr>
      <w:r>
        <w:t xml:space="preserve">The central finding is that BC2's own confidence score does not predict independent agreement: r(BC2 i_pTM, Protenix ipTM) = +0.06, and r(BC2 i_pTM, epitope agreement) = −0.19. Candidates are therefore ranked on cross-model consensus, not on BC2 score. Ten designs survive; four are recommended for synthesis.</w:t>
      </w:r>
    </w:p>
    <w:p>
      <w:pPr>
        <w:spacing w:after="120"/>
      </w:pPr>
      <w:r>
        <w:rPr>
          <w:b/>
          <w:bCs/>
        </w:rPr>
        <w:t xml:space="preserve">Nothing here is experimental. These are two structure predictors agreeing with one another, which raises confidence but does not demonstrate binding.</w:t>
      </w:r>
    </w:p>
    <w:p>
      <w:pPr>
        <w:pStyle w:val="Heading1"/>
        <w:spacing w:after="110" w:before="190"/>
      </w:pPr>
      <w:r>
        <w:t xml:space="preserve">1. Target and epitope</w:t>
      </w:r>
    </w:p>
    <w:p>
      <w:pPr>
        <w:spacing w:after="120"/>
      </w:pPr>
      <w:r>
        <w:t xml:space="preserve">Human retinol-binding protein 4 (RBP4), PDB 5NU7 at 1.50 Å — chosen over 1RBP (2.00 Å) and 3FMZ (2.90 Å) on resolution, single chain, and native retinol ligand. Prepared as chain A only, residues 1–174, with retinol, chloride and waters stripped and disordered Asp175 dropped. All three disulfides intact (Cys4–Cys160, Cys70–Cys174, Cys120–Cys129); no free cysteines.</w:t>
      </w:r>
    </w:p>
    <w:p>
      <w:pPr>
        <w:spacing w:after="120"/>
      </w:pPr>
      <w:r>
        <w:t xml:space="preserve">RBP4 is a lipocalin: an eight-stranded β-barrel holding retinol in a cup. The targeted site is the mouth of that cup — the portal — which overlaps the transthyretin binding surface and is the pharmacologically meaningful site.</w:t>
      </w:r>
    </w:p>
    <w:p>
      <w:pPr>
        <w:spacing w:after="120"/>
      </w:pPr>
      <w:r>
        <w:t xml:space="preserve">The epitope was selected in two steps: residues within 5 Å of retinol, then filtered by solvent accessibility, since barrel-interior residues contact retinol but are unreachable by a peptide. The resulting hotspot set is 35, 62, 64, 67, 93, 95, 96, 98, 99 — a hydrophobic groove framed by charges, with Trp67 and Phe96 at the core.</w:t>
      </w:r>
    </w:p>
    <w:p>
      <w:pPr>
        <w:spacing w:after="50" w:before="120"/>
        <w:jc w:val="center"/>
      </w:pPr>
      <w:r>
        <w:drawing>
          <wp:inline distT="0" distB="0" distL="0" distR="0">
            <wp:extent cx="3886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86200" cy="3171825"/>
                    </a:xfrm>
                    <a:prstGeom prst="rect">
                      <a:avLst/>
                    </a:prstGeom>
                  </pic:spPr>
                </pic:pic>
              </a:graphicData>
            </a:graphic>
          </wp:inline>
        </w:drawing>
      </w:r>
    </w:p>
    <w:p>
      <w:pPr>
        <w:spacing w:after="150"/>
        <w:jc w:val="center"/>
      </w:pPr>
      <w:r>
        <w:rPr>
          <w:i/>
          <w:iCs/>
          <w:color w:val="555555"/>
          <w:sz w:val="16"/>
          <w:szCs w:val="16"/>
        </w:rPr>
        <w:t xml:space="preserve">Figure 1. RBP4 (PDB 5NU7, chain A) in grey, with the nine targeted portal residues in orange. The retinol calyx opens toward the upper right. All figures share one orientation and one superposition frame (target Cα RMSD 0.22–0.31 Å).</w:t>
      </w:r>
    </w:p>
    <w:p>
      <w:pPr>
        <w:pStyle w:val="Heading1"/>
        <w:spacing w:after="110" w:before="190"/>
      </w:pPr>
      <w:r>
        <w:t xml:space="preserve">2. Design</w:t>
      </w:r>
    </w:p>
    <w:p>
      <w:pPr>
        <w:spacing w:after="120"/>
      </w:pPr>
      <w:r>
        <w:t xml:space="preserve">BC2 was run in peptide modality with soft hotspot targeting, binder lengths 12–25, on three RTX 3070-class GPUs. Two campaigns: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500"/>
        <w:gridCol w:w="1500"/>
      </w:tblGrid>
      <w:tr>
        <w:trPr>
          <w:tblHeader/>
        </w:trPr>
        <w:tc>
          <w:tcPr>
            <w:tcW w:type="dxa" w:w="2600"/>
            <w:shd w:fill="E8EAED" w:color="auto" w:val="clear"/>
            <w:tcMar>
              <w:top w:type="dxa" w:w="60"/>
              <w:left w:type="dxa" w:w="90"/>
              <w:bottom w:type="dxa" w:w="60"/>
              <w:right w:type="dxa" w:w="90"/>
            </w:tcMar>
          </w:tcPr>
          <w:p>
            <w:pPr>
              <w:spacing w:after="0"/>
            </w:pPr>
            <w:r>
              <w:rPr>
                <w:b/>
                <w:bCs/>
                <w:sz w:val="17"/>
                <w:szCs w:val="17"/>
              </w:rPr>
              <w:t xml:space="preserve">Campaign</w:t>
            </w:r>
          </w:p>
        </w:tc>
        <w:tc>
          <w:tcPr>
            <w:tcW w:type="dxa" w:w="1700"/>
            <w:shd w:fill="E8EAED" w:color="auto" w:val="clear"/>
            <w:tcMar>
              <w:top w:type="dxa" w:w="60"/>
              <w:left w:type="dxa" w:w="90"/>
              <w:bottom w:type="dxa" w:w="60"/>
              <w:right w:type="dxa" w:w="90"/>
            </w:tcMar>
          </w:tcPr>
          <w:p>
            <w:pPr>
              <w:spacing w:after="0"/>
              <w:jc w:val="center"/>
            </w:pPr>
            <w:r>
              <w:rPr>
                <w:b/>
                <w:bCs/>
                <w:sz w:val="17"/>
                <w:szCs w:val="17"/>
              </w:rPr>
              <w:t xml:space="preserve">Trajectories</w:t>
            </w:r>
          </w:p>
        </w:tc>
        <w:tc>
          <w:tcPr>
            <w:tcW w:type="dxa" w:w="1700"/>
            <w:shd w:fill="E8EAED" w:color="auto" w:val="clear"/>
            <w:tcMar>
              <w:top w:type="dxa" w:w="60"/>
              <w:left w:type="dxa" w:w="90"/>
              <w:bottom w:type="dxa" w:w="60"/>
              <w:right w:type="dxa" w:w="90"/>
            </w:tcMar>
          </w:tcPr>
          <w:p>
            <w:pPr>
              <w:spacing w:after="0"/>
              <w:jc w:val="center"/>
            </w:pPr>
            <w:r>
              <w:rPr>
                <w:b/>
                <w:bCs/>
                <w:sz w:val="17"/>
                <w:szCs w:val="17"/>
              </w:rPr>
              <w:t xml:space="preserve">Accepted</w:t>
            </w:r>
          </w:p>
        </w:tc>
        <w:tc>
          <w:tcPr>
            <w:tcW w:type="dxa" w:w="1500"/>
            <w:shd w:fill="E8EAED" w:color="auto" w:val="clear"/>
            <w:tcMar>
              <w:top w:type="dxa" w:w="60"/>
              <w:left w:type="dxa" w:w="90"/>
              <w:bottom w:type="dxa" w:w="60"/>
              <w:right w:type="dxa" w:w="90"/>
            </w:tcMar>
          </w:tcPr>
          <w:p>
            <w:pPr>
              <w:spacing w:after="0"/>
              <w:jc w:val="center"/>
            </w:pPr>
            <w:r>
              <w:rPr>
                <w:b/>
                <w:bCs/>
                <w:sz w:val="17"/>
                <w:szCs w:val="17"/>
              </w:rPr>
              <w:t xml:space="preserve">Accept rate</w:t>
            </w:r>
          </w:p>
        </w:tc>
        <w:tc>
          <w:tcPr>
            <w:tcW w:type="dxa" w:w="1500"/>
            <w:shd w:fill="E8EAED" w:color="auto" w:val="clear"/>
            <w:tcMar>
              <w:top w:type="dxa" w:w="60"/>
              <w:left w:type="dxa" w:w="90"/>
              <w:bottom w:type="dxa" w:w="60"/>
              <w:right w:type="dxa" w:w="90"/>
            </w:tcMar>
          </w:tcPr>
          <w:p>
            <w:pPr>
              <w:spacing w:after="0"/>
              <w:jc w:val="center"/>
            </w:pPr>
            <w:r>
              <w:rPr>
                <w:b/>
                <w:bCs/>
                <w:sz w:val="17"/>
                <w:szCs w:val="17"/>
              </w:rPr>
              <w:t xml:space="preserve">Runtime</w:t>
            </w:r>
          </w:p>
        </w:tc>
      </w:tr>
      <w:tr>
        <w:tc>
          <w:tcPr>
            <w:tcW w:type="dxa" w:w="2600"/>
            <w:tcMar>
              <w:top w:type="dxa" w:w="60"/>
              <w:left w:type="dxa" w:w="90"/>
              <w:bottom w:type="dxa" w:w="60"/>
              <w:right w:type="dxa" w:w="90"/>
            </w:tcMar>
          </w:tcPr>
          <w:p>
            <w:pPr>
              <w:spacing w:after="0"/>
            </w:pPr>
            <w:r>
              <w:rPr>
                <w:b w:val="false"/>
                <w:bCs w:val="false"/>
                <w:sz w:val="17"/>
                <w:szCs w:val="17"/>
              </w:rPr>
              <w:t xml:space="preserve">Cyclic (macrocycle)</w:t>
            </w:r>
          </w:p>
        </w:tc>
        <w:tc>
          <w:tcPr>
            <w:tcW w:type="dxa" w:w="1700"/>
            <w:tcMar>
              <w:top w:type="dxa" w:w="60"/>
              <w:left w:type="dxa" w:w="90"/>
              <w:bottom w:type="dxa" w:w="60"/>
              <w:right w:type="dxa" w:w="90"/>
            </w:tcMar>
          </w:tcPr>
          <w:p>
            <w:pPr>
              <w:spacing w:after="0"/>
              <w:jc w:val="center"/>
            </w:pPr>
            <w:r>
              <w:rPr>
                <w:b w:val="false"/>
                <w:bCs w:val="false"/>
                <w:sz w:val="17"/>
                <w:szCs w:val="17"/>
              </w:rPr>
              <w:t xml:space="preserve">815</w:t>
            </w:r>
          </w:p>
        </w:tc>
        <w:tc>
          <w:tcPr>
            <w:tcW w:type="dxa" w:w="1700"/>
            <w:tcMar>
              <w:top w:type="dxa" w:w="60"/>
              <w:left w:type="dxa" w:w="90"/>
              <w:bottom w:type="dxa" w:w="60"/>
              <w:right w:type="dxa" w:w="90"/>
            </w:tcMar>
          </w:tcPr>
          <w:p>
            <w:pPr>
              <w:spacing w:after="0"/>
              <w:jc w:val="center"/>
            </w:pPr>
            <w:r>
              <w:rPr>
                <w:b w:val="false"/>
                <w:bCs w:val="false"/>
                <w:sz w:val="17"/>
                <w:szCs w:val="17"/>
              </w:rPr>
              <w:t xml:space="preserve">10</w:t>
            </w:r>
          </w:p>
        </w:tc>
        <w:tc>
          <w:tcPr>
            <w:tcW w:type="dxa" w:w="1500"/>
            <w:tcMar>
              <w:top w:type="dxa" w:w="60"/>
              <w:left w:type="dxa" w:w="90"/>
              <w:bottom w:type="dxa" w:w="60"/>
              <w:right w:type="dxa" w:w="90"/>
            </w:tcMar>
          </w:tcPr>
          <w:p>
            <w:pPr>
              <w:spacing w:after="0"/>
              <w:jc w:val="center"/>
            </w:pPr>
            <w:r>
              <w:rPr>
                <w:b w:val="false"/>
                <w:bCs w:val="false"/>
                <w:sz w:val="17"/>
                <w:szCs w:val="17"/>
              </w:rPr>
              <w:t xml:space="preserve">1.2 %</w:t>
            </w:r>
          </w:p>
        </w:tc>
        <w:tc>
          <w:tcPr>
            <w:tcW w:type="dxa" w:w="1500"/>
            <w:tcMar>
              <w:top w:type="dxa" w:w="60"/>
              <w:left w:type="dxa" w:w="90"/>
              <w:bottom w:type="dxa" w:w="60"/>
              <w:right w:type="dxa" w:w="90"/>
            </w:tcMar>
          </w:tcPr>
          <w:p>
            <w:pPr>
              <w:spacing w:after="0"/>
              <w:jc w:val="center"/>
            </w:pPr>
            <w:r>
              <w:rPr>
                <w:b w:val="false"/>
                <w:bCs w:val="false"/>
                <w:sz w:val="17"/>
                <w:szCs w:val="17"/>
              </w:rPr>
              <w:t xml:space="preserve">10 h 56 m</w:t>
            </w:r>
          </w:p>
        </w:tc>
      </w:tr>
      <w:tr>
        <w:tc>
          <w:tcPr>
            <w:tcW w:type="dxa" w:w="2600"/>
            <w:tcMar>
              <w:top w:type="dxa" w:w="60"/>
              <w:left w:type="dxa" w:w="90"/>
              <w:bottom w:type="dxa" w:w="60"/>
              <w:right w:type="dxa" w:w="90"/>
            </w:tcMar>
          </w:tcPr>
          <w:p>
            <w:pPr>
              <w:spacing w:after="0"/>
            </w:pPr>
            <w:r>
              <w:rPr>
                <w:b w:val="false"/>
                <w:bCs w:val="false"/>
                <w:sz w:val="17"/>
                <w:szCs w:val="17"/>
              </w:rPr>
              <w:t xml:space="preserve">Linear</w:t>
            </w:r>
          </w:p>
        </w:tc>
        <w:tc>
          <w:tcPr>
            <w:tcW w:type="dxa" w:w="1700"/>
            <w:tcMar>
              <w:top w:type="dxa" w:w="60"/>
              <w:left w:type="dxa" w:w="90"/>
              <w:bottom w:type="dxa" w:w="60"/>
              <w:right w:type="dxa" w:w="90"/>
            </w:tcMar>
          </w:tcPr>
          <w:p>
            <w:pPr>
              <w:spacing w:after="0"/>
              <w:jc w:val="center"/>
            </w:pPr>
            <w:r>
              <w:rPr>
                <w:b w:val="false"/>
                <w:bCs w:val="false"/>
                <w:sz w:val="17"/>
                <w:szCs w:val="17"/>
              </w:rPr>
              <w:t xml:space="preserve">347</w:t>
            </w:r>
          </w:p>
        </w:tc>
        <w:tc>
          <w:tcPr>
            <w:tcW w:type="dxa" w:w="1700"/>
            <w:tcMar>
              <w:top w:type="dxa" w:w="60"/>
              <w:left w:type="dxa" w:w="90"/>
              <w:bottom w:type="dxa" w:w="60"/>
              <w:right w:type="dxa" w:w="90"/>
            </w:tcMar>
          </w:tcPr>
          <w:p>
            <w:pPr>
              <w:spacing w:after="0"/>
              <w:jc w:val="center"/>
            </w:pPr>
            <w:r>
              <w:rPr>
                <w:b w:val="false"/>
                <w:bCs w:val="false"/>
                <w:sz w:val="17"/>
                <w:szCs w:val="17"/>
              </w:rPr>
              <w:t xml:space="preserve">11</w:t>
            </w:r>
          </w:p>
        </w:tc>
        <w:tc>
          <w:tcPr>
            <w:tcW w:type="dxa" w:w="1500"/>
            <w:tcMar>
              <w:top w:type="dxa" w:w="60"/>
              <w:left w:type="dxa" w:w="90"/>
              <w:bottom w:type="dxa" w:w="60"/>
              <w:right w:type="dxa" w:w="90"/>
            </w:tcMar>
          </w:tcPr>
          <w:p>
            <w:pPr>
              <w:spacing w:after="0"/>
              <w:jc w:val="center"/>
            </w:pPr>
            <w:r>
              <w:rPr>
                <w:b w:val="false"/>
                <w:bCs w:val="false"/>
                <w:sz w:val="17"/>
                <w:szCs w:val="17"/>
              </w:rPr>
              <w:t xml:space="preserve">3.2 %</w:t>
            </w:r>
          </w:p>
        </w:tc>
        <w:tc>
          <w:tcPr>
            <w:tcW w:type="dxa" w:w="1500"/>
            <w:tcMar>
              <w:top w:type="dxa" w:w="60"/>
              <w:left w:type="dxa" w:w="90"/>
              <w:bottom w:type="dxa" w:w="60"/>
              <w:right w:type="dxa" w:w="90"/>
            </w:tcMar>
          </w:tcPr>
          <w:p>
            <w:pPr>
              <w:spacing w:after="0"/>
              <w:jc w:val="center"/>
            </w:pPr>
            <w:r>
              <w:rPr>
                <w:b w:val="false"/>
                <w:bCs w:val="false"/>
                <w:sz w:val="17"/>
                <w:szCs w:val="17"/>
              </w:rPr>
              <w:t xml:space="preserve">—</w:t>
            </w:r>
          </w:p>
        </w:tc>
      </w:tr>
    </w:tbl>
    <w:p>
      <w:pPr>
        <w:spacing w:after="200"/>
      </w:pPr>
      <w:r>
        <w:rPr>
          <w:color w:val="555555"/>
          <w:sz w:val="17"/>
          <w:szCs w:val="17"/>
        </w:rPr>
        <w:t xml:space="preserve">Active filters: Backbone_Clashes ≤ 0, Interface_Residues ≥ 7, i_pAE ≤ 0.33, i_pTM ≥ 0.7. Stage gates from core defaults (min_plddt_screen 0.6, min_plddt_refine 0.6, min_iptm_anneal 0.5).</w:t>
      </w:r>
    </w:p>
    <w:p>
      <w:pPr>
        <w:pStyle w:val="Heading1"/>
        <w:spacing w:after="110" w:before="190"/>
      </w:pPr>
      <w:r>
        <w:t xml:space="preserve">3. Orthogonal validation</w:t>
      </w:r>
    </w:p>
    <w:p>
      <w:pPr>
        <w:spacing w:after="120"/>
      </w:pPr>
      <w:r>
        <w:t xml:space="preserve">BC2 designs with AlphaFold2 and validates with held-out AlphaFold2 models, so its own scores cannot serve as an independent check. The 20 validated designs were re-predicted with Protenix-v2 (464 M parameters, bf16), a different architecture. Macrocycles were cyclised explicitly through a covalent_bonds record joining the N of residue 1 to the C of residue L.</w:t>
      </w:r>
    </w:p>
    <w:p>
      <w:pPr>
        <w:spacing w:after="120"/>
      </w:pPr>
      <w:r>
        <w:t xml:space="preserve">Two quantities are reported per design:</w:t>
      </w:r>
    </w:p>
    <w:p>
      <w:pPr>
        <w:spacing w:after="80"/>
      </w:pPr>
      <w:r>
        <w:rPr>
          <w:b/>
          <w:bCs/>
        </w:rPr>
        <w:t xml:space="preserve">ipTM</w:t>
      </w:r>
      <w:r>
        <w:t xml:space="preserve"> — Protenix's own confidence that the two chains form the predicted interface. A self-assessment, not a measurement.</w:t>
      </w:r>
    </w:p>
    <w:p>
      <w:pPr>
        <w:spacing w:after="140"/>
      </w:pPr>
      <w:r>
        <w:rPr>
          <w:b/>
          <w:bCs/>
        </w:rPr>
        <w:t xml:space="preserve">Jaccard</w:t>
      </w:r>
      <w:r>
        <w:t xml:space="preserve"> — geometric overlap between the RBP4 residues BC2 says the peptide touches and those Protenix independently places it against (any target residue within 4.5 Å of any peptide atom). 1.0 means identical residue sets; 0.0 means the two models dock the peptide in different places.</w:t>
      </w:r>
    </w:p>
    <w:p>
      <w:pPr>
        <w:spacing w:after="120"/>
      </w:pPr>
      <w:r>
        <w:t xml:space="preserve">These come apart, which is why both are reported. One design scored ipTM 0.878 — high confidence — at Jaccard 0.23: confident about the wrong site.</w:t>
      </w:r>
    </w:p>
    <w:p>
      <w:pPr>
        <w:pStyle w:val="Heading2"/>
        <w:spacing w:after="110" w:before="190"/>
      </w:pPr>
      <w:r>
        <w:t xml:space="preserve">3.1 Seed replication</w:t>
      </w:r>
    </w:p>
    <w:p>
      <w:pPr>
        <w:spacing w:after="120"/>
      </w:pPr>
      <w:r>
        <w:t xml:space="preserve">An initial pass used a single seed. Repeating all 20 validated designs at five seeds (101, 202, 303, 404, 505) changed two verdicts, both on designs where one draw was deciding: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00"/>
      </w:tblGrid>
      <w:tr>
        <w:trPr>
          <w:tblHeader/>
        </w:trPr>
        <w:tc>
          <w:tcPr>
            <w:tcW w:type="dxa" w:w="2900"/>
            <w:shd w:fill="E8EAED" w:color="auto" w:val="clear"/>
            <w:tcMar>
              <w:top w:type="dxa" w:w="60"/>
              <w:left w:type="dxa" w:w="90"/>
              <w:bottom w:type="dxa" w:w="60"/>
              <w:right w:type="dxa" w:w="90"/>
            </w:tcMar>
          </w:tcPr>
          <w:p>
            <w:pPr>
              <w:spacing w:after="0"/>
            </w:pPr>
            <w:r>
              <w:rPr>
                <w:b/>
                <w:bCs/>
                <w:sz w:val="17"/>
                <w:szCs w:val="17"/>
              </w:rPr>
              <w:t xml:space="preserve">Design</w:t>
            </w:r>
          </w:p>
        </w:tc>
        <w:tc>
          <w:tcPr>
            <w:tcW w:type="dxa" w:w="2000"/>
            <w:shd w:fill="E8EAED" w:color="auto" w:val="clear"/>
            <w:tcMar>
              <w:top w:type="dxa" w:w="60"/>
              <w:left w:type="dxa" w:w="90"/>
              <w:bottom w:type="dxa" w:w="60"/>
              <w:right w:type="dxa" w:w="90"/>
            </w:tcMar>
          </w:tcPr>
          <w:p>
            <w:pPr>
              <w:spacing w:after="0"/>
              <w:jc w:val="center"/>
            </w:pPr>
            <w:r>
              <w:rPr>
                <w:b/>
                <w:bCs/>
                <w:sz w:val="17"/>
                <w:szCs w:val="17"/>
              </w:rPr>
              <w:t xml:space="preserve">1 seed (Jaccard)</w:t>
            </w:r>
          </w:p>
        </w:tc>
        <w:tc>
          <w:tcPr>
            <w:tcW w:type="dxa" w:w="2000"/>
            <w:shd w:fill="E8EAED" w:color="auto" w:val="clear"/>
            <w:tcMar>
              <w:top w:type="dxa" w:w="60"/>
              <w:left w:type="dxa" w:w="90"/>
              <w:bottom w:type="dxa" w:w="60"/>
              <w:right w:type="dxa" w:w="90"/>
            </w:tcMar>
          </w:tcPr>
          <w:p>
            <w:pPr>
              <w:spacing w:after="0"/>
              <w:jc w:val="center"/>
            </w:pPr>
            <w:r>
              <w:rPr>
                <w:b/>
                <w:bCs/>
                <w:sz w:val="17"/>
                <w:szCs w:val="17"/>
              </w:rPr>
              <w:t xml:space="preserve">5 seeds (mean ± sd)</w:t>
            </w:r>
          </w:p>
        </w:tc>
        <w:tc>
          <w:tcPr>
            <w:tcW w:type="dxa" w:w="2100"/>
            <w:shd w:fill="E8EAED" w:color="auto" w:val="clear"/>
            <w:tcMar>
              <w:top w:type="dxa" w:w="60"/>
              <w:left w:type="dxa" w:w="90"/>
              <w:bottom w:type="dxa" w:w="60"/>
              <w:right w:type="dxa" w:w="90"/>
            </w:tcMar>
          </w:tcPr>
          <w:p>
            <w:pPr>
              <w:spacing w:after="0"/>
              <w:jc w:val="center"/>
            </w:pPr>
            <w:r>
              <w:rPr>
                <w:b/>
                <w:bCs/>
                <w:sz w:val="17"/>
                <w:szCs w:val="17"/>
              </w:rPr>
              <w:t xml:space="preserve">Verdict change</w:t>
            </w:r>
          </w:p>
        </w:tc>
      </w:tr>
      <w:tr>
        <w:tc>
          <w:tcPr>
            <w:tcW w:type="dxa" w:w="2900"/>
            <w:tcMar>
              <w:top w:type="dxa" w:w="60"/>
              <w:left w:type="dxa" w:w="90"/>
              <w:bottom w:type="dxa" w:w="60"/>
              <w:right w:type="dxa" w:w="90"/>
            </w:tcMar>
          </w:tcPr>
          <w:p>
            <w:pPr>
              <w:spacing w:after="0"/>
            </w:pPr>
            <w:r>
              <w:rPr>
                <w:b w:val="false"/>
                <w:bCs w:val="false"/>
                <w:sz w:val="17"/>
                <w:szCs w:val="17"/>
              </w:rPr>
              <w:t xml:space="preserve">rbp4cyc_r03_l17</w:t>
            </w:r>
          </w:p>
        </w:tc>
        <w:tc>
          <w:tcPr>
            <w:tcW w:type="dxa" w:w="2000"/>
            <w:tcMar>
              <w:top w:type="dxa" w:w="60"/>
              <w:left w:type="dxa" w:w="90"/>
              <w:bottom w:type="dxa" w:w="60"/>
              <w:right w:type="dxa" w:w="90"/>
            </w:tcMar>
          </w:tcPr>
          <w:p>
            <w:pPr>
              <w:spacing w:after="0"/>
              <w:jc w:val="center"/>
            </w:pPr>
            <w:r>
              <w:rPr>
                <w:b w:val="false"/>
                <w:bCs w:val="false"/>
                <w:sz w:val="17"/>
                <w:szCs w:val="17"/>
              </w:rPr>
              <w:t xml:space="preserve">0.69</w:t>
            </w:r>
          </w:p>
        </w:tc>
        <w:tc>
          <w:tcPr>
            <w:tcW w:type="dxa" w:w="2000"/>
            <w:tcMar>
              <w:top w:type="dxa" w:w="60"/>
              <w:left w:type="dxa" w:w="90"/>
              <w:bottom w:type="dxa" w:w="60"/>
              <w:right w:type="dxa" w:w="90"/>
            </w:tcMar>
          </w:tcPr>
          <w:p>
            <w:pPr>
              <w:spacing w:after="0"/>
              <w:jc w:val="center"/>
            </w:pPr>
            <w:r>
              <w:rPr>
                <w:b w:val="false"/>
                <w:bCs w:val="false"/>
                <w:sz w:val="17"/>
                <w:szCs w:val="17"/>
              </w:rPr>
              <w:t xml:space="preserve">0.14 ± 0.31</w:t>
            </w:r>
          </w:p>
        </w:tc>
        <w:tc>
          <w:tcPr>
            <w:tcW w:type="dxa" w:w="2100"/>
            <w:tcMar>
              <w:top w:type="dxa" w:w="60"/>
              <w:left w:type="dxa" w:w="90"/>
              <w:bottom w:type="dxa" w:w="60"/>
              <w:right w:type="dxa" w:w="90"/>
            </w:tcMar>
          </w:tcPr>
          <w:p>
            <w:pPr>
              <w:spacing w:after="0"/>
              <w:jc w:val="center"/>
            </w:pPr>
            <w:r>
              <w:rPr>
                <w:b w:val="false"/>
                <w:bCs w:val="false"/>
                <w:sz w:val="17"/>
                <w:szCs w:val="17"/>
              </w:rPr>
              <w:t xml:space="preserve">kept → rejected</w:t>
            </w:r>
          </w:p>
        </w:tc>
      </w:tr>
      <w:tr>
        <w:tc>
          <w:tcPr>
            <w:tcW w:type="dxa" w:w="2900"/>
            <w:tcMar>
              <w:top w:type="dxa" w:w="60"/>
              <w:left w:type="dxa" w:w="90"/>
              <w:bottom w:type="dxa" w:w="60"/>
              <w:right w:type="dxa" w:w="90"/>
            </w:tcMar>
          </w:tcPr>
          <w:p>
            <w:pPr>
              <w:spacing w:after="0"/>
            </w:pPr>
            <w:r>
              <w:rPr>
                <w:b w:val="false"/>
                <w:bCs w:val="false"/>
                <w:sz w:val="17"/>
                <w:szCs w:val="17"/>
              </w:rPr>
              <w:t xml:space="preserve">rbp4cyc_r04_l15</w:t>
            </w:r>
          </w:p>
        </w:tc>
        <w:tc>
          <w:tcPr>
            <w:tcW w:type="dxa" w:w="2000"/>
            <w:tcMar>
              <w:top w:type="dxa" w:w="60"/>
              <w:left w:type="dxa" w:w="90"/>
              <w:bottom w:type="dxa" w:w="60"/>
              <w:right w:type="dxa" w:w="90"/>
            </w:tcMar>
          </w:tcPr>
          <w:p>
            <w:pPr>
              <w:spacing w:after="0"/>
              <w:jc w:val="center"/>
            </w:pPr>
            <w:r>
              <w:rPr>
                <w:b w:val="false"/>
                <w:bCs w:val="false"/>
                <w:sz w:val="17"/>
                <w:szCs w:val="17"/>
              </w:rPr>
              <w:t xml:space="preserve">0.23</w:t>
            </w:r>
          </w:p>
        </w:tc>
        <w:tc>
          <w:tcPr>
            <w:tcW w:type="dxa" w:w="2000"/>
            <w:tcMar>
              <w:top w:type="dxa" w:w="60"/>
              <w:left w:type="dxa" w:w="90"/>
              <w:bottom w:type="dxa" w:w="60"/>
              <w:right w:type="dxa" w:w="90"/>
            </w:tcMar>
          </w:tcPr>
          <w:p>
            <w:pPr>
              <w:spacing w:after="0"/>
              <w:jc w:val="center"/>
            </w:pPr>
            <w:r>
              <w:rPr>
                <w:b w:val="false"/>
                <w:bCs w:val="false"/>
                <w:sz w:val="17"/>
                <w:szCs w:val="17"/>
              </w:rPr>
              <w:t xml:space="preserve">0.75 ± 0.29</w:t>
            </w:r>
          </w:p>
        </w:tc>
        <w:tc>
          <w:tcPr>
            <w:tcW w:type="dxa" w:w="2100"/>
            <w:tcMar>
              <w:top w:type="dxa" w:w="60"/>
              <w:left w:type="dxa" w:w="90"/>
              <w:bottom w:type="dxa" w:w="60"/>
              <w:right w:type="dxa" w:w="90"/>
            </w:tcMar>
          </w:tcPr>
          <w:p>
            <w:pPr>
              <w:spacing w:after="0"/>
              <w:jc w:val="center"/>
            </w:pPr>
            <w:r>
              <w:rPr>
                <w:b w:val="false"/>
                <w:bCs w:val="false"/>
                <w:sz w:val="17"/>
                <w:szCs w:val="17"/>
              </w:rPr>
              <w:t xml:space="preserve">rejected → kept*</w:t>
            </w:r>
          </w:p>
        </w:tc>
      </w:tr>
    </w:tbl>
    <w:p>
      <w:pPr>
        <w:spacing w:after="140"/>
      </w:pPr>
      <w:r>
        <w:rPr>
          <w:color w:val="555555"/>
          <w:sz w:val="17"/>
          <w:szCs w:val="17"/>
        </w:rPr>
        <w:t xml:space="preserve">* r04 is rejected on stability regardless: a Jaccard sd of 0.29 means the peptide moves between seeds. Notably, rbp4cyc_r03_l17 carried the highest BC2 i_pTM in the entire set (0.79) and binds off-epitope in four of five seeds.</w:t>
      </w:r>
    </w:p>
    <w:p>
      <w:pPr>
        <w:spacing w:after="120"/>
      </w:pPr>
      <w:r>
        <w:t xml:space="preserve">Two practical notes. The five samples Protenix emits per seed are near-duplicates (ipTM spread ~0.005); between seeds the shift is roughly five times larger, so replication requires more seeds, not more samples. And with cached MSAs the full five-seed sweep costs about 29 s of GPU per design-seed — 18 minutes wall for all 80 additional runs.</w:t>
      </w:r>
    </w:p>
    <w:p>
      <w:pPr>
        <w:pStyle w:val="Heading1"/>
        <w:spacing w:after="110" w:before="190"/>
      </w:pPr>
      <w:r>
        <w:t xml:space="preserve">4. Shortlist</w:t>
      </w:r>
    </w:p>
    <w:p>
      <w:pPr>
        <w:spacing w:after="120"/>
      </w:pPr>
      <w:r>
        <w:t xml:space="preserve">Gates: mean Jaccard ≥ 0.55, minimum Jaccard ≥ 0.4 (agreement in every seed, not merely on average), mean ipTM ≥ 0.60, ipTM sd &lt; 0.10. Ten of the 20 pass, ordered by the product of mean ipTM and mean Jaccard.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2750"/>
        <w:gridCol w:w="1100"/>
        <w:gridCol w:w="1100"/>
        <w:gridCol w:w="850"/>
        <w:gridCol w:w="1000"/>
      </w:tblGrid>
      <w:tr>
        <w:trPr>
          <w:tblHeader/>
        </w:trPr>
        <w:tc>
          <w:tcPr>
            <w:tcW w:type="dxa" w:w="1700"/>
            <w:shd w:fill="E8EAED" w:color="auto" w:val="clear"/>
            <w:tcMar>
              <w:top w:type="dxa" w:w="60"/>
              <w:left w:type="dxa" w:w="90"/>
              <w:bottom w:type="dxa" w:w="60"/>
              <w:right w:type="dxa" w:w="90"/>
            </w:tcMar>
          </w:tcPr>
          <w:p>
            <w:pPr>
              <w:spacing w:after="0"/>
            </w:pPr>
            <w:r>
              <w:rPr>
                <w:b/>
                <w:bCs/>
                <w:sz w:val="17"/>
                <w:szCs w:val="17"/>
              </w:rPr>
              <w:t xml:space="preserve">Design</w:t>
            </w:r>
          </w:p>
        </w:tc>
        <w:tc>
          <w:tcPr>
            <w:tcW w:type="dxa" w:w="500"/>
            <w:shd w:fill="E8EAED" w:color="auto" w:val="clear"/>
            <w:tcMar>
              <w:top w:type="dxa" w:w="60"/>
              <w:left w:type="dxa" w:w="90"/>
              <w:bottom w:type="dxa" w:w="60"/>
              <w:right w:type="dxa" w:w="90"/>
            </w:tcMar>
          </w:tcPr>
          <w:p>
            <w:pPr>
              <w:spacing w:after="0"/>
              <w:jc w:val="center"/>
            </w:pPr>
            <w:r>
              <w:rPr>
                <w:b/>
                <w:bCs/>
                <w:sz w:val="17"/>
                <w:szCs w:val="17"/>
              </w:rPr>
              <w:t xml:space="preserve">Len</w:t>
            </w:r>
          </w:p>
        </w:tc>
        <w:tc>
          <w:tcPr>
            <w:tcW w:type="dxa" w:w="2750"/>
            <w:shd w:fill="E8EAED" w:color="auto" w:val="clear"/>
            <w:tcMar>
              <w:top w:type="dxa" w:w="60"/>
              <w:left w:type="dxa" w:w="90"/>
              <w:bottom w:type="dxa" w:w="60"/>
              <w:right w:type="dxa" w:w="90"/>
            </w:tcMar>
          </w:tcPr>
          <w:p>
            <w:pPr>
              <w:spacing w:after="0"/>
              <w:jc w:val="center"/>
            </w:pPr>
            <w:r>
              <w:rPr>
                <w:b/>
                <w:bCs/>
                <w:sz w:val="17"/>
                <w:szCs w:val="17"/>
              </w:rPr>
              <w:t xml:space="preserve">Sequence</w:t>
            </w:r>
          </w:p>
        </w:tc>
        <w:tc>
          <w:tcPr>
            <w:tcW w:type="dxa" w:w="1100"/>
            <w:shd w:fill="E8EAED" w:color="auto" w:val="clear"/>
            <w:tcMar>
              <w:top w:type="dxa" w:w="60"/>
              <w:left w:type="dxa" w:w="90"/>
              <w:bottom w:type="dxa" w:w="60"/>
              <w:right w:type="dxa" w:w="90"/>
            </w:tcMar>
          </w:tcPr>
          <w:p>
            <w:pPr>
              <w:spacing w:after="0"/>
              <w:jc w:val="center"/>
            </w:pPr>
            <w:r>
              <w:rPr>
                <w:b/>
                <w:bCs/>
                <w:sz w:val="17"/>
                <w:szCs w:val="17"/>
              </w:rPr>
              <w:t xml:space="preserve">ipTM</w:t>
            </w:r>
          </w:p>
        </w:tc>
        <w:tc>
          <w:tcPr>
            <w:tcW w:type="dxa" w:w="1100"/>
            <w:shd w:fill="E8EAED" w:color="auto" w:val="clear"/>
            <w:tcMar>
              <w:top w:type="dxa" w:w="60"/>
              <w:left w:type="dxa" w:w="90"/>
              <w:bottom w:type="dxa" w:w="60"/>
              <w:right w:type="dxa" w:w="90"/>
            </w:tcMar>
          </w:tcPr>
          <w:p>
            <w:pPr>
              <w:spacing w:after="0"/>
              <w:jc w:val="center"/>
            </w:pPr>
            <w:r>
              <w:rPr>
                <w:b/>
                <w:bCs/>
                <w:sz w:val="17"/>
                <w:szCs w:val="17"/>
              </w:rPr>
              <w:t xml:space="preserve">Jaccard</w:t>
            </w:r>
          </w:p>
        </w:tc>
        <w:tc>
          <w:tcPr>
            <w:tcW w:type="dxa" w:w="850"/>
            <w:shd w:fill="E8EAED" w:color="auto" w:val="clear"/>
            <w:tcMar>
              <w:top w:type="dxa" w:w="60"/>
              <w:left w:type="dxa" w:w="90"/>
              <w:bottom w:type="dxa" w:w="60"/>
              <w:right w:type="dxa" w:w="90"/>
            </w:tcMar>
          </w:tcPr>
          <w:p>
            <w:pPr>
              <w:spacing w:after="0"/>
              <w:jc w:val="center"/>
            </w:pPr>
            <w:r>
              <w:rPr>
                <w:b/>
                <w:bCs/>
                <w:sz w:val="17"/>
                <w:szCs w:val="17"/>
              </w:rPr>
              <w:t xml:space="preserve">Jac min</w:t>
            </w:r>
          </w:p>
        </w:tc>
        <w:tc>
          <w:tcPr>
            <w:tcW w:type="dxa" w:w="1000"/>
            <w:shd w:fill="E8EAED" w:color="auto" w:val="clear"/>
            <w:tcMar>
              <w:top w:type="dxa" w:w="60"/>
              <w:left w:type="dxa" w:w="90"/>
              <w:bottom w:type="dxa" w:w="60"/>
              <w:right w:type="dxa" w:w="90"/>
            </w:tcMar>
          </w:tcPr>
          <w:p>
            <w:pPr>
              <w:spacing w:after="0"/>
              <w:jc w:val="center"/>
            </w:pPr>
            <w:r>
              <w:rPr>
                <w:b/>
                <w:bCs/>
                <w:sz w:val="17"/>
                <w:szCs w:val="17"/>
              </w:rPr>
              <w:t xml:space="preserve">Hotspots</w:t>
            </w:r>
          </w:p>
        </w:tc>
      </w:tr>
      <w:tr>
        <w:tc>
          <w:tcPr>
            <w:tcW w:type="dxa" w:w="1700"/>
            <w:shd w:fill="FFF4E0" w:color="auto" w:val="clear"/>
            <w:tcMar>
              <w:top w:type="dxa" w:w="60"/>
              <w:left w:type="dxa" w:w="90"/>
              <w:bottom w:type="dxa" w:w="60"/>
              <w:right w:type="dxa" w:w="90"/>
            </w:tcMar>
          </w:tcPr>
          <w:p>
            <w:pPr>
              <w:spacing w:after="0"/>
            </w:pPr>
            <w:r>
              <w:rPr>
                <w:b w:val="false"/>
                <w:bCs w:val="false"/>
                <w:sz w:val="17"/>
                <w:szCs w:val="17"/>
              </w:rPr>
              <w:t xml:space="preserve">lin_r09_l19</w:t>
            </w:r>
          </w:p>
        </w:tc>
        <w:tc>
          <w:tcPr>
            <w:tcW w:type="dxa" w:w="500"/>
            <w:shd w:fill="FFF4E0" w:color="auto" w:val="clear"/>
            <w:tcMar>
              <w:top w:type="dxa" w:w="60"/>
              <w:left w:type="dxa" w:w="90"/>
              <w:bottom w:type="dxa" w:w="60"/>
              <w:right w:type="dxa" w:w="90"/>
            </w:tcMar>
          </w:tcPr>
          <w:p>
            <w:pPr>
              <w:spacing w:after="0"/>
              <w:jc w:val="center"/>
            </w:pPr>
            <w:r>
              <w:rPr>
                <w:b w:val="false"/>
                <w:bCs w:val="false"/>
                <w:sz w:val="17"/>
                <w:szCs w:val="17"/>
              </w:rPr>
              <w:t xml:space="preserve">19</w:t>
            </w:r>
          </w:p>
        </w:tc>
        <w:tc>
          <w:tcPr>
            <w:tcW w:type="dxa" w:w="2750"/>
            <w:shd w:fill="FFF4E0" w:color="auto" w:val="clear"/>
            <w:tcMar>
              <w:top w:type="dxa" w:w="60"/>
              <w:left w:type="dxa" w:w="90"/>
              <w:bottom w:type="dxa" w:w="60"/>
              <w:right w:type="dxa" w:w="90"/>
            </w:tcMar>
          </w:tcPr>
          <w:p>
            <w:pPr>
              <w:spacing w:after="0"/>
              <w:jc w:val="center"/>
            </w:pPr>
            <w:r>
              <w:rPr>
                <w:rFonts w:ascii="Consolas" w:cs="Consolas" w:eastAsia="Consolas" w:hAnsi="Consolas"/>
                <w:sz w:val="15"/>
                <w:szCs w:val="15"/>
              </w:rPr>
              <w:t xml:space="preserve">MPEVVKMRSPEGKWEEHTF</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0.787 ± 0.021</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0.90 ± 0.15</w:t>
            </w:r>
          </w:p>
        </w:tc>
        <w:tc>
          <w:tcPr>
            <w:tcW w:type="dxa" w:w="850"/>
            <w:shd w:fill="FFF4E0" w:color="auto" w:val="clear"/>
            <w:tcMar>
              <w:top w:type="dxa" w:w="60"/>
              <w:left w:type="dxa" w:w="90"/>
              <w:bottom w:type="dxa" w:w="60"/>
              <w:right w:type="dxa" w:w="90"/>
            </w:tcMar>
          </w:tcPr>
          <w:p>
            <w:pPr>
              <w:spacing w:after="0"/>
              <w:jc w:val="center"/>
            </w:pPr>
            <w:r>
              <w:rPr>
                <w:b w:val="false"/>
                <w:bCs w:val="false"/>
                <w:sz w:val="17"/>
                <w:szCs w:val="17"/>
              </w:rPr>
              <w:t xml:space="preserve">0.67</w:t>
            </w:r>
          </w:p>
        </w:tc>
        <w:tc>
          <w:tcPr>
            <w:tcW w:type="dxa" w:w="1000"/>
            <w:shd w:fill="FFF4E0" w:color="auto" w:val="clear"/>
            <w:tcMar>
              <w:top w:type="dxa" w:w="60"/>
              <w:left w:type="dxa" w:w="90"/>
              <w:bottom w:type="dxa" w:w="60"/>
              <w:right w:type="dxa" w:w="90"/>
            </w:tcMar>
          </w:tcPr>
          <w:p>
            <w:pPr>
              <w:spacing w:after="0"/>
              <w:jc w:val="center"/>
            </w:pPr>
            <w:r>
              <w:rPr>
                <w:b w:val="false"/>
                <w:bCs w:val="false"/>
                <w:sz w:val="17"/>
                <w:szCs w:val="17"/>
              </w:rPr>
              <w:t xml:space="preserve">3.8</w:t>
            </w:r>
          </w:p>
        </w:tc>
      </w:tr>
      <w:tr>
        <w:tc>
          <w:tcPr>
            <w:tcW w:type="dxa" w:w="1700"/>
            <w:shd w:fill="FFF4E0" w:color="auto" w:val="clear"/>
            <w:tcMar>
              <w:top w:type="dxa" w:w="60"/>
              <w:left w:type="dxa" w:w="90"/>
              <w:bottom w:type="dxa" w:w="60"/>
              <w:right w:type="dxa" w:w="90"/>
            </w:tcMar>
          </w:tcPr>
          <w:p>
            <w:pPr>
              <w:spacing w:after="0"/>
            </w:pPr>
            <w:r>
              <w:rPr>
                <w:b w:val="false"/>
                <w:bCs w:val="false"/>
                <w:sz w:val="17"/>
                <w:szCs w:val="17"/>
              </w:rPr>
              <w:t xml:space="preserve">lin_r06_l24</w:t>
            </w:r>
          </w:p>
        </w:tc>
        <w:tc>
          <w:tcPr>
            <w:tcW w:type="dxa" w:w="500"/>
            <w:shd w:fill="FFF4E0" w:color="auto" w:val="clear"/>
            <w:tcMar>
              <w:top w:type="dxa" w:w="60"/>
              <w:left w:type="dxa" w:w="90"/>
              <w:bottom w:type="dxa" w:w="60"/>
              <w:right w:type="dxa" w:w="90"/>
            </w:tcMar>
          </w:tcPr>
          <w:p>
            <w:pPr>
              <w:spacing w:after="0"/>
              <w:jc w:val="center"/>
            </w:pPr>
            <w:r>
              <w:rPr>
                <w:b w:val="false"/>
                <w:bCs w:val="false"/>
                <w:sz w:val="17"/>
                <w:szCs w:val="17"/>
              </w:rPr>
              <w:t xml:space="preserve">24</w:t>
            </w:r>
          </w:p>
        </w:tc>
        <w:tc>
          <w:tcPr>
            <w:tcW w:type="dxa" w:w="2750"/>
            <w:shd w:fill="FFF4E0" w:color="auto" w:val="clear"/>
            <w:tcMar>
              <w:top w:type="dxa" w:w="60"/>
              <w:left w:type="dxa" w:w="90"/>
              <w:bottom w:type="dxa" w:w="60"/>
              <w:right w:type="dxa" w:w="90"/>
            </w:tcMar>
          </w:tcPr>
          <w:p>
            <w:pPr>
              <w:spacing w:after="0"/>
              <w:jc w:val="center"/>
            </w:pPr>
            <w:r>
              <w:rPr>
                <w:rFonts w:ascii="Consolas" w:cs="Consolas" w:eastAsia="Consolas" w:hAnsi="Consolas"/>
                <w:sz w:val="15"/>
                <w:szCs w:val="15"/>
              </w:rPr>
              <w:t xml:space="preserve">EKPKVKLTPGMTMEEFKEEYEKKL</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0.827 ± 0.014</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0.80 ± 0.07</w:t>
            </w:r>
          </w:p>
        </w:tc>
        <w:tc>
          <w:tcPr>
            <w:tcW w:type="dxa" w:w="850"/>
            <w:shd w:fill="FFF4E0" w:color="auto" w:val="clear"/>
            <w:tcMar>
              <w:top w:type="dxa" w:w="60"/>
              <w:left w:type="dxa" w:w="90"/>
              <w:bottom w:type="dxa" w:w="60"/>
              <w:right w:type="dxa" w:w="90"/>
            </w:tcMar>
          </w:tcPr>
          <w:p>
            <w:pPr>
              <w:spacing w:after="0"/>
              <w:jc w:val="center"/>
            </w:pPr>
            <w:r>
              <w:rPr>
                <w:b w:val="false"/>
                <w:bCs w:val="false"/>
                <w:sz w:val="17"/>
                <w:szCs w:val="17"/>
              </w:rPr>
              <w:t xml:space="preserve">0.71</w:t>
            </w:r>
          </w:p>
        </w:tc>
        <w:tc>
          <w:tcPr>
            <w:tcW w:type="dxa" w:w="1000"/>
            <w:shd w:fill="FFF4E0" w:color="auto" w:val="clear"/>
            <w:tcMar>
              <w:top w:type="dxa" w:w="60"/>
              <w:left w:type="dxa" w:w="90"/>
              <w:bottom w:type="dxa" w:w="60"/>
              <w:right w:type="dxa" w:w="90"/>
            </w:tcMar>
          </w:tcPr>
          <w:p>
            <w:pPr>
              <w:spacing w:after="0"/>
              <w:jc w:val="center"/>
            </w:pPr>
            <w:r>
              <w:rPr>
                <w:b w:val="false"/>
                <w:bCs w:val="false"/>
                <w:sz w:val="17"/>
                <w:szCs w:val="17"/>
              </w:rPr>
              <w:t xml:space="preserve">5.2</w:t>
            </w:r>
          </w:p>
        </w:tc>
      </w:tr>
      <w:tr>
        <w:tc>
          <w:tcPr>
            <w:tcW w:type="dxa" w:w="1700"/>
            <w:shd w:fill="FFF4E0" w:color="auto" w:val="clear"/>
            <w:tcMar>
              <w:top w:type="dxa" w:w="60"/>
              <w:left w:type="dxa" w:w="90"/>
              <w:bottom w:type="dxa" w:w="60"/>
              <w:right w:type="dxa" w:w="90"/>
            </w:tcMar>
          </w:tcPr>
          <w:p>
            <w:pPr>
              <w:spacing w:after="0"/>
            </w:pPr>
            <w:r>
              <w:rPr>
                <w:b w:val="false"/>
                <w:bCs w:val="false"/>
                <w:sz w:val="17"/>
                <w:szCs w:val="17"/>
              </w:rPr>
              <w:t xml:space="preserve">lin_r10_l21</w:t>
            </w:r>
          </w:p>
        </w:tc>
        <w:tc>
          <w:tcPr>
            <w:tcW w:type="dxa" w:w="500"/>
            <w:shd w:fill="FFF4E0" w:color="auto" w:val="clear"/>
            <w:tcMar>
              <w:top w:type="dxa" w:w="60"/>
              <w:left w:type="dxa" w:w="90"/>
              <w:bottom w:type="dxa" w:w="60"/>
              <w:right w:type="dxa" w:w="90"/>
            </w:tcMar>
          </w:tcPr>
          <w:p>
            <w:pPr>
              <w:spacing w:after="0"/>
              <w:jc w:val="center"/>
            </w:pPr>
            <w:r>
              <w:rPr>
                <w:b w:val="false"/>
                <w:bCs w:val="false"/>
                <w:sz w:val="17"/>
                <w:szCs w:val="17"/>
              </w:rPr>
              <w:t xml:space="preserve">21</w:t>
            </w:r>
          </w:p>
        </w:tc>
        <w:tc>
          <w:tcPr>
            <w:tcW w:type="dxa" w:w="2750"/>
            <w:shd w:fill="FFF4E0" w:color="auto" w:val="clear"/>
            <w:tcMar>
              <w:top w:type="dxa" w:w="60"/>
              <w:left w:type="dxa" w:w="90"/>
              <w:bottom w:type="dxa" w:w="60"/>
              <w:right w:type="dxa" w:w="90"/>
            </w:tcMar>
          </w:tcPr>
          <w:p>
            <w:pPr>
              <w:spacing w:after="0"/>
              <w:jc w:val="center"/>
            </w:pPr>
            <w:r>
              <w:rPr>
                <w:rFonts w:ascii="Consolas" w:cs="Consolas" w:eastAsia="Consolas" w:hAnsi="Consolas"/>
                <w:sz w:val="15"/>
                <w:szCs w:val="15"/>
              </w:rPr>
              <w:t xml:space="preserve">LTDEQIVEEFEKHNMKVVHRE</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0.730 ± 0.086</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0.88 ± 0.04</w:t>
            </w:r>
          </w:p>
        </w:tc>
        <w:tc>
          <w:tcPr>
            <w:tcW w:type="dxa" w:w="850"/>
            <w:shd w:fill="FFF4E0" w:color="auto" w:val="clear"/>
            <w:tcMar>
              <w:top w:type="dxa" w:w="60"/>
              <w:left w:type="dxa" w:w="90"/>
              <w:bottom w:type="dxa" w:w="60"/>
              <w:right w:type="dxa" w:w="90"/>
            </w:tcMar>
          </w:tcPr>
          <w:p>
            <w:pPr>
              <w:spacing w:after="0"/>
              <w:jc w:val="center"/>
            </w:pPr>
            <w:r>
              <w:rPr>
                <w:b w:val="false"/>
                <w:bCs w:val="false"/>
                <w:sz w:val="17"/>
                <w:szCs w:val="17"/>
              </w:rPr>
              <w:t xml:space="preserve">0.83</w:t>
            </w:r>
          </w:p>
        </w:tc>
        <w:tc>
          <w:tcPr>
            <w:tcW w:type="dxa" w:w="1000"/>
            <w:shd w:fill="FFF4E0" w:color="auto" w:val="clear"/>
            <w:tcMar>
              <w:top w:type="dxa" w:w="60"/>
              <w:left w:type="dxa" w:w="90"/>
              <w:bottom w:type="dxa" w:w="60"/>
              <w:right w:type="dxa" w:w="90"/>
            </w:tcMar>
          </w:tcPr>
          <w:p>
            <w:pPr>
              <w:spacing w:after="0"/>
              <w:jc w:val="center"/>
            </w:pPr>
            <w:r>
              <w:rPr>
                <w:b w:val="false"/>
                <w:bCs w:val="false"/>
                <w:sz w:val="17"/>
                <w:szCs w:val="17"/>
              </w:rPr>
              <w:t xml:space="preserve">5.6</w:t>
            </w:r>
          </w:p>
        </w:tc>
      </w:tr>
      <w:tr>
        <w:tc>
          <w:tcPr>
            <w:tcW w:type="dxa" w:w="1700"/>
            <w:tcMar>
              <w:top w:type="dxa" w:w="60"/>
              <w:left w:type="dxa" w:w="90"/>
              <w:bottom w:type="dxa" w:w="60"/>
              <w:right w:type="dxa" w:w="90"/>
            </w:tcMar>
          </w:tcPr>
          <w:p>
            <w:pPr>
              <w:spacing w:after="0"/>
            </w:pPr>
            <w:r>
              <w:rPr>
                <w:b w:val="false"/>
                <w:bCs w:val="false"/>
                <w:sz w:val="17"/>
                <w:szCs w:val="17"/>
              </w:rPr>
              <w:t xml:space="preserve">lin_r01_l25</w:t>
            </w:r>
          </w:p>
        </w:tc>
        <w:tc>
          <w:tcPr>
            <w:tcW w:type="dxa" w:w="500"/>
            <w:tcMar>
              <w:top w:type="dxa" w:w="60"/>
              <w:left w:type="dxa" w:w="90"/>
              <w:bottom w:type="dxa" w:w="60"/>
              <w:right w:type="dxa" w:w="90"/>
            </w:tcMar>
          </w:tcPr>
          <w:p>
            <w:pPr>
              <w:spacing w:after="0"/>
              <w:jc w:val="center"/>
            </w:pPr>
            <w:r>
              <w:rPr>
                <w:b w:val="false"/>
                <w:bCs w:val="false"/>
                <w:sz w:val="17"/>
                <w:szCs w:val="17"/>
              </w:rPr>
              <w:t xml:space="preserve">25</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APVPKMPEEIKKEAEKWGMKMTYRP</w:t>
            </w:r>
          </w:p>
        </w:tc>
        <w:tc>
          <w:tcPr>
            <w:tcW w:type="dxa" w:w="1100"/>
            <w:tcMar>
              <w:top w:type="dxa" w:w="60"/>
              <w:left w:type="dxa" w:w="90"/>
              <w:bottom w:type="dxa" w:w="60"/>
              <w:right w:type="dxa" w:w="90"/>
            </w:tcMar>
          </w:tcPr>
          <w:p>
            <w:pPr>
              <w:spacing w:after="0"/>
              <w:jc w:val="center"/>
            </w:pPr>
            <w:r>
              <w:rPr>
                <w:b w:val="false"/>
                <w:bCs w:val="false"/>
                <w:sz w:val="17"/>
                <w:szCs w:val="17"/>
              </w:rPr>
              <w:t xml:space="preserve">0.810 ± 0.015</w:t>
            </w:r>
          </w:p>
        </w:tc>
        <w:tc>
          <w:tcPr>
            <w:tcW w:type="dxa" w:w="1100"/>
            <w:tcMar>
              <w:top w:type="dxa" w:w="60"/>
              <w:left w:type="dxa" w:w="90"/>
              <w:bottom w:type="dxa" w:w="60"/>
              <w:right w:type="dxa" w:w="90"/>
            </w:tcMar>
          </w:tcPr>
          <w:p>
            <w:pPr>
              <w:spacing w:after="0"/>
              <w:jc w:val="center"/>
            </w:pPr>
            <w:r>
              <w:rPr>
                <w:b w:val="false"/>
                <w:bCs w:val="false"/>
                <w:sz w:val="17"/>
                <w:szCs w:val="17"/>
              </w:rPr>
              <w:t xml:space="preserve">0.78 ± 0.07</w:t>
            </w:r>
          </w:p>
        </w:tc>
        <w:tc>
          <w:tcPr>
            <w:tcW w:type="dxa" w:w="850"/>
            <w:tcMar>
              <w:top w:type="dxa" w:w="60"/>
              <w:left w:type="dxa" w:w="90"/>
              <w:bottom w:type="dxa" w:w="60"/>
              <w:right w:type="dxa" w:w="90"/>
            </w:tcMar>
          </w:tcPr>
          <w:p>
            <w:pPr>
              <w:spacing w:after="0"/>
              <w:jc w:val="center"/>
            </w:pPr>
            <w:r>
              <w:rPr>
                <w:b w:val="false"/>
                <w:bCs w:val="false"/>
                <w:sz w:val="17"/>
                <w:szCs w:val="17"/>
              </w:rPr>
              <w:t xml:space="preserve">0.72</w:t>
            </w:r>
          </w:p>
        </w:tc>
        <w:tc>
          <w:tcPr>
            <w:tcW w:type="dxa" w:w="1000"/>
            <w:tcMar>
              <w:top w:type="dxa" w:w="60"/>
              <w:left w:type="dxa" w:w="90"/>
              <w:bottom w:type="dxa" w:w="60"/>
              <w:right w:type="dxa" w:w="90"/>
            </w:tcMar>
          </w:tcPr>
          <w:p>
            <w:pPr>
              <w:spacing w:after="0"/>
              <w:jc w:val="center"/>
            </w:pPr>
            <w:r>
              <w:rPr>
                <w:b w:val="false"/>
                <w:bCs w:val="false"/>
                <w:sz w:val="17"/>
                <w:szCs w:val="17"/>
              </w:rPr>
              <w:t xml:space="preserve">6.2</w:t>
            </w:r>
          </w:p>
        </w:tc>
      </w:tr>
      <w:tr>
        <w:tc>
          <w:tcPr>
            <w:tcW w:type="dxa" w:w="1700"/>
            <w:shd w:fill="FFF4E0" w:color="auto" w:val="clear"/>
            <w:tcMar>
              <w:top w:type="dxa" w:w="60"/>
              <w:left w:type="dxa" w:w="90"/>
              <w:bottom w:type="dxa" w:w="60"/>
              <w:right w:type="dxa" w:w="90"/>
            </w:tcMar>
          </w:tcPr>
          <w:p>
            <w:pPr>
              <w:spacing w:after="0"/>
            </w:pPr>
            <w:r>
              <w:rPr>
                <w:b w:val="false"/>
                <w:bCs w:val="false"/>
                <w:sz w:val="17"/>
                <w:szCs w:val="17"/>
              </w:rPr>
              <w:t xml:space="preserve">cyc_r08_l14</w:t>
            </w:r>
          </w:p>
        </w:tc>
        <w:tc>
          <w:tcPr>
            <w:tcW w:type="dxa" w:w="500"/>
            <w:shd w:fill="FFF4E0" w:color="auto" w:val="clear"/>
            <w:tcMar>
              <w:top w:type="dxa" w:w="60"/>
              <w:left w:type="dxa" w:w="90"/>
              <w:bottom w:type="dxa" w:w="60"/>
              <w:right w:type="dxa" w:w="90"/>
            </w:tcMar>
          </w:tcPr>
          <w:p>
            <w:pPr>
              <w:spacing w:after="0"/>
              <w:jc w:val="center"/>
            </w:pPr>
            <w:r>
              <w:rPr>
                <w:b w:val="false"/>
                <w:bCs w:val="false"/>
                <w:sz w:val="17"/>
                <w:szCs w:val="17"/>
              </w:rPr>
              <w:t xml:space="preserve">14</w:t>
            </w:r>
          </w:p>
        </w:tc>
        <w:tc>
          <w:tcPr>
            <w:tcW w:type="dxa" w:w="2750"/>
            <w:shd w:fill="FFF4E0" w:color="auto" w:val="clear"/>
            <w:tcMar>
              <w:top w:type="dxa" w:w="60"/>
              <w:left w:type="dxa" w:w="90"/>
              <w:bottom w:type="dxa" w:w="60"/>
              <w:right w:type="dxa" w:w="90"/>
            </w:tcMar>
          </w:tcPr>
          <w:p>
            <w:pPr>
              <w:spacing w:after="0"/>
              <w:jc w:val="center"/>
            </w:pPr>
            <w:r>
              <w:rPr>
                <w:rFonts w:ascii="Consolas" w:cs="Consolas" w:eastAsia="Consolas" w:hAnsi="Consolas"/>
                <w:sz w:val="15"/>
                <w:szCs w:val="15"/>
              </w:rPr>
              <w:t xml:space="preserve">TFHRPGQTMVLDGL</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0.875 ± 0.036</w:t>
            </w:r>
          </w:p>
        </w:tc>
        <w:tc>
          <w:tcPr>
            <w:tcW w:type="dxa" w:w="1100"/>
            <w:shd w:fill="FFF4E0" w:color="auto" w:val="clear"/>
            <w:tcMar>
              <w:top w:type="dxa" w:w="60"/>
              <w:left w:type="dxa" w:w="90"/>
              <w:bottom w:type="dxa" w:w="60"/>
              <w:right w:type="dxa" w:w="90"/>
            </w:tcMar>
          </w:tcPr>
          <w:p>
            <w:pPr>
              <w:spacing w:after="0"/>
              <w:jc w:val="center"/>
            </w:pPr>
            <w:r>
              <w:rPr>
                <w:b w:val="false"/>
                <w:bCs w:val="false"/>
                <w:sz w:val="17"/>
                <w:szCs w:val="17"/>
              </w:rPr>
              <w:t xml:space="preserve">0.72 ± 0.04</w:t>
            </w:r>
          </w:p>
        </w:tc>
        <w:tc>
          <w:tcPr>
            <w:tcW w:type="dxa" w:w="850"/>
            <w:shd w:fill="FFF4E0" w:color="auto" w:val="clear"/>
            <w:tcMar>
              <w:top w:type="dxa" w:w="60"/>
              <w:left w:type="dxa" w:w="90"/>
              <w:bottom w:type="dxa" w:w="60"/>
              <w:right w:type="dxa" w:w="90"/>
            </w:tcMar>
          </w:tcPr>
          <w:p>
            <w:pPr>
              <w:spacing w:after="0"/>
              <w:jc w:val="center"/>
            </w:pPr>
            <w:r>
              <w:rPr>
                <w:b w:val="false"/>
                <w:bCs w:val="false"/>
                <w:sz w:val="17"/>
                <w:szCs w:val="17"/>
              </w:rPr>
              <w:t xml:space="preserve">0.67</w:t>
            </w:r>
          </w:p>
        </w:tc>
        <w:tc>
          <w:tcPr>
            <w:tcW w:type="dxa" w:w="1000"/>
            <w:shd w:fill="FFF4E0" w:color="auto" w:val="clear"/>
            <w:tcMar>
              <w:top w:type="dxa" w:w="60"/>
              <w:left w:type="dxa" w:w="90"/>
              <w:bottom w:type="dxa" w:w="60"/>
              <w:right w:type="dxa" w:w="90"/>
            </w:tcMar>
          </w:tcPr>
          <w:p>
            <w:pPr>
              <w:spacing w:after="0"/>
              <w:jc w:val="center"/>
            </w:pPr>
            <w:r>
              <w:rPr>
                <w:b w:val="false"/>
                <w:bCs w:val="false"/>
                <w:sz w:val="17"/>
                <w:szCs w:val="17"/>
              </w:rPr>
              <w:t xml:space="preserve">2.0</w:t>
            </w:r>
          </w:p>
        </w:tc>
      </w:tr>
      <w:tr>
        <w:tc>
          <w:tcPr>
            <w:tcW w:type="dxa" w:w="1700"/>
            <w:tcMar>
              <w:top w:type="dxa" w:w="60"/>
              <w:left w:type="dxa" w:w="90"/>
              <w:bottom w:type="dxa" w:w="60"/>
              <w:right w:type="dxa" w:w="90"/>
            </w:tcMar>
          </w:tcPr>
          <w:p>
            <w:pPr>
              <w:spacing w:after="0"/>
            </w:pPr>
            <w:r>
              <w:rPr>
                <w:b w:val="false"/>
                <w:bCs w:val="false"/>
                <w:sz w:val="17"/>
                <w:szCs w:val="17"/>
              </w:rPr>
              <w:t xml:space="preserve">lin_r03_l21</w:t>
            </w:r>
          </w:p>
        </w:tc>
        <w:tc>
          <w:tcPr>
            <w:tcW w:type="dxa" w:w="500"/>
            <w:tcMar>
              <w:top w:type="dxa" w:w="60"/>
              <w:left w:type="dxa" w:w="90"/>
              <w:bottom w:type="dxa" w:w="60"/>
              <w:right w:type="dxa" w:w="90"/>
            </w:tcMar>
          </w:tcPr>
          <w:p>
            <w:pPr>
              <w:spacing w:after="0"/>
              <w:jc w:val="center"/>
            </w:pPr>
            <w:r>
              <w:rPr>
                <w:b w:val="false"/>
                <w:bCs w:val="false"/>
                <w:sz w:val="17"/>
                <w:szCs w:val="17"/>
              </w:rPr>
              <w:t xml:space="preserve">21</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SKTKMPEEMKEEMDKHGIKYT</w:t>
            </w:r>
          </w:p>
        </w:tc>
        <w:tc>
          <w:tcPr>
            <w:tcW w:type="dxa" w:w="1100"/>
            <w:tcMar>
              <w:top w:type="dxa" w:w="60"/>
              <w:left w:type="dxa" w:w="90"/>
              <w:bottom w:type="dxa" w:w="60"/>
              <w:right w:type="dxa" w:w="90"/>
            </w:tcMar>
          </w:tcPr>
          <w:p>
            <w:pPr>
              <w:spacing w:after="0"/>
              <w:jc w:val="center"/>
            </w:pPr>
            <w:r>
              <w:rPr>
                <w:b w:val="false"/>
                <w:bCs w:val="false"/>
                <w:sz w:val="17"/>
                <w:szCs w:val="17"/>
              </w:rPr>
              <w:t xml:space="preserve">0.822 ± 0.007</w:t>
            </w:r>
          </w:p>
        </w:tc>
        <w:tc>
          <w:tcPr>
            <w:tcW w:type="dxa" w:w="1100"/>
            <w:tcMar>
              <w:top w:type="dxa" w:w="60"/>
              <w:left w:type="dxa" w:w="90"/>
              <w:bottom w:type="dxa" w:w="60"/>
              <w:right w:type="dxa" w:w="90"/>
            </w:tcMar>
          </w:tcPr>
          <w:p>
            <w:pPr>
              <w:spacing w:after="0"/>
              <w:jc w:val="center"/>
            </w:pPr>
            <w:r>
              <w:rPr>
                <w:b w:val="false"/>
                <w:bCs w:val="false"/>
                <w:sz w:val="17"/>
                <w:szCs w:val="17"/>
              </w:rPr>
              <w:t xml:space="preserve">0.71 ± 0.04</w:t>
            </w:r>
          </w:p>
        </w:tc>
        <w:tc>
          <w:tcPr>
            <w:tcW w:type="dxa" w:w="850"/>
            <w:tcMar>
              <w:top w:type="dxa" w:w="60"/>
              <w:left w:type="dxa" w:w="90"/>
              <w:bottom w:type="dxa" w:w="60"/>
              <w:right w:type="dxa" w:w="90"/>
            </w:tcMar>
          </w:tcPr>
          <w:p>
            <w:pPr>
              <w:spacing w:after="0"/>
              <w:jc w:val="center"/>
            </w:pPr>
            <w:r>
              <w:rPr>
                <w:b w:val="false"/>
                <w:bCs w:val="false"/>
                <w:sz w:val="17"/>
                <w:szCs w:val="17"/>
              </w:rPr>
              <w:t xml:space="preserve">0.65</w:t>
            </w:r>
          </w:p>
        </w:tc>
        <w:tc>
          <w:tcPr>
            <w:tcW w:type="dxa" w:w="1000"/>
            <w:tcMar>
              <w:top w:type="dxa" w:w="60"/>
              <w:left w:type="dxa" w:w="90"/>
              <w:bottom w:type="dxa" w:w="60"/>
              <w:right w:type="dxa" w:w="90"/>
            </w:tcMar>
          </w:tcPr>
          <w:p>
            <w:pPr>
              <w:spacing w:after="0"/>
              <w:jc w:val="center"/>
            </w:pPr>
            <w:r>
              <w:rPr>
                <w:b w:val="false"/>
                <w:bCs w:val="false"/>
                <w:sz w:val="17"/>
                <w:szCs w:val="17"/>
              </w:rPr>
              <w:t xml:space="preserve">5.0</w:t>
            </w:r>
          </w:p>
        </w:tc>
      </w:tr>
      <w:tr>
        <w:tc>
          <w:tcPr>
            <w:tcW w:type="dxa" w:w="1700"/>
            <w:tcMar>
              <w:top w:type="dxa" w:w="60"/>
              <w:left w:type="dxa" w:w="90"/>
              <w:bottom w:type="dxa" w:w="60"/>
              <w:right w:type="dxa" w:w="90"/>
            </w:tcMar>
          </w:tcPr>
          <w:p>
            <w:pPr>
              <w:spacing w:after="0"/>
            </w:pPr>
            <w:r>
              <w:rPr>
                <w:b w:val="false"/>
                <w:bCs w:val="false"/>
                <w:sz w:val="17"/>
                <w:szCs w:val="17"/>
              </w:rPr>
              <w:t xml:space="preserve">cyc_r07_l16</w:t>
            </w:r>
          </w:p>
        </w:tc>
        <w:tc>
          <w:tcPr>
            <w:tcW w:type="dxa" w:w="500"/>
            <w:tcMar>
              <w:top w:type="dxa" w:w="60"/>
              <w:left w:type="dxa" w:w="90"/>
              <w:bottom w:type="dxa" w:w="60"/>
              <w:right w:type="dxa" w:w="90"/>
            </w:tcMar>
          </w:tcPr>
          <w:p>
            <w:pPr>
              <w:spacing w:after="0"/>
              <w:jc w:val="center"/>
            </w:pPr>
            <w:r>
              <w:rPr>
                <w:b w:val="false"/>
                <w:bCs w:val="false"/>
                <w:sz w:val="17"/>
                <w:szCs w:val="17"/>
              </w:rPr>
              <w:t xml:space="preserve">16</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RHPDKTVTLPEMNVTM</w:t>
            </w:r>
          </w:p>
        </w:tc>
        <w:tc>
          <w:tcPr>
            <w:tcW w:type="dxa" w:w="1100"/>
            <w:tcMar>
              <w:top w:type="dxa" w:w="60"/>
              <w:left w:type="dxa" w:w="90"/>
              <w:bottom w:type="dxa" w:w="60"/>
              <w:right w:type="dxa" w:w="90"/>
            </w:tcMar>
          </w:tcPr>
          <w:p>
            <w:pPr>
              <w:spacing w:after="0"/>
              <w:jc w:val="center"/>
            </w:pPr>
            <w:r>
              <w:rPr>
                <w:b w:val="false"/>
                <w:bCs w:val="false"/>
                <w:sz w:val="17"/>
                <w:szCs w:val="17"/>
              </w:rPr>
              <w:t xml:space="preserve">0.704 ± 0.032</w:t>
            </w:r>
          </w:p>
        </w:tc>
        <w:tc>
          <w:tcPr>
            <w:tcW w:type="dxa" w:w="1100"/>
            <w:tcMar>
              <w:top w:type="dxa" w:w="60"/>
              <w:left w:type="dxa" w:w="90"/>
              <w:bottom w:type="dxa" w:w="60"/>
              <w:right w:type="dxa" w:w="90"/>
            </w:tcMar>
          </w:tcPr>
          <w:p>
            <w:pPr>
              <w:spacing w:after="0"/>
              <w:jc w:val="center"/>
            </w:pPr>
            <w:r>
              <w:rPr>
                <w:b w:val="false"/>
                <w:bCs w:val="false"/>
                <w:sz w:val="17"/>
                <w:szCs w:val="17"/>
              </w:rPr>
              <w:t xml:space="preserve">0.82 ± 0.09</w:t>
            </w:r>
          </w:p>
        </w:tc>
        <w:tc>
          <w:tcPr>
            <w:tcW w:type="dxa" w:w="850"/>
            <w:tcMar>
              <w:top w:type="dxa" w:w="60"/>
              <w:left w:type="dxa" w:w="90"/>
              <w:bottom w:type="dxa" w:w="60"/>
              <w:right w:type="dxa" w:w="90"/>
            </w:tcMar>
          </w:tcPr>
          <w:p>
            <w:pPr>
              <w:spacing w:after="0"/>
              <w:jc w:val="center"/>
            </w:pPr>
            <w:r>
              <w:rPr>
                <w:b w:val="false"/>
                <w:bCs w:val="false"/>
                <w:sz w:val="17"/>
                <w:szCs w:val="17"/>
              </w:rPr>
              <w:t xml:space="preserve">0.73</w:t>
            </w:r>
          </w:p>
        </w:tc>
        <w:tc>
          <w:tcPr>
            <w:tcW w:type="dxa" w:w="1000"/>
            <w:tcMar>
              <w:top w:type="dxa" w:w="60"/>
              <w:left w:type="dxa" w:w="90"/>
              <w:bottom w:type="dxa" w:w="60"/>
              <w:right w:type="dxa" w:w="90"/>
            </w:tcMar>
          </w:tcPr>
          <w:p>
            <w:pPr>
              <w:spacing w:after="0"/>
              <w:jc w:val="center"/>
            </w:pPr>
            <w:r>
              <w:rPr>
                <w:b w:val="false"/>
                <w:bCs w:val="false"/>
                <w:sz w:val="17"/>
                <w:szCs w:val="17"/>
              </w:rPr>
              <w:t xml:space="preserve">2.6</w:t>
            </w:r>
          </w:p>
        </w:tc>
      </w:tr>
      <w:tr>
        <w:tc>
          <w:tcPr>
            <w:tcW w:type="dxa" w:w="1700"/>
            <w:tcMar>
              <w:top w:type="dxa" w:w="60"/>
              <w:left w:type="dxa" w:w="90"/>
              <w:bottom w:type="dxa" w:w="60"/>
              <w:right w:type="dxa" w:w="90"/>
            </w:tcMar>
          </w:tcPr>
          <w:p>
            <w:pPr>
              <w:spacing w:after="0"/>
            </w:pPr>
            <w:r>
              <w:rPr>
                <w:b w:val="false"/>
                <w:bCs w:val="false"/>
                <w:sz w:val="17"/>
                <w:szCs w:val="17"/>
              </w:rPr>
              <w:t xml:space="preserve">lin_r04_l21</w:t>
            </w:r>
          </w:p>
        </w:tc>
        <w:tc>
          <w:tcPr>
            <w:tcW w:type="dxa" w:w="500"/>
            <w:tcMar>
              <w:top w:type="dxa" w:w="60"/>
              <w:left w:type="dxa" w:w="90"/>
              <w:bottom w:type="dxa" w:w="60"/>
              <w:right w:type="dxa" w:w="90"/>
            </w:tcMar>
          </w:tcPr>
          <w:p>
            <w:pPr>
              <w:spacing w:after="0"/>
              <w:jc w:val="center"/>
            </w:pPr>
            <w:r>
              <w:rPr>
                <w:b w:val="false"/>
                <w:bCs w:val="false"/>
                <w:sz w:val="17"/>
                <w:szCs w:val="17"/>
              </w:rPr>
              <w:t xml:space="preserve">21</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MIVPAKNDKGEEVPVHMRKRE</w:t>
            </w:r>
          </w:p>
        </w:tc>
        <w:tc>
          <w:tcPr>
            <w:tcW w:type="dxa" w:w="1100"/>
            <w:tcMar>
              <w:top w:type="dxa" w:w="60"/>
              <w:left w:type="dxa" w:w="90"/>
              <w:bottom w:type="dxa" w:w="60"/>
              <w:right w:type="dxa" w:w="90"/>
            </w:tcMar>
          </w:tcPr>
          <w:p>
            <w:pPr>
              <w:spacing w:after="0"/>
              <w:jc w:val="center"/>
            </w:pPr>
            <w:r>
              <w:rPr>
                <w:b w:val="false"/>
                <w:bCs w:val="false"/>
                <w:sz w:val="17"/>
                <w:szCs w:val="17"/>
              </w:rPr>
              <w:t xml:space="preserve">0.790 ± 0.008</w:t>
            </w:r>
          </w:p>
        </w:tc>
        <w:tc>
          <w:tcPr>
            <w:tcW w:type="dxa" w:w="1100"/>
            <w:tcMar>
              <w:top w:type="dxa" w:w="60"/>
              <w:left w:type="dxa" w:w="90"/>
              <w:bottom w:type="dxa" w:w="60"/>
              <w:right w:type="dxa" w:w="90"/>
            </w:tcMar>
          </w:tcPr>
          <w:p>
            <w:pPr>
              <w:spacing w:after="0"/>
              <w:jc w:val="center"/>
            </w:pPr>
            <w:r>
              <w:rPr>
                <w:b w:val="false"/>
                <w:bCs w:val="false"/>
                <w:sz w:val="17"/>
                <w:szCs w:val="17"/>
              </w:rPr>
              <w:t xml:space="preserve">0.71 ± 0.06</w:t>
            </w:r>
          </w:p>
        </w:tc>
        <w:tc>
          <w:tcPr>
            <w:tcW w:type="dxa" w:w="850"/>
            <w:tcMar>
              <w:top w:type="dxa" w:w="60"/>
              <w:left w:type="dxa" w:w="90"/>
              <w:bottom w:type="dxa" w:w="60"/>
              <w:right w:type="dxa" w:w="90"/>
            </w:tcMar>
          </w:tcPr>
          <w:p>
            <w:pPr>
              <w:spacing w:after="0"/>
              <w:jc w:val="center"/>
            </w:pPr>
            <w:r>
              <w:rPr>
                <w:b w:val="false"/>
                <w:bCs w:val="false"/>
                <w:sz w:val="17"/>
                <w:szCs w:val="17"/>
              </w:rPr>
              <w:t xml:space="preserve">0.65</w:t>
            </w:r>
          </w:p>
        </w:tc>
        <w:tc>
          <w:tcPr>
            <w:tcW w:type="dxa" w:w="1000"/>
            <w:tcMar>
              <w:top w:type="dxa" w:w="60"/>
              <w:left w:type="dxa" w:w="90"/>
              <w:bottom w:type="dxa" w:w="60"/>
              <w:right w:type="dxa" w:w="90"/>
            </w:tcMar>
          </w:tcPr>
          <w:p>
            <w:pPr>
              <w:spacing w:after="0"/>
              <w:jc w:val="center"/>
            </w:pPr>
            <w:r>
              <w:rPr>
                <w:b w:val="false"/>
                <w:bCs w:val="false"/>
                <w:sz w:val="17"/>
                <w:szCs w:val="17"/>
              </w:rPr>
              <w:t xml:space="preserve">6.0</w:t>
            </w:r>
          </w:p>
        </w:tc>
      </w:tr>
      <w:tr>
        <w:tc>
          <w:tcPr>
            <w:tcW w:type="dxa" w:w="1700"/>
            <w:tcMar>
              <w:top w:type="dxa" w:w="60"/>
              <w:left w:type="dxa" w:w="90"/>
              <w:bottom w:type="dxa" w:w="60"/>
              <w:right w:type="dxa" w:w="90"/>
            </w:tcMar>
          </w:tcPr>
          <w:p>
            <w:pPr>
              <w:spacing w:after="0"/>
            </w:pPr>
            <w:r>
              <w:rPr>
                <w:b w:val="false"/>
                <w:bCs w:val="false"/>
                <w:sz w:val="17"/>
                <w:szCs w:val="17"/>
              </w:rPr>
              <w:t xml:space="preserve">lin_r08_l24</w:t>
            </w:r>
          </w:p>
        </w:tc>
        <w:tc>
          <w:tcPr>
            <w:tcW w:type="dxa" w:w="500"/>
            <w:tcMar>
              <w:top w:type="dxa" w:w="60"/>
              <w:left w:type="dxa" w:w="90"/>
              <w:bottom w:type="dxa" w:w="60"/>
              <w:right w:type="dxa" w:w="90"/>
            </w:tcMar>
          </w:tcPr>
          <w:p>
            <w:pPr>
              <w:spacing w:after="0"/>
              <w:jc w:val="center"/>
            </w:pPr>
            <w:r>
              <w:rPr>
                <w:b w:val="false"/>
                <w:bCs w:val="false"/>
                <w:sz w:val="17"/>
                <w:szCs w:val="17"/>
              </w:rPr>
              <w:t xml:space="preserve">24</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EWKVWSREEVTEDMKKHGMPVPAP</w:t>
            </w:r>
          </w:p>
        </w:tc>
        <w:tc>
          <w:tcPr>
            <w:tcW w:type="dxa" w:w="1100"/>
            <w:tcMar>
              <w:top w:type="dxa" w:w="60"/>
              <w:left w:type="dxa" w:w="90"/>
              <w:bottom w:type="dxa" w:w="60"/>
              <w:right w:type="dxa" w:w="90"/>
            </w:tcMar>
          </w:tcPr>
          <w:p>
            <w:pPr>
              <w:spacing w:after="0"/>
              <w:jc w:val="center"/>
            </w:pPr>
            <w:r>
              <w:rPr>
                <w:b w:val="false"/>
                <w:bCs w:val="false"/>
                <w:sz w:val="17"/>
                <w:szCs w:val="17"/>
              </w:rPr>
              <w:t xml:space="preserve">0.786 ± 0.031</w:t>
            </w:r>
          </w:p>
        </w:tc>
        <w:tc>
          <w:tcPr>
            <w:tcW w:type="dxa" w:w="1100"/>
            <w:tcMar>
              <w:top w:type="dxa" w:w="60"/>
              <w:left w:type="dxa" w:w="90"/>
              <w:bottom w:type="dxa" w:w="60"/>
              <w:right w:type="dxa" w:w="90"/>
            </w:tcMar>
          </w:tcPr>
          <w:p>
            <w:pPr>
              <w:spacing w:after="0"/>
              <w:jc w:val="center"/>
            </w:pPr>
            <w:r>
              <w:rPr>
                <w:b w:val="false"/>
                <w:bCs w:val="false"/>
                <w:sz w:val="17"/>
                <w:szCs w:val="17"/>
              </w:rPr>
              <w:t xml:space="preserve">0.60 ± 0.03</w:t>
            </w:r>
          </w:p>
        </w:tc>
        <w:tc>
          <w:tcPr>
            <w:tcW w:type="dxa" w:w="850"/>
            <w:tcMar>
              <w:top w:type="dxa" w:w="60"/>
              <w:left w:type="dxa" w:w="90"/>
              <w:bottom w:type="dxa" w:w="60"/>
              <w:right w:type="dxa" w:w="90"/>
            </w:tcMar>
          </w:tcPr>
          <w:p>
            <w:pPr>
              <w:spacing w:after="0"/>
              <w:jc w:val="center"/>
            </w:pPr>
            <w:r>
              <w:rPr>
                <w:b w:val="false"/>
                <w:bCs w:val="false"/>
                <w:sz w:val="17"/>
                <w:szCs w:val="17"/>
              </w:rPr>
              <w:t xml:space="preserve">0.57</w:t>
            </w:r>
          </w:p>
        </w:tc>
        <w:tc>
          <w:tcPr>
            <w:tcW w:type="dxa" w:w="1000"/>
            <w:tcMar>
              <w:top w:type="dxa" w:w="60"/>
              <w:left w:type="dxa" w:w="90"/>
              <w:bottom w:type="dxa" w:w="60"/>
              <w:right w:type="dxa" w:w="90"/>
            </w:tcMar>
          </w:tcPr>
          <w:p>
            <w:pPr>
              <w:spacing w:after="0"/>
              <w:jc w:val="center"/>
            </w:pPr>
            <w:r>
              <w:rPr>
                <w:b w:val="false"/>
                <w:bCs w:val="false"/>
                <w:sz w:val="17"/>
                <w:szCs w:val="17"/>
              </w:rPr>
              <w:t xml:space="preserve">5.2</w:t>
            </w:r>
          </w:p>
        </w:tc>
      </w:tr>
      <w:tr>
        <w:tc>
          <w:tcPr>
            <w:tcW w:type="dxa" w:w="1700"/>
            <w:tcMar>
              <w:top w:type="dxa" w:w="60"/>
              <w:left w:type="dxa" w:w="90"/>
              <w:bottom w:type="dxa" w:w="60"/>
              <w:right w:type="dxa" w:w="90"/>
            </w:tcMar>
          </w:tcPr>
          <w:p>
            <w:pPr>
              <w:spacing w:after="0"/>
            </w:pPr>
            <w:r>
              <w:rPr>
                <w:b w:val="false"/>
                <w:bCs w:val="false"/>
                <w:sz w:val="17"/>
                <w:szCs w:val="17"/>
              </w:rPr>
              <w:t xml:space="preserve">cyc_r02_l17</w:t>
            </w:r>
          </w:p>
        </w:tc>
        <w:tc>
          <w:tcPr>
            <w:tcW w:type="dxa" w:w="500"/>
            <w:tcMar>
              <w:top w:type="dxa" w:w="60"/>
              <w:left w:type="dxa" w:w="90"/>
              <w:bottom w:type="dxa" w:w="60"/>
              <w:right w:type="dxa" w:w="90"/>
            </w:tcMar>
          </w:tcPr>
          <w:p>
            <w:pPr>
              <w:spacing w:after="0"/>
              <w:jc w:val="center"/>
            </w:pPr>
            <w:r>
              <w:rPr>
                <w:b w:val="false"/>
                <w:bCs w:val="false"/>
                <w:sz w:val="17"/>
                <w:szCs w:val="17"/>
              </w:rPr>
              <w:t xml:space="preserve">17</w:t>
            </w:r>
          </w:p>
        </w:tc>
        <w:tc>
          <w:tcPr>
            <w:tcW w:type="dxa" w:w="2750"/>
            <w:tcMar>
              <w:top w:type="dxa" w:w="60"/>
              <w:left w:type="dxa" w:w="90"/>
              <w:bottom w:type="dxa" w:w="60"/>
              <w:right w:type="dxa" w:w="90"/>
            </w:tcMar>
          </w:tcPr>
          <w:p>
            <w:pPr>
              <w:spacing w:after="0"/>
              <w:jc w:val="center"/>
            </w:pPr>
            <w:r>
              <w:rPr>
                <w:rFonts w:ascii="Consolas" w:cs="Consolas" w:eastAsia="Consolas" w:hAnsi="Consolas"/>
                <w:sz w:val="15"/>
                <w:szCs w:val="15"/>
              </w:rPr>
              <w:t xml:space="preserve">IEEVNMRMRHPDGTEMV</w:t>
            </w:r>
          </w:p>
        </w:tc>
        <w:tc>
          <w:tcPr>
            <w:tcW w:type="dxa" w:w="1100"/>
            <w:tcMar>
              <w:top w:type="dxa" w:w="60"/>
              <w:left w:type="dxa" w:w="90"/>
              <w:bottom w:type="dxa" w:w="60"/>
              <w:right w:type="dxa" w:w="90"/>
            </w:tcMar>
          </w:tcPr>
          <w:p>
            <w:pPr>
              <w:spacing w:after="0"/>
              <w:jc w:val="center"/>
            </w:pPr>
            <w:r>
              <w:rPr>
                <w:b w:val="false"/>
                <w:bCs w:val="false"/>
                <w:sz w:val="17"/>
                <w:szCs w:val="17"/>
              </w:rPr>
              <w:t xml:space="preserve">0.616 ± 0.045</w:t>
            </w:r>
          </w:p>
        </w:tc>
        <w:tc>
          <w:tcPr>
            <w:tcW w:type="dxa" w:w="1100"/>
            <w:tcMar>
              <w:top w:type="dxa" w:w="60"/>
              <w:left w:type="dxa" w:w="90"/>
              <w:bottom w:type="dxa" w:w="60"/>
              <w:right w:type="dxa" w:w="90"/>
            </w:tcMar>
          </w:tcPr>
          <w:p>
            <w:pPr>
              <w:spacing w:after="0"/>
              <w:jc w:val="center"/>
            </w:pPr>
            <w:r>
              <w:rPr>
                <w:b w:val="false"/>
                <w:bCs w:val="false"/>
                <w:sz w:val="17"/>
                <w:szCs w:val="17"/>
              </w:rPr>
              <w:t xml:space="preserve">0.69 ± 0.05</w:t>
            </w:r>
          </w:p>
        </w:tc>
        <w:tc>
          <w:tcPr>
            <w:tcW w:type="dxa" w:w="850"/>
            <w:tcMar>
              <w:top w:type="dxa" w:w="60"/>
              <w:left w:type="dxa" w:w="90"/>
              <w:bottom w:type="dxa" w:w="60"/>
              <w:right w:type="dxa" w:w="90"/>
            </w:tcMar>
          </w:tcPr>
          <w:p>
            <w:pPr>
              <w:spacing w:after="0"/>
              <w:jc w:val="center"/>
            </w:pPr>
            <w:r>
              <w:rPr>
                <w:b w:val="false"/>
                <w:bCs w:val="false"/>
                <w:sz w:val="17"/>
                <w:szCs w:val="17"/>
              </w:rPr>
              <w:t xml:space="preserve">0.61</w:t>
            </w:r>
          </w:p>
        </w:tc>
        <w:tc>
          <w:tcPr>
            <w:tcW w:type="dxa" w:w="1000"/>
            <w:tcMar>
              <w:top w:type="dxa" w:w="60"/>
              <w:left w:type="dxa" w:w="90"/>
              <w:bottom w:type="dxa" w:w="60"/>
              <w:right w:type="dxa" w:w="90"/>
            </w:tcMar>
          </w:tcPr>
          <w:p>
            <w:pPr>
              <w:spacing w:after="0"/>
              <w:jc w:val="center"/>
            </w:pPr>
            <w:r>
              <w:rPr>
                <w:b w:val="false"/>
                <w:bCs w:val="false"/>
                <w:sz w:val="17"/>
                <w:szCs w:val="17"/>
              </w:rPr>
              <w:t xml:space="preserve">2.8</w:t>
            </w:r>
          </w:p>
        </w:tc>
      </w:tr>
    </w:tbl>
    <w:p>
      <w:pPr>
        <w:spacing w:after="200"/>
      </w:pPr>
      <w:r>
        <w:rPr>
          <w:color w:val="555555"/>
          <w:sz w:val="17"/>
          <w:szCs w:val="17"/>
        </w:rPr>
        <w:t xml:space="preserve">Rows shaded in cream are the four recommended below. “Hotspots” is the mean number of the nine targeted residues contacted per seed.</w:t>
      </w:r>
    </w:p>
    <w:p>
      <w:pPr>
        <w:pStyle w:val="Heading1"/>
        <w:spacing w:after="110" w:before="190"/>
      </w:pPr>
      <w:r>
        <w:t xml:space="preserve">5. Recommended for synthesis</w:t>
      </w:r>
    </w:p>
    <w:p>
      <w:pPr>
        <w:spacing w:after="120"/>
      </w:pPr>
      <w:r>
        <w:t xml:space="preserve">Four candidates, chosen for cross-model consensus and to span both modalities and a range of lengths.</w:t>
      </w:r>
    </w:p>
    <w:p>
      <w:pPr>
        <w:pStyle w:val="Heading2"/>
        <w:spacing w:after="110" w:before="190"/>
      </w:pPr>
      <w:r>
        <w:t xml:space="preserve">5.1  rbp4lin_r09_l19  ·  linear, 19 aa</w:t>
      </w:r>
    </w:p>
    <w:p>
      <w:pPr>
        <w:spacing w:after="110"/>
      </w:pPr>
      <w:r>
        <w:rPr>
          <w:rFonts w:ascii="Consolas" w:cs="Consolas" w:eastAsia="Consolas" w:hAnsi="Consolas"/>
          <w:sz w:val="17"/>
          <w:szCs w:val="17"/>
        </w:rPr>
        <w:t xml:space="preserve">MPEVVKMRSPEGKWEEHTF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AED" w:color="auto" w:val="clear"/>
            <w:tcMar>
              <w:top w:type="dxa" w:w="60"/>
              <w:left w:type="dxa" w:w="90"/>
              <w:bottom w:type="dxa" w:w="60"/>
              <w:right w:type="dxa" w:w="90"/>
            </w:tcMar>
          </w:tcPr>
          <w:p>
            <w:pPr>
              <w:spacing w:after="0"/>
            </w:pPr>
            <w:r>
              <w:rPr>
                <w:b/>
                <w:bCs/>
                <w:sz w:val="17"/>
                <w:szCs w:val="17"/>
              </w:rPr>
              <w:t xml:space="preserve">ipTM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Jaccard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Worst seed</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Hotspots contacted</w:t>
            </w:r>
          </w:p>
        </w:tc>
      </w:tr>
      <w:tr>
        <w:tc>
          <w:tcPr>
            <w:tcW w:type="dxa" w:w="2250"/>
            <w:tcMar>
              <w:top w:type="dxa" w:w="60"/>
              <w:left w:type="dxa" w:w="90"/>
              <w:bottom w:type="dxa" w:w="60"/>
              <w:right w:type="dxa" w:w="90"/>
            </w:tcMar>
          </w:tcPr>
          <w:p>
            <w:pPr>
              <w:spacing w:after="0"/>
            </w:pPr>
            <w:r>
              <w:rPr>
                <w:b w:val="false"/>
                <w:bCs w:val="false"/>
                <w:sz w:val="17"/>
                <w:szCs w:val="17"/>
              </w:rPr>
              <w:t xml:space="preserve">0.787 ± 0.021</w:t>
            </w:r>
          </w:p>
        </w:tc>
        <w:tc>
          <w:tcPr>
            <w:tcW w:type="dxa" w:w="2250"/>
            <w:tcMar>
              <w:top w:type="dxa" w:w="60"/>
              <w:left w:type="dxa" w:w="90"/>
              <w:bottom w:type="dxa" w:w="60"/>
              <w:right w:type="dxa" w:w="90"/>
            </w:tcMar>
          </w:tcPr>
          <w:p>
            <w:pPr>
              <w:spacing w:after="0"/>
              <w:jc w:val="center"/>
            </w:pPr>
            <w:r>
              <w:rPr>
                <w:b w:val="false"/>
                <w:bCs w:val="false"/>
                <w:sz w:val="17"/>
                <w:szCs w:val="17"/>
              </w:rPr>
              <w:t xml:space="preserve">0.90 ± 0.15</w:t>
            </w:r>
          </w:p>
        </w:tc>
        <w:tc>
          <w:tcPr>
            <w:tcW w:type="dxa" w:w="2250"/>
            <w:tcMar>
              <w:top w:type="dxa" w:w="60"/>
              <w:left w:type="dxa" w:w="90"/>
              <w:bottom w:type="dxa" w:w="60"/>
              <w:right w:type="dxa" w:w="90"/>
            </w:tcMar>
          </w:tcPr>
          <w:p>
            <w:pPr>
              <w:spacing w:after="0"/>
              <w:jc w:val="center"/>
            </w:pPr>
            <w:r>
              <w:rPr>
                <w:b w:val="false"/>
                <w:bCs w:val="false"/>
                <w:sz w:val="17"/>
                <w:szCs w:val="17"/>
              </w:rPr>
              <w:t xml:space="preserve">0.67</w:t>
            </w:r>
          </w:p>
        </w:tc>
        <w:tc>
          <w:tcPr>
            <w:tcW w:type="dxa" w:w="2250"/>
            <w:tcMar>
              <w:top w:type="dxa" w:w="60"/>
              <w:left w:type="dxa" w:w="90"/>
              <w:bottom w:type="dxa" w:w="60"/>
              <w:right w:type="dxa" w:w="90"/>
            </w:tcMar>
          </w:tcPr>
          <w:p>
            <w:pPr>
              <w:spacing w:after="0"/>
              <w:jc w:val="center"/>
            </w:pPr>
            <w:r>
              <w:rPr>
                <w:b w:val="false"/>
                <w:bCs w:val="false"/>
                <w:sz w:val="17"/>
                <w:szCs w:val="17"/>
              </w:rPr>
              <w:t xml:space="preserve">3.8</w:t>
            </w:r>
          </w:p>
        </w:tc>
      </w:tr>
    </w:tbl>
    <w:p>
      <w:pPr>
        <w:spacing w:after="60"/>
      </w:pPr>
      <w:r>
        <w:t xml:space="preserve">Strongest epitope agreement in the set: Protenix reproduces BC2's residue set exactly (Jaccard 1.00) in three of five seeds. The shortest linear candidate.</w:t>
      </w:r>
    </w:p>
    <w:p>
      <w:pPr>
        <w:spacing w:after="50" w:before="120"/>
        <w:jc w:val="center"/>
      </w:pPr>
      <w:r>
        <w:drawing>
          <wp:inline distT="0" distB="0" distL="0" distR="0">
            <wp:extent cx="3886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86200" cy="3171825"/>
                    </a:xfrm>
                    <a:prstGeom prst="rect">
                      <a:avLst/>
                    </a:prstGeom>
                  </pic:spPr>
                </pic:pic>
              </a:graphicData>
            </a:graphic>
          </wp:inline>
        </w:drawing>
      </w:r>
    </w:p>
    <w:p>
      <w:pPr>
        <w:spacing w:after="150"/>
        <w:jc w:val="center"/>
      </w:pPr>
      <w:r>
        <w:rPr>
          <w:i/>
          <w:iCs/>
          <w:color w:val="555555"/>
          <w:sz w:val="16"/>
          <w:szCs w:val="16"/>
        </w:rPr>
        <w:t xml:space="preserve">Figure 2. rbp4lin_r09_l19 (blue, sticks) on the RBP4 portal. Targeted hotspot residues in orange.</w:t>
      </w:r>
    </w:p>
    <w:p>
      <w:pPr>
        <w:pStyle w:val="Heading2"/>
        <w:spacing w:after="110" w:before="190"/>
      </w:pPr>
      <w:r>
        <w:t xml:space="preserve">5.2  rbp4lin_r06_l24  ·  linear, 24 aa</w:t>
      </w:r>
    </w:p>
    <w:p>
      <w:pPr>
        <w:spacing w:after="110"/>
      </w:pPr>
      <w:r>
        <w:rPr>
          <w:rFonts w:ascii="Consolas" w:cs="Consolas" w:eastAsia="Consolas" w:hAnsi="Consolas"/>
          <w:sz w:val="17"/>
          <w:szCs w:val="17"/>
        </w:rPr>
        <w:t xml:space="preserve">EKPKVKLTPGMTMEEFKEEYEKKL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AED" w:color="auto" w:val="clear"/>
            <w:tcMar>
              <w:top w:type="dxa" w:w="60"/>
              <w:left w:type="dxa" w:w="90"/>
              <w:bottom w:type="dxa" w:w="60"/>
              <w:right w:type="dxa" w:w="90"/>
            </w:tcMar>
          </w:tcPr>
          <w:p>
            <w:pPr>
              <w:spacing w:after="0"/>
            </w:pPr>
            <w:r>
              <w:rPr>
                <w:b/>
                <w:bCs/>
                <w:sz w:val="17"/>
                <w:szCs w:val="17"/>
              </w:rPr>
              <w:t xml:space="preserve">ipTM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Jaccard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Worst seed</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Hotspots contacted</w:t>
            </w:r>
          </w:p>
        </w:tc>
      </w:tr>
      <w:tr>
        <w:tc>
          <w:tcPr>
            <w:tcW w:type="dxa" w:w="2250"/>
            <w:tcMar>
              <w:top w:type="dxa" w:w="60"/>
              <w:left w:type="dxa" w:w="90"/>
              <w:bottom w:type="dxa" w:w="60"/>
              <w:right w:type="dxa" w:w="90"/>
            </w:tcMar>
          </w:tcPr>
          <w:p>
            <w:pPr>
              <w:spacing w:after="0"/>
            </w:pPr>
            <w:r>
              <w:rPr>
                <w:b w:val="false"/>
                <w:bCs w:val="false"/>
                <w:sz w:val="17"/>
                <w:szCs w:val="17"/>
              </w:rPr>
              <w:t xml:space="preserve">0.827 ± 0.014</w:t>
            </w:r>
          </w:p>
        </w:tc>
        <w:tc>
          <w:tcPr>
            <w:tcW w:type="dxa" w:w="2250"/>
            <w:tcMar>
              <w:top w:type="dxa" w:w="60"/>
              <w:left w:type="dxa" w:w="90"/>
              <w:bottom w:type="dxa" w:w="60"/>
              <w:right w:type="dxa" w:w="90"/>
            </w:tcMar>
          </w:tcPr>
          <w:p>
            <w:pPr>
              <w:spacing w:after="0"/>
              <w:jc w:val="center"/>
            </w:pPr>
            <w:r>
              <w:rPr>
                <w:b w:val="false"/>
                <w:bCs w:val="false"/>
                <w:sz w:val="17"/>
                <w:szCs w:val="17"/>
              </w:rPr>
              <w:t xml:space="preserve">0.80 ± 0.07</w:t>
            </w:r>
          </w:p>
        </w:tc>
        <w:tc>
          <w:tcPr>
            <w:tcW w:type="dxa" w:w="2250"/>
            <w:tcMar>
              <w:top w:type="dxa" w:w="60"/>
              <w:left w:type="dxa" w:w="90"/>
              <w:bottom w:type="dxa" w:w="60"/>
              <w:right w:type="dxa" w:w="90"/>
            </w:tcMar>
          </w:tcPr>
          <w:p>
            <w:pPr>
              <w:spacing w:after="0"/>
              <w:jc w:val="center"/>
            </w:pPr>
            <w:r>
              <w:rPr>
                <w:b w:val="false"/>
                <w:bCs w:val="false"/>
                <w:sz w:val="17"/>
                <w:szCs w:val="17"/>
              </w:rPr>
              <w:t xml:space="preserve">0.71</w:t>
            </w:r>
          </w:p>
        </w:tc>
        <w:tc>
          <w:tcPr>
            <w:tcW w:type="dxa" w:w="2250"/>
            <w:tcMar>
              <w:top w:type="dxa" w:w="60"/>
              <w:left w:type="dxa" w:w="90"/>
              <w:bottom w:type="dxa" w:w="60"/>
              <w:right w:type="dxa" w:w="90"/>
            </w:tcMar>
          </w:tcPr>
          <w:p>
            <w:pPr>
              <w:spacing w:after="0"/>
              <w:jc w:val="center"/>
            </w:pPr>
            <w:r>
              <w:rPr>
                <w:b w:val="false"/>
                <w:bCs w:val="false"/>
                <w:sz w:val="17"/>
                <w:szCs w:val="17"/>
              </w:rPr>
              <w:t xml:space="preserve">5.2</w:t>
            </w:r>
          </w:p>
        </w:tc>
      </w:tr>
    </w:tbl>
    <w:p>
      <w:pPr>
        <w:spacing w:after="60"/>
      </w:pPr>
      <w:r>
        <w:t xml:space="preserve">The most confident linear design, and tightly reproducible — ipTM varies by only ±0.014 across seeds.</w:t>
      </w:r>
    </w:p>
    <w:p>
      <w:pPr>
        <w:spacing w:after="50" w:before="120"/>
        <w:jc w:val="center"/>
      </w:pPr>
      <w:r>
        <w:drawing>
          <wp:inline distT="0" distB="0" distL="0" distR="0">
            <wp:extent cx="3886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86200" cy="3171825"/>
                    </a:xfrm>
                    <a:prstGeom prst="rect">
                      <a:avLst/>
                    </a:prstGeom>
                  </pic:spPr>
                </pic:pic>
              </a:graphicData>
            </a:graphic>
          </wp:inline>
        </w:drawing>
      </w:r>
    </w:p>
    <w:p>
      <w:pPr>
        <w:spacing w:after="150"/>
        <w:jc w:val="center"/>
      </w:pPr>
      <w:r>
        <w:rPr>
          <w:i/>
          <w:iCs/>
          <w:color w:val="555555"/>
          <w:sz w:val="16"/>
          <w:szCs w:val="16"/>
        </w:rPr>
        <w:t xml:space="preserve">Figure 3. rbp4lin_r06_l24 (blue, sticks) on the RBP4 portal. Targeted hotspot residues in orange.</w:t>
      </w:r>
    </w:p>
    <w:p>
      <w:pPr>
        <w:pStyle w:val="Heading2"/>
        <w:spacing w:after="110" w:before="190"/>
      </w:pPr>
      <w:r>
        <w:t xml:space="preserve">5.3  rbp4lin_r10_l21  ·  linear, 21 aa</w:t>
      </w:r>
    </w:p>
    <w:p>
      <w:pPr>
        <w:spacing w:after="110"/>
      </w:pPr>
      <w:r>
        <w:rPr>
          <w:rFonts w:ascii="Consolas" w:cs="Consolas" w:eastAsia="Consolas" w:hAnsi="Consolas"/>
          <w:sz w:val="17"/>
          <w:szCs w:val="17"/>
        </w:rPr>
        <w:t xml:space="preserve">LTDEQIVEEFEKHNMKVVHRE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AED" w:color="auto" w:val="clear"/>
            <w:tcMar>
              <w:top w:type="dxa" w:w="60"/>
              <w:left w:type="dxa" w:w="90"/>
              <w:bottom w:type="dxa" w:w="60"/>
              <w:right w:type="dxa" w:w="90"/>
            </w:tcMar>
          </w:tcPr>
          <w:p>
            <w:pPr>
              <w:spacing w:after="0"/>
            </w:pPr>
            <w:r>
              <w:rPr>
                <w:b/>
                <w:bCs/>
                <w:sz w:val="17"/>
                <w:szCs w:val="17"/>
              </w:rPr>
              <w:t xml:space="preserve">ipTM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Jaccard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Worst seed</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Hotspots contacted</w:t>
            </w:r>
          </w:p>
        </w:tc>
      </w:tr>
      <w:tr>
        <w:tc>
          <w:tcPr>
            <w:tcW w:type="dxa" w:w="2250"/>
            <w:tcMar>
              <w:top w:type="dxa" w:w="60"/>
              <w:left w:type="dxa" w:w="90"/>
              <w:bottom w:type="dxa" w:w="60"/>
              <w:right w:type="dxa" w:w="90"/>
            </w:tcMar>
          </w:tcPr>
          <w:p>
            <w:pPr>
              <w:spacing w:after="0"/>
            </w:pPr>
            <w:r>
              <w:rPr>
                <w:b w:val="false"/>
                <w:bCs w:val="false"/>
                <w:sz w:val="17"/>
                <w:szCs w:val="17"/>
              </w:rPr>
              <w:t xml:space="preserve">0.730 ± 0.086</w:t>
            </w:r>
          </w:p>
        </w:tc>
        <w:tc>
          <w:tcPr>
            <w:tcW w:type="dxa" w:w="2250"/>
            <w:tcMar>
              <w:top w:type="dxa" w:w="60"/>
              <w:left w:type="dxa" w:w="90"/>
              <w:bottom w:type="dxa" w:w="60"/>
              <w:right w:type="dxa" w:w="90"/>
            </w:tcMar>
          </w:tcPr>
          <w:p>
            <w:pPr>
              <w:spacing w:after="0"/>
              <w:jc w:val="center"/>
            </w:pPr>
            <w:r>
              <w:rPr>
                <w:b w:val="false"/>
                <w:bCs w:val="false"/>
                <w:sz w:val="17"/>
                <w:szCs w:val="17"/>
              </w:rPr>
              <w:t xml:space="preserve">0.88 ± 0.04</w:t>
            </w:r>
          </w:p>
        </w:tc>
        <w:tc>
          <w:tcPr>
            <w:tcW w:type="dxa" w:w="2250"/>
            <w:tcMar>
              <w:top w:type="dxa" w:w="60"/>
              <w:left w:type="dxa" w:w="90"/>
              <w:bottom w:type="dxa" w:w="60"/>
              <w:right w:type="dxa" w:w="90"/>
            </w:tcMar>
          </w:tcPr>
          <w:p>
            <w:pPr>
              <w:spacing w:after="0"/>
              <w:jc w:val="center"/>
            </w:pPr>
            <w:r>
              <w:rPr>
                <w:b w:val="false"/>
                <w:bCs w:val="false"/>
                <w:sz w:val="17"/>
                <w:szCs w:val="17"/>
              </w:rPr>
              <w:t xml:space="preserve">0.83</w:t>
            </w:r>
          </w:p>
        </w:tc>
        <w:tc>
          <w:tcPr>
            <w:tcW w:type="dxa" w:w="2250"/>
            <w:tcMar>
              <w:top w:type="dxa" w:w="60"/>
              <w:left w:type="dxa" w:w="90"/>
              <w:bottom w:type="dxa" w:w="60"/>
              <w:right w:type="dxa" w:w="90"/>
            </w:tcMar>
          </w:tcPr>
          <w:p>
            <w:pPr>
              <w:spacing w:after="0"/>
              <w:jc w:val="center"/>
            </w:pPr>
            <w:r>
              <w:rPr>
                <w:b w:val="false"/>
                <w:bCs w:val="false"/>
                <w:sz w:val="17"/>
                <w:szCs w:val="17"/>
              </w:rPr>
              <w:t xml:space="preserve">5.6</w:t>
            </w:r>
          </w:p>
        </w:tc>
      </w:tr>
    </w:tbl>
    <w:p>
      <w:pPr>
        <w:spacing w:after="60"/>
      </w:pPr>
      <w:r>
        <w:t xml:space="preserve">Highest worst-case agreement of any candidate (0.83), meaning no seed places it appreciably off-epitope. Its ipTM is the loosest of the four (±0.086).</w:t>
      </w:r>
    </w:p>
    <w:p>
      <w:pPr>
        <w:spacing w:after="50" w:before="120"/>
        <w:jc w:val="center"/>
      </w:pPr>
      <w:r>
        <w:drawing>
          <wp:inline distT="0" distB="0" distL="0" distR="0">
            <wp:extent cx="3886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86200" cy="3171825"/>
                    </a:xfrm>
                    <a:prstGeom prst="rect">
                      <a:avLst/>
                    </a:prstGeom>
                  </pic:spPr>
                </pic:pic>
              </a:graphicData>
            </a:graphic>
          </wp:inline>
        </w:drawing>
      </w:r>
    </w:p>
    <w:p>
      <w:pPr>
        <w:spacing w:after="150"/>
        <w:jc w:val="center"/>
      </w:pPr>
      <w:r>
        <w:rPr>
          <w:i/>
          <w:iCs/>
          <w:color w:val="555555"/>
          <w:sz w:val="16"/>
          <w:szCs w:val="16"/>
        </w:rPr>
        <w:t xml:space="preserve">Figure 4. rbp4lin_r10_l21 (blue, sticks) on the RBP4 portal. Targeted hotspot residues in orange.</w:t>
      </w:r>
    </w:p>
    <w:p>
      <w:pPr>
        <w:pStyle w:val="Heading2"/>
        <w:spacing w:after="110" w:before="190"/>
      </w:pPr>
      <w:r>
        <w:t xml:space="preserve">5.4  rbp4cyc_r08_l14  ·  macrocycle, 14 aa</w:t>
      </w:r>
    </w:p>
    <w:p>
      <w:pPr>
        <w:spacing w:after="110"/>
      </w:pPr>
      <w:r>
        <w:rPr>
          <w:rFonts w:ascii="Consolas" w:cs="Consolas" w:eastAsia="Consolas" w:hAnsi="Consolas"/>
          <w:sz w:val="17"/>
          <w:szCs w:val="17"/>
        </w:rPr>
        <w:t xml:space="preserve">TFHRPGQTMVLDGL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AED" w:color="auto" w:val="clear"/>
            <w:tcMar>
              <w:top w:type="dxa" w:w="60"/>
              <w:left w:type="dxa" w:w="90"/>
              <w:bottom w:type="dxa" w:w="60"/>
              <w:right w:type="dxa" w:w="90"/>
            </w:tcMar>
          </w:tcPr>
          <w:p>
            <w:pPr>
              <w:spacing w:after="0"/>
            </w:pPr>
            <w:r>
              <w:rPr>
                <w:b/>
                <w:bCs/>
                <w:sz w:val="17"/>
                <w:szCs w:val="17"/>
              </w:rPr>
              <w:t xml:space="preserve">ipTM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Jaccard (5 seeds)</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Worst seed</w:t>
            </w:r>
          </w:p>
        </w:tc>
        <w:tc>
          <w:tcPr>
            <w:tcW w:type="dxa" w:w="2250"/>
            <w:shd w:fill="E8EAED" w:color="auto" w:val="clear"/>
            <w:tcMar>
              <w:top w:type="dxa" w:w="60"/>
              <w:left w:type="dxa" w:w="90"/>
              <w:bottom w:type="dxa" w:w="60"/>
              <w:right w:type="dxa" w:w="90"/>
            </w:tcMar>
          </w:tcPr>
          <w:p>
            <w:pPr>
              <w:spacing w:after="0"/>
              <w:jc w:val="center"/>
            </w:pPr>
            <w:r>
              <w:rPr>
                <w:b/>
                <w:bCs/>
                <w:sz w:val="17"/>
                <w:szCs w:val="17"/>
              </w:rPr>
              <w:t xml:space="preserve">Hotspots contacted</w:t>
            </w:r>
          </w:p>
        </w:tc>
      </w:tr>
      <w:tr>
        <w:tc>
          <w:tcPr>
            <w:tcW w:type="dxa" w:w="2250"/>
            <w:tcMar>
              <w:top w:type="dxa" w:w="60"/>
              <w:left w:type="dxa" w:w="90"/>
              <w:bottom w:type="dxa" w:w="60"/>
              <w:right w:type="dxa" w:w="90"/>
            </w:tcMar>
          </w:tcPr>
          <w:p>
            <w:pPr>
              <w:spacing w:after="0"/>
            </w:pPr>
            <w:r>
              <w:rPr>
                <w:b w:val="false"/>
                <w:bCs w:val="false"/>
                <w:sz w:val="17"/>
                <w:szCs w:val="17"/>
              </w:rPr>
              <w:t xml:space="preserve">0.875 ± 0.036</w:t>
            </w:r>
          </w:p>
        </w:tc>
        <w:tc>
          <w:tcPr>
            <w:tcW w:type="dxa" w:w="2250"/>
            <w:tcMar>
              <w:top w:type="dxa" w:w="60"/>
              <w:left w:type="dxa" w:w="90"/>
              <w:bottom w:type="dxa" w:w="60"/>
              <w:right w:type="dxa" w:w="90"/>
            </w:tcMar>
          </w:tcPr>
          <w:p>
            <w:pPr>
              <w:spacing w:after="0"/>
              <w:jc w:val="center"/>
            </w:pPr>
            <w:r>
              <w:rPr>
                <w:b w:val="false"/>
                <w:bCs w:val="false"/>
                <w:sz w:val="17"/>
                <w:szCs w:val="17"/>
              </w:rPr>
              <w:t xml:space="preserve">0.72 ± 0.04</w:t>
            </w:r>
          </w:p>
        </w:tc>
        <w:tc>
          <w:tcPr>
            <w:tcW w:type="dxa" w:w="2250"/>
            <w:tcMar>
              <w:top w:type="dxa" w:w="60"/>
              <w:left w:type="dxa" w:w="90"/>
              <w:bottom w:type="dxa" w:w="60"/>
              <w:right w:type="dxa" w:w="90"/>
            </w:tcMar>
          </w:tcPr>
          <w:p>
            <w:pPr>
              <w:spacing w:after="0"/>
              <w:jc w:val="center"/>
            </w:pPr>
            <w:r>
              <w:rPr>
                <w:b w:val="false"/>
                <w:bCs w:val="false"/>
                <w:sz w:val="17"/>
                <w:szCs w:val="17"/>
              </w:rPr>
              <w:t xml:space="preserve">0.67</w:t>
            </w:r>
          </w:p>
        </w:tc>
        <w:tc>
          <w:tcPr>
            <w:tcW w:type="dxa" w:w="2250"/>
            <w:tcMar>
              <w:top w:type="dxa" w:w="60"/>
              <w:left w:type="dxa" w:w="90"/>
              <w:bottom w:type="dxa" w:w="60"/>
              <w:right w:type="dxa" w:w="90"/>
            </w:tcMar>
          </w:tcPr>
          <w:p>
            <w:pPr>
              <w:spacing w:after="0"/>
              <w:jc w:val="center"/>
            </w:pPr>
            <w:r>
              <w:rPr>
                <w:b w:val="false"/>
                <w:bCs w:val="false"/>
                <w:sz w:val="17"/>
                <w:szCs w:val="17"/>
              </w:rPr>
              <w:t xml:space="preserve">2.0</w:t>
            </w:r>
          </w:p>
        </w:tc>
      </w:tr>
    </w:tbl>
    <w:p>
      <w:pPr>
        <w:spacing w:after="60"/>
      </w:pPr>
      <w:r>
        <w:t xml:space="preserve">The macrocycle recommendation, and the most confident design overall at ipTM 0.875. At 14 aa it is the shortest candidate, but it contacts only ~2 of the nine hotspots — it grips a smaller piece of the portal than the linears, which reach 5–6.</w:t>
      </w:r>
    </w:p>
    <w:p>
      <w:pPr>
        <w:spacing w:after="50" w:before="120"/>
        <w:jc w:val="center"/>
      </w:pPr>
      <w:r>
        <w:drawing>
          <wp:inline distT="0" distB="0" distL="0" distR="0">
            <wp:extent cx="3886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86200" cy="3171825"/>
                    </a:xfrm>
                    <a:prstGeom prst="rect">
                      <a:avLst/>
                    </a:prstGeom>
                  </pic:spPr>
                </pic:pic>
              </a:graphicData>
            </a:graphic>
          </wp:inline>
        </w:drawing>
      </w:r>
    </w:p>
    <w:p>
      <w:pPr>
        <w:spacing w:after="150"/>
        <w:jc w:val="center"/>
      </w:pPr>
      <w:r>
        <w:rPr>
          <w:i/>
          <w:iCs/>
          <w:color w:val="555555"/>
          <w:sz w:val="16"/>
          <w:szCs w:val="16"/>
        </w:rPr>
        <w:t xml:space="preserve">Figure 5. rbp4cyc_r08_l14 (blue, sticks) on the RBP4 portal. Targeted hotspot residues in orange.</w:t>
      </w:r>
    </w:p>
    <w:p>
      <w:pPr>
        <w:pStyle w:val="Heading1"/>
        <w:spacing w:after="110" w:before="190"/>
      </w:pPr>
      <w:r>
        <w:t xml:space="preserve">6. What this does and does not establish</w:t>
      </w:r>
    </w:p>
    <w:p>
      <w:pPr>
        <w:spacing w:after="110"/>
      </w:pPr>
      <w:r>
        <w:rPr>
          <w:b/>
          <w:bCs/>
        </w:rPr>
        <w:t xml:space="preserve">Agreement is not truth. </w:t>
      </w:r>
      <w:r>
        <w:t xml:space="preserve">Jaccard compares Protenix against BC2's claim, not against reality. Both models share training data and can be wrong together.</w:t>
      </w:r>
    </w:p>
    <w:p>
      <w:pPr>
        <w:spacing w:after="110"/>
      </w:pPr>
      <w:r>
        <w:rPr>
          <w:b/>
          <w:bCs/>
        </w:rPr>
        <w:t xml:space="preserve">The gate thresholds are a judgement call. </w:t>
      </w:r>
      <w:r>
        <w:t xml:space="preserve">They are not a community standard. Two designs sat within 0.01 of a boundary.</w:t>
      </w:r>
    </w:p>
    <w:p>
      <w:pPr>
        <w:spacing w:after="110"/>
      </w:pPr>
      <w:r>
        <w:rPr>
          <w:b/>
          <w:bCs/>
        </w:rPr>
        <w:t xml:space="preserve">Macrocycle synthesis is unconfirmed. </w:t>
      </w:r>
      <w:r>
        <w:t xml:space="preserve">The head-to-tail cyclisation route should be verified with the synthesis provider before any cyclic design is ordered; it may constrain sequence or length.</w:t>
      </w:r>
    </w:p>
    <w:p>
      <w:pPr>
        <w:spacing w:after="110"/>
      </w:pPr>
      <w:r>
        <w:rPr>
          <w:b/>
          <w:bCs/>
        </w:rPr>
        <w:t xml:space="preserve">No dynamics. </w:t>
      </w:r>
      <w:r>
        <w:t xml:space="preserve">All predictions are static. An MD triage (50 ns per candidate, then 200 ns on survivors) is available and not yet run.</w:t>
      </w:r>
    </w:p>
    <w:p>
      <w:pPr>
        <w:spacing w:after="110"/>
      </w:pPr>
      <w:r>
        <w:rPr>
          <w:b/>
          <w:bCs/>
        </w:rPr>
        <w:t xml:space="preserve">Licence. </w:t>
      </w:r>
      <w:r>
        <w:t xml:space="preserve">The Protenix-v2 weights used here came from an unofficial mirror of a gated checkpoint. This should be resolved before publication.</w:t>
      </w:r>
    </w:p>
    <w:p>
      <w:pPr>
        <w:pStyle w:val="Heading1"/>
        <w:spacing w:after="110" w:before="190"/>
      </w:pPr>
      <w:r>
        <w:t xml:space="preserve">7. Reproducing this</w:t>
      </w:r>
    </w:p>
    <w:p>
      <w:pPr>
        <w:spacing w:after="110"/>
      </w:pPr>
      <w:r>
        <w:t xml:space="preserve">All code, campaign definitions and the full session-by-session record are in the repository; prediction outputs (80 MB) are regenerated rather than stored.</w:t>
      </w:r>
    </w:p>
    <w:p>
      <w:pPr>
        <w:spacing w:after="70"/>
      </w:pPr>
      <w:r>
        <w:rPr>
          <w:rFonts w:ascii="Consolas" w:cs="Consolas" w:eastAsia="Consolas" w:hAnsi="Consolas"/>
          <w:sz w:val="17"/>
          <w:szCs w:val="17"/>
        </w:rPr>
        <w:t xml:space="preserve">bindcraft design campaigns/rbp4_peptide.json</w:t>
      </w:r>
      <w:r>
        <w:rPr>
          <w:color w:val="666666"/>
          <w:sz w:val="16"/>
          <w:szCs w:val="16"/>
        </w:rPr>
        <w:t xml:space="preserve">   — run a campaign</w:t>
      </w:r>
    </w:p>
    <w:p>
      <w:pPr>
        <w:spacing w:after="70"/>
      </w:pPr>
      <w:r>
        <w:rPr>
          <w:rFonts w:ascii="Consolas" w:cs="Consolas" w:eastAsia="Consolas" w:hAnsi="Consolas"/>
          <w:sz w:val="17"/>
          <w:szCs w:val="17"/>
        </w:rPr>
        <w:t xml:space="preserve">./run_protenix.sh</w:t>
      </w:r>
      <w:r>
        <w:rPr>
          <w:color w:val="666666"/>
          <w:sz w:val="16"/>
          <w:szCs w:val="16"/>
        </w:rPr>
        <w:t xml:space="preserve">   — first-pass validation (seed 101)</w:t>
      </w:r>
    </w:p>
    <w:p>
      <w:pPr>
        <w:spacing w:after="70"/>
      </w:pPr>
      <w:r>
        <w:rPr>
          <w:rFonts w:ascii="Consolas" w:cs="Consolas" w:eastAsia="Consolas" w:hAnsi="Consolas"/>
          <w:sz w:val="17"/>
          <w:szCs w:val="17"/>
        </w:rPr>
        <w:t xml:space="preserve">./run_protenix_seeds.sh</w:t>
      </w:r>
      <w:r>
        <w:rPr>
          <w:color w:val="666666"/>
          <w:sz w:val="16"/>
          <w:szCs w:val="16"/>
        </w:rPr>
        <w:t xml:space="preserve">   — add seeds 202/303/404/505</w:t>
      </w:r>
    </w:p>
    <w:p>
      <w:pPr>
        <w:spacing w:after="70"/>
      </w:pPr>
      <w:r>
        <w:rPr>
          <w:rFonts w:ascii="Consolas" w:cs="Consolas" w:eastAsia="Consolas" w:hAnsi="Consolas"/>
          <w:sz w:val="17"/>
          <w:szCs w:val="17"/>
        </w:rPr>
        <w:t xml:space="preserve">python3 analysis/protenix/analyse.py</w:t>
      </w:r>
      <w:r>
        <w:rPr>
          <w:color w:val="666666"/>
          <w:sz w:val="16"/>
          <w:szCs w:val="16"/>
        </w:rPr>
        <w:t xml:space="preserve">   — rebuild agreement.csv</w:t>
      </w:r>
    </w:p>
    <w:p>
      <w:pPr>
        <w:spacing w:after="70"/>
      </w:pPr>
      <w:r>
        <w:rPr>
          <w:rFonts w:ascii="Consolas" w:cs="Consolas" w:eastAsia="Consolas" w:hAnsi="Consolas"/>
          <w:sz w:val="17"/>
          <w:szCs w:val="17"/>
        </w:rPr>
        <w:t xml:space="preserve">chimerax --offscreen --script docs/figures/render.cxc</w:t>
      </w:r>
      <w:r>
        <w:rPr>
          <w:color w:val="666666"/>
          <w:sz w:val="16"/>
          <w:szCs w:val="16"/>
        </w:rPr>
        <w:t xml:space="preserve">   — regenerate every figure</w:t>
      </w:r>
    </w:p>
    <w:p>
      <w:pPr>
        <w:spacing w:after="120"/>
      </w:pPr>
      <w:r>
        <w:rPr>
          <w:color w:val="555555"/>
          <w:sz w:val="17"/>
          <w:szCs w:val="17"/>
        </w:rPr>
        <w:t xml:space="preserve">Per-design, per-seed numbers are in analysis/protenix/agreement_per_seed.csv; the aggregated table is agreement.csv. LOGBOOK.md carries the full narrative including negative results.</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9abb17fab5af37de28697c020f3091cbef1d32.png"/><Relationship Id="rId8" Type="http://schemas.openxmlformats.org/officeDocument/2006/relationships/image" Target="media/a35a4d875100ef351644040fc297709de227f3f8.png"/><Relationship Id="rId9" Type="http://schemas.openxmlformats.org/officeDocument/2006/relationships/image" Target="media/78b7564cfa4ceca5362ed55480f9235ed1f4906d.png"/><Relationship Id="rId10" Type="http://schemas.openxmlformats.org/officeDocument/2006/relationships/image" Target="media/49badd1cacac897b74a60170078149117c1d84d5.png"/><Relationship Id="rId11" Type="http://schemas.openxmlformats.org/officeDocument/2006/relationships/image" Target="media/968536bb8be9bf55996b185ea8ffdbdacb429e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2026-09-24T13:59:02.171Z</dcterms:created>
  <dcterms:modified xsi:type="dcterms:W3CDTF">2026-09-24T13:59:02.171Z</dcterms:modified>
</cp:coreProperties>
</file>

<file path=docProps/custom.xml><?xml version="1.0" encoding="utf-8"?>
<Properties xmlns="http://schemas.openxmlformats.org/officeDocument/2006/custom-properties" xmlns:vt="http://schemas.openxmlformats.org/officeDocument/2006/docPropsVTypes"/>
</file>