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827"/>
          <w:sz w:val="40"/>
          <w:szCs w:val="40"/>
        </w:rPr>
        <w:t xml:space="preserve">Signal-to-Campaign Workflow</w:t>
      </w:r>
    </w:p>
    <w:p>
      <w:pPr>
        <w:spacing w:after="40"/>
      </w:pPr>
      <w:r>
        <w:rPr>
          <w:b/>
          <w:bCs/>
          <w:color w:val="7C3AED"/>
          <w:sz w:val="24"/>
          <w:szCs w:val="24"/>
        </w:rPr>
        <w:t xml:space="preserve">QuadSci GTM Engineer Exercise</w:t>
      </w:r>
    </w:p>
    <w:p>
      <w:pPr>
        <w:pBdr>
          <w:bottom w:val="single" w:color="7C3AED" w:sz="8"/>
        </w:pBdr>
        <w:spacing w:after="200"/>
      </w:pPr>
      <w:r>
        <w:rPr>
          <w:color w:val="64748B"/>
          <w:sz w:val="22"/>
          <w:szCs w:val="22"/>
        </w:rPr>
        <w:t xml:space="preserve">Siddhartha Kothi</w:t>
      </w:r>
    </w:p>
    <w:p>
      <w:pPr>
        <w:spacing w:after="120" w:line="276"/>
      </w:pPr>
      <w:r>
        <w:rPr>
          <w:sz w:val="21"/>
          <w:szCs w:val="21"/>
        </w:rPr>
        <w:t xml:space="preserve">One note before the four stages: I didn’t design this workflow on paper — I built and ran it. Every number, prospect, email, and failure in this document comes from a live pipeline that scanned real sources this week, targeting QuadSci’s stated ICP: </w:t>
      </w:r>
      <w:r>
        <w:rPr>
          <w:b/>
          <w:bCs/>
          <w:sz w:val="21"/>
          <w:szCs w:val="21"/>
        </w:rPr>
        <w:t xml:space="preserve">B2B SaaS, 200+ employees, Series B or later, ideally $50M+ ARR, with existing CS and Sales teams — the CRO org (SVPs, VPs, RevOps leaders) as primary buyers, CS second.</w:t>
      </w:r>
      <w:r>
        <w:rPr>
          <w:sz w:val="21"/>
          <w:szCs w:val="21"/>
        </w:rPr>
        <w:t xml:space="preserve"> All discovery sources are free. The design principle is borrowed from QuadSci itself: predictions grounded in real behavior — public behavioral exhaust instead of bought intent data — with every score traceable to a dated, clickable source. </w:t>
      </w:r>
      <w:r>
        <w:rPr>
          <w:i/>
          <w:iCs/>
          <w:sz w:val="21"/>
          <w:szCs w:val="21"/>
        </w:rPr>
        <w:t xml:space="preserve">"See risk early. Act while there’s still time."</w:t>
      </w:r>
      <w:r>
        <w:rPr>
          <w:sz w:val="21"/>
          <w:szCs w:val="21"/>
        </w:rPr>
        <w:t xml:space="preserve"> applies to pipeline, too.</w:t>
      </w:r>
    </w:p>
    <w:p>
      <w:pPr>
        <w:pStyle w:val="Heading1"/>
        <w:spacing w:after="60" w:before="360"/>
      </w:pPr>
      <w:r>
        <w:rPr>
          <w:b/>
          <w:bCs/>
          <w:color w:val="111827"/>
          <w:sz w:val="28"/>
          <w:szCs w:val="28"/>
        </w:rPr>
        <w:t xml:space="preserve">The Loop — how data flows through the four stages</w:t>
      </w:r>
    </w:p>
    <w:p>
      <w:pPr>
        <w:spacing w:after="120" w:line="276"/>
      </w:pPr>
      <w:r>
        <w:rPr>
          <w:sz w:val="21"/>
          <w:szCs w:val="21"/>
        </w:rPr>
        <w:t xml:space="preserve">Each stage consumes exactly what the previous stage produced. This table is the contract; the rest of the document walks each stage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80"/>
        <w:gridCol w:w="3350"/>
        <w:gridCol w:w="2480"/>
      </w:tblGrid>
      <w:tr>
        <w:tc>
          <w:tcPr>
            <w:tcW w:type="dxa" w:w="1250"/>
            <w:shd w:fill="EDE9FE" w:val="clear"/>
            <w:tcMar>
              <w:top w:type="dxa" w:w="70"/>
              <w:left w:type="dxa" w:w="100"/>
              <w:bottom w:type="dxa" w:w="70"/>
              <w:right w:type="dxa" w:w="100"/>
            </w:tcMar>
          </w:tcPr>
          <w:p>
            <w:pPr>
              <w:spacing w:after="0" w:line="252"/>
            </w:pPr>
            <w:r>
              <w:rPr>
                <w:b/>
                <w:bCs/>
                <w:sz w:val="19"/>
                <w:szCs w:val="19"/>
              </w:rPr>
              <w:t xml:space="preserve">Stage</w:t>
            </w:r>
          </w:p>
        </w:tc>
        <w:tc>
          <w:tcPr>
            <w:tcW w:type="dxa" w:w="2280"/>
            <w:shd w:fill="EDE9FE" w:val="clear"/>
            <w:tcMar>
              <w:top w:type="dxa" w:w="70"/>
              <w:left w:type="dxa" w:w="100"/>
              <w:bottom w:type="dxa" w:w="70"/>
              <w:right w:type="dxa" w:w="100"/>
            </w:tcMar>
          </w:tcPr>
          <w:p>
            <w:pPr>
              <w:spacing w:after="0" w:line="252"/>
            </w:pPr>
            <w:r>
              <w:rPr>
                <w:b/>
                <w:bCs/>
                <w:sz w:val="19"/>
                <w:szCs w:val="19"/>
              </w:rPr>
              <w:t xml:space="preserve">Data in</w:t>
            </w:r>
          </w:p>
        </w:tc>
        <w:tc>
          <w:tcPr>
            <w:tcW w:type="dxa" w:w="3350"/>
            <w:shd w:fill="EDE9FE" w:val="clear"/>
            <w:tcMar>
              <w:top w:type="dxa" w:w="70"/>
              <w:left w:type="dxa" w:w="100"/>
              <w:bottom w:type="dxa" w:w="70"/>
              <w:right w:type="dxa" w:w="100"/>
            </w:tcMar>
          </w:tcPr>
          <w:p>
            <w:pPr>
              <w:spacing w:after="0" w:line="252"/>
            </w:pPr>
            <w:r>
              <w:rPr>
                <w:b/>
                <w:bCs/>
                <w:sz w:val="19"/>
                <w:szCs w:val="19"/>
              </w:rPr>
              <w:t xml:space="preserve">What happens to it</w:t>
            </w:r>
          </w:p>
        </w:tc>
        <w:tc>
          <w:tcPr>
            <w:tcW w:type="dxa" w:w="2480"/>
            <w:shd w:fill="EDE9FE" w:val="clear"/>
            <w:tcMar>
              <w:top w:type="dxa" w:w="70"/>
              <w:left w:type="dxa" w:w="100"/>
              <w:bottom w:type="dxa" w:w="70"/>
              <w:right w:type="dxa" w:w="100"/>
            </w:tcMar>
          </w:tcPr>
          <w:p>
            <w:pPr>
              <w:spacing w:after="0" w:line="252"/>
            </w:pPr>
            <w:r>
              <w:rPr>
                <w:b/>
                <w:bCs/>
                <w:sz w:val="19"/>
                <w:szCs w:val="19"/>
              </w:rPr>
              <w:t xml:space="preserve">Data out → next stage</w:t>
            </w:r>
          </w:p>
        </w:tc>
      </w:tr>
      <w:tr>
        <w:tc>
          <w:tcPr>
            <w:tcW w:type="dxa" w:w="1250"/>
            <w:tcMar>
              <w:top w:type="dxa" w:w="70"/>
              <w:left w:type="dxa" w:w="100"/>
              <w:bottom w:type="dxa" w:w="70"/>
              <w:right w:type="dxa" w:w="100"/>
            </w:tcMar>
          </w:tcPr>
          <w:p>
            <w:pPr>
              <w:spacing w:after="0" w:line="252"/>
            </w:pPr>
            <w:r>
              <w:rPr>
                <w:b w:val="false"/>
                <w:bCs w:val="false"/>
                <w:sz w:val="19"/>
                <w:szCs w:val="19"/>
              </w:rPr>
              <w:t xml:space="preserve">1 · Detect</w:t>
            </w:r>
          </w:p>
        </w:tc>
        <w:tc>
          <w:tcPr>
            <w:tcW w:type="dxa" w:w="2280"/>
            <w:tcMar>
              <w:top w:type="dxa" w:w="70"/>
              <w:left w:type="dxa" w:w="100"/>
              <w:bottom w:type="dxa" w:w="70"/>
              <w:right w:type="dxa" w:w="100"/>
            </w:tcMar>
          </w:tcPr>
          <w:p>
            <w:pPr>
              <w:spacing w:after="0" w:line="252"/>
            </w:pPr>
            <w:r>
              <w:rPr>
                <w:b w:val="false"/>
                <w:bCs w:val="false"/>
                <w:sz w:val="19"/>
                <w:szCs w:val="19"/>
              </w:rPr>
              <w:t xml:space="preserve">Five free public sources, monitored continuously</w:t>
            </w:r>
          </w:p>
        </w:tc>
        <w:tc>
          <w:tcPr>
            <w:tcW w:type="dxa" w:w="3350"/>
            <w:tcMar>
              <w:top w:type="dxa" w:w="70"/>
              <w:left w:type="dxa" w:w="100"/>
              <w:bottom w:type="dxa" w:w="70"/>
              <w:right w:type="dxa" w:w="100"/>
            </w:tcMar>
          </w:tcPr>
          <w:p>
            <w:pPr>
              <w:spacing w:after="0" w:line="252"/>
            </w:pPr>
            <w:r>
              <w:rPr>
                <w:b w:val="false"/>
                <w:bCs w:val="false"/>
                <w:sz w:val="19"/>
                <w:szCs w:val="19"/>
              </w:rPr>
              <w:t xml:space="preserve">Each detection becomes a signal record: {company, signal type, evidence text, source URL, date, confidence}. A cluster rule evaluates every account.</w:t>
            </w:r>
          </w:p>
        </w:tc>
        <w:tc>
          <w:tcPr>
            <w:tcW w:type="dxa" w:w="2480"/>
            <w:tcMar>
              <w:top w:type="dxa" w:w="70"/>
              <w:left w:type="dxa" w:w="100"/>
              <w:bottom w:type="dxa" w:w="70"/>
              <w:right w:type="dxa" w:w="100"/>
            </w:tcMar>
          </w:tcPr>
          <w:p>
            <w:pPr>
              <w:spacing w:after="0" w:line="252"/>
            </w:pPr>
            <w:r>
              <w:rPr>
                <w:b w:val="false"/>
                <w:bCs w:val="false"/>
                <w:sz w:val="19"/>
                <w:szCs w:val="19"/>
              </w:rPr>
              <w:t xml:space="preserve">Candidate accounts, each carrying its dated + cited signal records → Stage 2</w:t>
            </w:r>
          </w:p>
        </w:tc>
      </w:tr>
      <w:tr>
        <w:tc>
          <w:tcPr>
            <w:tcW w:type="dxa" w:w="1250"/>
            <w:tcMar>
              <w:top w:type="dxa" w:w="70"/>
              <w:left w:type="dxa" w:w="100"/>
              <w:bottom w:type="dxa" w:w="70"/>
              <w:right w:type="dxa" w:w="100"/>
            </w:tcMar>
          </w:tcPr>
          <w:p>
            <w:pPr>
              <w:spacing w:after="0" w:line="252"/>
            </w:pPr>
            <w:r>
              <w:rPr>
                <w:b w:val="false"/>
                <w:bCs w:val="false"/>
                <w:sz w:val="19"/>
                <w:szCs w:val="19"/>
              </w:rPr>
              <w:t xml:space="preserve">2 · Score</w:t>
            </w:r>
          </w:p>
        </w:tc>
        <w:tc>
          <w:tcPr>
            <w:tcW w:type="dxa" w:w="2280"/>
            <w:tcMar>
              <w:top w:type="dxa" w:w="70"/>
              <w:left w:type="dxa" w:w="100"/>
              <w:bottom w:type="dxa" w:w="70"/>
              <w:right w:type="dxa" w:w="100"/>
            </w:tcMar>
          </w:tcPr>
          <w:p>
            <w:pPr>
              <w:spacing w:after="0" w:line="252"/>
            </w:pPr>
            <w:r>
              <w:rPr>
                <w:b w:val="false"/>
                <w:bCs w:val="false"/>
                <w:sz w:val="19"/>
                <w:szCs w:val="19"/>
              </w:rPr>
              <w:t xml:space="preserve">Candidate accounts + their signal records</w:t>
            </w:r>
          </w:p>
        </w:tc>
        <w:tc>
          <w:tcPr>
            <w:tcW w:type="dxa" w:w="3350"/>
            <w:tcMar>
              <w:top w:type="dxa" w:w="70"/>
              <w:left w:type="dxa" w:w="100"/>
              <w:bottom w:type="dxa" w:w="70"/>
              <w:right w:type="dxa" w:w="100"/>
            </w:tcMar>
          </w:tcPr>
          <w:p>
            <w:pPr>
              <w:spacing w:after="0" w:line="252"/>
            </w:pPr>
            <w:r>
              <w:rPr>
                <w:b w:val="false"/>
                <w:bCs w:val="false"/>
                <w:sz w:val="19"/>
                <w:szCs w:val="19"/>
              </w:rPr>
              <w:t xml:space="preserve">Hard ICP filters first (disqualify regardless of signals), then a weighted rubric with time decay → priority tier. Buyers identified per qualified account.</w:t>
            </w:r>
          </w:p>
        </w:tc>
        <w:tc>
          <w:tcPr>
            <w:tcW w:type="dxa" w:w="2480"/>
            <w:tcMar>
              <w:top w:type="dxa" w:w="70"/>
              <w:left w:type="dxa" w:w="100"/>
              <w:bottom w:type="dxa" w:w="70"/>
              <w:right w:type="dxa" w:w="100"/>
            </w:tcMar>
          </w:tcPr>
          <w:p>
            <w:pPr>
              <w:spacing w:after="0" w:line="252"/>
            </w:pPr>
            <w:r>
              <w:rPr>
                <w:b w:val="false"/>
                <w:bCs w:val="false"/>
                <w:sz w:val="19"/>
                <w:szCs w:val="19"/>
              </w:rPr>
              <w:t xml:space="preserve">Per-account evidence trace (fired rules + why-text + citations + dates + tier) + a named buyer → Stage 3</w:t>
            </w:r>
          </w:p>
        </w:tc>
      </w:tr>
      <w:tr>
        <w:tc>
          <w:tcPr>
            <w:tcW w:type="dxa" w:w="1250"/>
            <w:tcMar>
              <w:top w:type="dxa" w:w="70"/>
              <w:left w:type="dxa" w:w="100"/>
              <w:bottom w:type="dxa" w:w="70"/>
              <w:right w:type="dxa" w:w="100"/>
            </w:tcMar>
          </w:tcPr>
          <w:p>
            <w:pPr>
              <w:spacing w:after="0" w:line="252"/>
            </w:pPr>
            <w:r>
              <w:rPr>
                <w:b w:val="false"/>
                <w:bCs w:val="false"/>
                <w:sz w:val="19"/>
                <w:szCs w:val="19"/>
              </w:rPr>
              <w:t xml:space="preserve">3 · Copy</w:t>
            </w:r>
          </w:p>
        </w:tc>
        <w:tc>
          <w:tcPr>
            <w:tcW w:type="dxa" w:w="2280"/>
            <w:tcMar>
              <w:top w:type="dxa" w:w="70"/>
              <w:left w:type="dxa" w:w="100"/>
              <w:bottom w:type="dxa" w:w="70"/>
              <w:right w:type="dxa" w:w="100"/>
            </w:tcMar>
          </w:tcPr>
          <w:p>
            <w:pPr>
              <w:spacing w:after="0" w:line="252"/>
            </w:pPr>
            <w:r>
              <w:rPr>
                <w:b w:val="false"/>
                <w:bCs w:val="false"/>
                <w:sz w:val="19"/>
                <w:szCs w:val="19"/>
              </w:rPr>
              <w:t xml:space="preserve">The evidence trace + buyer + quadsci.ai product language</w:t>
            </w:r>
          </w:p>
        </w:tc>
        <w:tc>
          <w:tcPr>
            <w:tcW w:type="dxa" w:w="3350"/>
            <w:tcMar>
              <w:top w:type="dxa" w:w="70"/>
              <w:left w:type="dxa" w:w="100"/>
              <w:bottom w:type="dxa" w:w="70"/>
              <w:right w:type="dxa" w:w="100"/>
            </w:tcMar>
          </w:tcPr>
          <w:p>
            <w:pPr>
              <w:spacing w:after="0" w:line="252"/>
            </w:pPr>
            <w:r>
              <w:rPr>
                <w:b w:val="false"/>
                <w:bCs w:val="false"/>
                <w:sz w:val="19"/>
                <w:szCs w:val="19"/>
              </w:rPr>
              <w:t xml:space="preserve">The trace is injected verbatim into the copy prompt. Generated copy must pass quality gates (grounding, length, banned vocabulary) or it is held back.</w:t>
            </w:r>
          </w:p>
        </w:tc>
        <w:tc>
          <w:tcPr>
            <w:tcW w:type="dxa" w:w="2480"/>
            <w:tcMar>
              <w:top w:type="dxa" w:w="70"/>
              <w:left w:type="dxa" w:w="100"/>
              <w:bottom w:type="dxa" w:w="70"/>
              <w:right w:type="dxa" w:w="100"/>
            </w:tcMar>
          </w:tcPr>
          <w:p>
            <w:pPr>
              <w:spacing w:after="0" w:line="252"/>
            </w:pPr>
            <w:r>
              <w:rPr>
                <w:b w:val="false"/>
                <w:bCs w:val="false"/>
                <w:sz w:val="19"/>
                <w:szCs w:val="19"/>
              </w:rPr>
              <w:t xml:space="preserve">Staged row: approved hook + 5-touch sequence + all gate metadata → Stage 4</w:t>
            </w:r>
          </w:p>
        </w:tc>
      </w:tr>
      <w:tr>
        <w:tc>
          <w:tcPr>
            <w:tcW w:type="dxa" w:w="1250"/>
            <w:tcMar>
              <w:top w:type="dxa" w:w="70"/>
              <w:left w:type="dxa" w:w="100"/>
              <w:bottom w:type="dxa" w:w="70"/>
              <w:right w:type="dxa" w:w="100"/>
            </w:tcMar>
          </w:tcPr>
          <w:p>
            <w:pPr>
              <w:spacing w:after="0" w:line="252"/>
            </w:pPr>
            <w:r>
              <w:rPr>
                <w:b w:val="false"/>
                <w:bCs w:val="false"/>
                <w:sz w:val="19"/>
                <w:szCs w:val="19"/>
              </w:rPr>
              <w:t xml:space="preserve">4 · Stage</w:t>
            </w:r>
          </w:p>
        </w:tc>
        <w:tc>
          <w:tcPr>
            <w:tcW w:type="dxa" w:w="2280"/>
            <w:tcMar>
              <w:top w:type="dxa" w:w="70"/>
              <w:left w:type="dxa" w:w="100"/>
              <w:bottom w:type="dxa" w:w="70"/>
              <w:right w:type="dxa" w:w="100"/>
            </w:tcMar>
          </w:tcPr>
          <w:p>
            <w:pPr>
              <w:spacing w:after="0" w:line="252"/>
            </w:pPr>
            <w:r>
              <w:rPr>
                <w:b w:val="false"/>
                <w:bCs w:val="false"/>
                <w:sz w:val="19"/>
                <w:szCs w:val="19"/>
              </w:rPr>
              <w:t xml:space="preserve">Staged rows (copy + evidence + gate results)</w:t>
            </w:r>
          </w:p>
        </w:tc>
        <w:tc>
          <w:tcPr>
            <w:tcW w:type="dxa" w:w="3350"/>
            <w:tcMar>
              <w:top w:type="dxa" w:w="70"/>
              <w:left w:type="dxa" w:w="100"/>
              <w:bottom w:type="dxa" w:w="70"/>
              <w:right w:type="dxa" w:w="100"/>
            </w:tcMar>
          </w:tcPr>
          <w:p>
            <w:pPr>
              <w:spacing w:after="0" w:line="252"/>
            </w:pPr>
            <w:r>
              <w:rPr>
                <w:b w:val="false"/>
                <w:bCs w:val="false"/>
                <w:sz w:val="19"/>
                <w:szCs w:val="19"/>
              </w:rPr>
              <w:t xml:space="preserve">Review queue: human sees copy AND the evidence that produced it. Auto-send policy routes each row. Every send logs its outcome.</w:t>
            </w:r>
          </w:p>
        </w:tc>
        <w:tc>
          <w:tcPr>
            <w:tcW w:type="dxa" w:w="2480"/>
            <w:tcMar>
              <w:top w:type="dxa" w:w="70"/>
              <w:left w:type="dxa" w:w="100"/>
              <w:bottom w:type="dxa" w:w="70"/>
              <w:right w:type="dxa" w:w="100"/>
            </w:tcMar>
          </w:tcPr>
          <w:p>
            <w:pPr>
              <w:spacing w:after="0" w:line="252"/>
            </w:pPr>
            <w:r>
              <w:rPr>
                <w:b w:val="false"/>
                <w:bCs w:val="false"/>
                <w:sz w:val="19"/>
                <w:szCs w:val="19"/>
              </w:rPr>
              <w:t xml:space="preserve">Outcomes (reply / meeting / bounce, tagged by signal type) → fed BACK into Stage 2 weights and Stage 1 source priorities</w:t>
            </w:r>
          </w:p>
        </w:tc>
      </w:tr>
    </w:tbl>
    <w:p>
      <w:pPr>
        <w:spacing w:after="120" w:line="276"/>
      </w:pPr>
      <w:r>
        <w:rPr>
          <w:sz w:val="21"/>
          <w:szCs w:val="21"/>
        </w:rPr>
        <w:t xml:space="preserve"/>
      </w:r>
    </w:p>
    <w:p>
      <w:pPr>
        <w:spacing w:after="120" w:line="276"/>
      </w:pPr>
      <w:r>
        <w:rPr>
          <w:i/>
          <w:iCs/>
          <w:sz w:val="21"/>
          <w:szCs w:val="21"/>
        </w:rPr>
        <w:t xml:space="preserve">The loop closes: Stage 4’s outcomes feed Stage 2’s rule weights and Stage 1’s source priorities. Signal types that book meetings gain points; signal types that bounce lose them. That is what makes this one connected system rather than four disconnected exercises.</w:t>
      </w:r>
    </w:p>
    <w:p>
      <w:r>
        <w:br w:type="page"/>
      </w:r>
    </w:p>
    <w:p>
      <w:pPr>
        <w:pStyle w:val="Heading1"/>
        <w:spacing w:after="60" w:before="360"/>
      </w:pPr>
      <w:r>
        <w:rPr>
          <w:b/>
          <w:bCs/>
          <w:color w:val="111827"/>
          <w:sz w:val="28"/>
          <w:szCs w:val="28"/>
        </w:rPr>
        <w:t xml:space="preserve">Stage 1 — Detect Signal Cluster</w:t>
      </w:r>
    </w:p>
    <w:p>
      <w:pPr>
        <w:spacing w:after="90" w:before="220"/>
      </w:pPr>
      <w:r>
        <w:rPr>
          <w:b/>
          <w:bCs/>
          <w:color w:val="047857"/>
          <w:spacing w:val="20"/>
          <w:sz w:val="19"/>
          <w:szCs w:val="19"/>
        </w:rPr>
        <w:t xml:space="preserve">WHAT HAPPENS IN THIS STAGE</w:t>
      </w:r>
    </w:p>
    <w:p>
      <w:pPr>
        <w:spacing w:after="120" w:line="276"/>
      </w:pPr>
      <w:r>
        <w:rPr>
          <w:sz w:val="21"/>
          <w:szCs w:val="21"/>
        </w:rPr>
        <w:t xml:space="preserve">Five signal types are monitored continuously across free public sources. Every detection is stored as a dated, cited signal record — never a bare claim. A cluster rule then evaluates each account: one signal parks the account in monitor; two independent signal types inside 90 days declare intent and trigger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50"/>
        <w:gridCol w:w="3450"/>
        <w:gridCol w:w="2800"/>
        <w:gridCol w:w="960"/>
      </w:tblGrid>
      <w:tr>
        <w:tc>
          <w:tcPr>
            <w:tcW w:type="dxa" w:w="400"/>
            <w:shd w:fill="EDE9FE" w:val="clear"/>
            <w:tcMar>
              <w:top w:type="dxa" w:w="70"/>
              <w:left w:type="dxa" w:w="100"/>
              <w:bottom w:type="dxa" w:w="70"/>
              <w:right w:type="dxa" w:w="100"/>
            </w:tcMar>
          </w:tcPr>
          <w:p>
            <w:pPr>
              <w:spacing w:after="0" w:line="252"/>
            </w:pPr>
            <w:r>
              <w:rPr>
                <w:b/>
                <w:bCs/>
                <w:sz w:val="19"/>
                <w:szCs w:val="19"/>
              </w:rPr>
              <w:t xml:space="preserve">#</w:t>
            </w:r>
          </w:p>
        </w:tc>
        <w:tc>
          <w:tcPr>
            <w:tcW w:type="dxa" w:w="1750"/>
            <w:shd w:fill="EDE9FE" w:val="clear"/>
            <w:tcMar>
              <w:top w:type="dxa" w:w="70"/>
              <w:left w:type="dxa" w:w="100"/>
              <w:bottom w:type="dxa" w:w="70"/>
              <w:right w:type="dxa" w:w="100"/>
            </w:tcMar>
          </w:tcPr>
          <w:p>
            <w:pPr>
              <w:spacing w:after="0" w:line="252"/>
            </w:pPr>
            <w:r>
              <w:rPr>
                <w:b/>
                <w:bCs/>
                <w:sz w:val="19"/>
                <w:szCs w:val="19"/>
              </w:rPr>
              <w:t xml:space="preserve">Signal</w:t>
            </w:r>
          </w:p>
        </w:tc>
        <w:tc>
          <w:tcPr>
            <w:tcW w:type="dxa" w:w="3450"/>
            <w:shd w:fill="EDE9FE" w:val="clear"/>
            <w:tcMar>
              <w:top w:type="dxa" w:w="70"/>
              <w:left w:type="dxa" w:w="100"/>
              <w:bottom w:type="dxa" w:w="70"/>
              <w:right w:type="dxa" w:w="100"/>
            </w:tcMar>
          </w:tcPr>
          <w:p>
            <w:pPr>
              <w:spacing w:after="0" w:line="252"/>
            </w:pPr>
            <w:r>
              <w:rPr>
                <w:b/>
                <w:bCs/>
                <w:sz w:val="19"/>
                <w:szCs w:val="19"/>
              </w:rPr>
              <w:t xml:space="preserve">What it means for a CRO / CS leader</w:t>
            </w:r>
          </w:p>
        </w:tc>
        <w:tc>
          <w:tcPr>
            <w:tcW w:type="dxa" w:w="2800"/>
            <w:shd w:fill="EDE9FE" w:val="clear"/>
            <w:tcMar>
              <w:top w:type="dxa" w:w="70"/>
              <w:left w:type="dxa" w:w="100"/>
              <w:bottom w:type="dxa" w:w="70"/>
              <w:right w:type="dxa" w:w="100"/>
            </w:tcMar>
          </w:tcPr>
          <w:p>
            <w:pPr>
              <w:spacing w:after="0" w:line="252"/>
            </w:pPr>
            <w:r>
              <w:rPr>
                <w:b/>
                <w:bCs/>
                <w:sz w:val="19"/>
                <w:szCs w:val="19"/>
              </w:rPr>
              <w:t xml:space="preserve">Free source</w:t>
            </w:r>
          </w:p>
        </w:tc>
        <w:tc>
          <w:tcPr>
            <w:tcW w:type="dxa" w:w="960"/>
            <w:shd w:fill="EDE9FE" w:val="clear"/>
            <w:tcMar>
              <w:top w:type="dxa" w:w="70"/>
              <w:left w:type="dxa" w:w="100"/>
              <w:bottom w:type="dxa" w:w="70"/>
              <w:right w:type="dxa" w:w="100"/>
            </w:tcMar>
          </w:tcPr>
          <w:p>
            <w:pPr>
              <w:spacing w:after="0" w:line="252"/>
            </w:pPr>
            <w:r>
              <w:rPr>
                <w:b/>
                <w:bCs/>
                <w:sz w:val="19"/>
                <w:szCs w:val="19"/>
              </w:rPr>
              <w:t xml:space="preserve">Weight</w:t>
            </w:r>
          </w:p>
        </w:tc>
      </w:tr>
      <w:tr>
        <w:tc>
          <w:tcPr>
            <w:tcW w:type="dxa" w:w="400"/>
            <w:tcMar>
              <w:top w:type="dxa" w:w="70"/>
              <w:left w:type="dxa" w:w="100"/>
              <w:bottom w:type="dxa" w:w="70"/>
              <w:right w:type="dxa" w:w="100"/>
            </w:tcMar>
          </w:tcPr>
          <w:p>
            <w:pPr>
              <w:spacing w:after="0" w:line="252"/>
            </w:pPr>
            <w:r>
              <w:rPr>
                <w:b w:val="false"/>
                <w:bCs w:val="false"/>
                <w:sz w:val="19"/>
                <w:szCs w:val="19"/>
              </w:rPr>
              <w:t xml:space="preserve">1</w:t>
            </w:r>
          </w:p>
        </w:tc>
        <w:tc>
          <w:tcPr>
            <w:tcW w:type="dxa" w:w="1750"/>
            <w:tcMar>
              <w:top w:type="dxa" w:w="70"/>
              <w:left w:type="dxa" w:w="100"/>
              <w:bottom w:type="dxa" w:w="70"/>
              <w:right w:type="dxa" w:w="100"/>
            </w:tcMar>
          </w:tcPr>
          <w:p>
            <w:pPr>
              <w:spacing w:after="0" w:line="252"/>
            </w:pPr>
            <w:r>
              <w:rPr>
                <w:b w:val="false"/>
                <w:bCs w:val="false"/>
                <w:sz w:val="19"/>
                <w:szCs w:val="19"/>
              </w:rPr>
              <w:t xml:space="preserve">Director+ RevOps / CS-Ops hire</w:t>
            </w:r>
          </w:p>
        </w:tc>
        <w:tc>
          <w:tcPr>
            <w:tcW w:type="dxa" w:w="3450"/>
            <w:tcMar>
              <w:top w:type="dxa" w:w="70"/>
              <w:left w:type="dxa" w:w="100"/>
              <w:bottom w:type="dxa" w:w="70"/>
              <w:right w:type="dxa" w:w="100"/>
            </w:tcMar>
          </w:tcPr>
          <w:p>
            <w:pPr>
              <w:spacing w:after="0" w:line="252"/>
            </w:pPr>
            <w:r>
              <w:rPr>
                <w:b w:val="false"/>
                <w:bCs w:val="false"/>
                <w:sz w:val="19"/>
                <w:szCs w:val="19"/>
              </w:rPr>
              <w:t xml:space="preserve">"You just funded a person whose job is renewal visibility. The problem is now owned and budgeted." Live examples the ATS crawler pulled this week: Demandbase — VP Revenue Operations; Postman — Director, Customer Success Operations; Vanta — Revenue Operations Manager; Abnormal Security — CS Operations Manager.</w:t>
            </w:r>
          </w:p>
        </w:tc>
        <w:tc>
          <w:tcPr>
            <w:tcW w:type="dxa" w:w="2800"/>
            <w:tcMar>
              <w:top w:type="dxa" w:w="70"/>
              <w:left w:type="dxa" w:w="100"/>
              <w:bottom w:type="dxa" w:w="70"/>
              <w:right w:type="dxa" w:w="100"/>
            </w:tcMar>
          </w:tcPr>
          <w:p>
            <w:pPr>
              <w:spacing w:after="0" w:line="252"/>
            </w:pPr>
            <w:r>
              <w:rPr>
                <w:b w:val="false"/>
                <w:bCs w:val="false"/>
                <w:sz w:val="19"/>
                <w:szCs w:val="19"/>
              </w:rPr>
              <w:t xml:space="preserve">Greenhouse/Lever/Ashby public JSON boards (keyless, ~0% block rate; 43 boards registered), LinkedIn Jobs</w:t>
            </w:r>
          </w:p>
        </w:tc>
        <w:tc>
          <w:tcPr>
            <w:tcW w:type="dxa" w:w="960"/>
            <w:tcMar>
              <w:top w:type="dxa" w:w="70"/>
              <w:left w:type="dxa" w:w="100"/>
              <w:bottom w:type="dxa" w:w="70"/>
              <w:right w:type="dxa" w:w="100"/>
            </w:tcMar>
          </w:tcPr>
          <w:p>
            <w:pPr>
              <w:spacing w:after="0" w:line="252"/>
            </w:pPr>
            <w:r>
              <w:rPr>
                <w:b w:val="false"/>
                <w:bCs w:val="false"/>
                <w:sz w:val="19"/>
                <w:szCs w:val="19"/>
              </w:rPr>
              <w:t xml:space="preserve">+8</w:t>
            </w:r>
          </w:p>
        </w:tc>
      </w:tr>
      <w:tr>
        <w:tc>
          <w:tcPr>
            <w:tcW w:type="dxa" w:w="400"/>
            <w:tcMar>
              <w:top w:type="dxa" w:w="70"/>
              <w:left w:type="dxa" w:w="100"/>
              <w:bottom w:type="dxa" w:w="70"/>
              <w:right w:type="dxa" w:w="100"/>
            </w:tcMar>
          </w:tcPr>
          <w:p>
            <w:pPr>
              <w:spacing w:after="0" w:line="252"/>
            </w:pPr>
            <w:r>
              <w:rPr>
                <w:b w:val="false"/>
                <w:bCs w:val="false"/>
                <w:sz w:val="19"/>
                <w:szCs w:val="19"/>
              </w:rPr>
              <w:t xml:space="preserve">2</w:t>
            </w:r>
          </w:p>
        </w:tc>
        <w:tc>
          <w:tcPr>
            <w:tcW w:type="dxa" w:w="1750"/>
            <w:tcMar>
              <w:top w:type="dxa" w:w="70"/>
              <w:left w:type="dxa" w:w="100"/>
              <w:bottom w:type="dxa" w:w="70"/>
              <w:right w:type="dxa" w:w="100"/>
            </w:tcMar>
          </w:tcPr>
          <w:p>
            <w:pPr>
              <w:spacing w:after="0" w:line="252"/>
            </w:pPr>
            <w:r>
              <w:rPr>
                <w:b w:val="false"/>
                <w:bCs w:val="false"/>
                <w:sz w:val="19"/>
                <w:szCs w:val="19"/>
              </w:rPr>
              <w:t xml:space="preserve">Legacy CS-platform friction</w:t>
            </w:r>
          </w:p>
        </w:tc>
        <w:tc>
          <w:tcPr>
            <w:tcW w:type="dxa" w:w="3450"/>
            <w:tcMar>
              <w:top w:type="dxa" w:w="70"/>
              <w:left w:type="dxa" w:w="100"/>
              <w:bottom w:type="dxa" w:w="70"/>
              <w:right w:type="dxa" w:w="100"/>
            </w:tcMar>
          </w:tcPr>
          <w:p>
            <w:pPr>
              <w:spacing w:after="0" w:line="252"/>
            </w:pPr>
            <w:r>
              <w:rPr>
                <w:b w:val="false"/>
                <w:bCs w:val="false"/>
                <w:sz w:val="19"/>
                <w:szCs w:val="19"/>
              </w:rPr>
              <w:t xml:space="preserve">"You’re paying for Gainsight/ChurnZero/Clari and still hiring humans to make it predictive — human-built rules on lagging data." Job posts requiring platform admin/migration work; community threads about migrating off. Plus the competitor churn watch: Wayback Machine diffs of vendors’ own customer-logo walls — a quietly removed logo is a churned customer with budget, category need, and an open vacancy.</w:t>
            </w:r>
          </w:p>
        </w:tc>
        <w:tc>
          <w:tcPr>
            <w:tcW w:type="dxa" w:w="2800"/>
            <w:tcMar>
              <w:top w:type="dxa" w:w="70"/>
              <w:left w:type="dxa" w:w="100"/>
              <w:bottom w:type="dxa" w:w="70"/>
              <w:right w:type="dxa" w:w="100"/>
            </w:tcMar>
          </w:tcPr>
          <w:p>
            <w:pPr>
              <w:spacing w:after="0" w:line="252"/>
            </w:pPr>
            <w:r>
              <w:rPr>
                <w:b w:val="false"/>
                <w:bCs w:val="false"/>
                <w:sz w:val="19"/>
                <w:szCs w:val="19"/>
              </w:rPr>
              <w:t xml:space="preserve">ATS boards, Reddit via site-search (date-gated), web.archive.org CDX API</w:t>
            </w:r>
          </w:p>
        </w:tc>
        <w:tc>
          <w:tcPr>
            <w:tcW w:type="dxa" w:w="960"/>
            <w:tcMar>
              <w:top w:type="dxa" w:w="70"/>
              <w:left w:type="dxa" w:w="100"/>
              <w:bottom w:type="dxa" w:w="70"/>
              <w:right w:type="dxa" w:w="100"/>
            </w:tcMar>
          </w:tcPr>
          <w:p>
            <w:pPr>
              <w:spacing w:after="0" w:line="252"/>
            </w:pPr>
            <w:r>
              <w:rPr>
                <w:b w:val="false"/>
                <w:bCs w:val="false"/>
                <w:sz w:val="19"/>
                <w:szCs w:val="19"/>
              </w:rPr>
              <w:t xml:space="preserve">+12</w:t>
            </w:r>
          </w:p>
        </w:tc>
      </w:tr>
      <w:tr>
        <w:tc>
          <w:tcPr>
            <w:tcW w:type="dxa" w:w="400"/>
            <w:tcMar>
              <w:top w:type="dxa" w:w="70"/>
              <w:left w:type="dxa" w:w="100"/>
              <w:bottom w:type="dxa" w:w="70"/>
              <w:right w:type="dxa" w:w="100"/>
            </w:tcMar>
          </w:tcPr>
          <w:p>
            <w:pPr>
              <w:spacing w:after="0" w:line="252"/>
            </w:pPr>
            <w:r>
              <w:rPr>
                <w:b w:val="false"/>
                <w:bCs w:val="false"/>
                <w:sz w:val="19"/>
                <w:szCs w:val="19"/>
              </w:rPr>
              <w:t xml:space="preserve">3</w:t>
            </w:r>
          </w:p>
        </w:tc>
        <w:tc>
          <w:tcPr>
            <w:tcW w:type="dxa" w:w="1750"/>
            <w:tcMar>
              <w:top w:type="dxa" w:w="70"/>
              <w:left w:type="dxa" w:w="100"/>
              <w:bottom w:type="dxa" w:w="70"/>
              <w:right w:type="dxa" w:w="100"/>
            </w:tcMar>
          </w:tcPr>
          <w:p>
            <w:pPr>
              <w:spacing w:after="0" w:line="252"/>
            </w:pPr>
            <w:r>
              <w:rPr>
                <w:b w:val="false"/>
                <w:bCs w:val="false"/>
                <w:sz w:val="19"/>
                <w:szCs w:val="19"/>
              </w:rPr>
              <w:t xml:space="preserve">Public NRR / forecast pain</w:t>
            </w:r>
          </w:p>
        </w:tc>
        <w:tc>
          <w:tcPr>
            <w:tcW w:type="dxa" w:w="3450"/>
            <w:tcMar>
              <w:top w:type="dxa" w:w="70"/>
              <w:left w:type="dxa" w:w="100"/>
              <w:bottom w:type="dxa" w:w="70"/>
              <w:right w:type="dxa" w:w="100"/>
            </w:tcMar>
          </w:tcPr>
          <w:p>
            <w:pPr>
              <w:spacing w:after="0" w:line="252"/>
            </w:pPr>
            <w:r>
              <w:rPr>
                <w:b w:val="false"/>
                <w:bCs w:val="false"/>
                <w:sz w:val="19"/>
                <w:szCs w:val="19"/>
              </w:rPr>
              <w:t xml:space="preserve">"Your buyer is saying out loud that renewals surprise them." Earnings-call retention language, CRO/VP-CS LinkedIn posts, G2 reviews mentioning churn surprises or forecast blind spots.</w:t>
            </w:r>
          </w:p>
        </w:tc>
        <w:tc>
          <w:tcPr>
            <w:tcW w:type="dxa" w:w="2800"/>
            <w:tcMar>
              <w:top w:type="dxa" w:w="70"/>
              <w:left w:type="dxa" w:w="100"/>
              <w:bottom w:type="dxa" w:w="70"/>
              <w:right w:type="dxa" w:w="100"/>
            </w:tcMar>
          </w:tcPr>
          <w:p>
            <w:pPr>
              <w:spacing w:after="0" w:line="252"/>
            </w:pPr>
            <w:r>
              <w:rPr>
                <w:b w:val="false"/>
                <w:bCs w:val="false"/>
                <w:sz w:val="19"/>
                <w:szCs w:val="19"/>
              </w:rPr>
              <w:t xml:space="preserve">Free transcript APIs (EarningsCall.dev, API Ninjas), G2/Reddit via web search — all third-party pain evidence date-gated ≤18 months (see Stage 4 risk)</w:t>
            </w:r>
          </w:p>
        </w:tc>
        <w:tc>
          <w:tcPr>
            <w:tcW w:type="dxa" w:w="960"/>
            <w:tcMar>
              <w:top w:type="dxa" w:w="70"/>
              <w:left w:type="dxa" w:w="100"/>
              <w:bottom w:type="dxa" w:w="70"/>
              <w:right w:type="dxa" w:w="100"/>
            </w:tcMar>
          </w:tcPr>
          <w:p>
            <w:pPr>
              <w:spacing w:after="0" w:line="252"/>
            </w:pPr>
            <w:r>
              <w:rPr>
                <w:b w:val="false"/>
                <w:bCs w:val="false"/>
                <w:sz w:val="19"/>
                <w:szCs w:val="19"/>
              </w:rPr>
              <w:t xml:space="preserve">+10</w:t>
            </w:r>
          </w:p>
        </w:tc>
      </w:tr>
      <w:tr>
        <w:tc>
          <w:tcPr>
            <w:tcW w:type="dxa" w:w="400"/>
            <w:tcMar>
              <w:top w:type="dxa" w:w="70"/>
              <w:left w:type="dxa" w:w="100"/>
              <w:bottom w:type="dxa" w:w="70"/>
              <w:right w:type="dxa" w:w="100"/>
            </w:tcMar>
          </w:tcPr>
          <w:p>
            <w:pPr>
              <w:spacing w:after="0" w:line="252"/>
            </w:pPr>
            <w:r>
              <w:rPr>
                <w:b w:val="false"/>
                <w:bCs w:val="false"/>
                <w:sz w:val="19"/>
                <w:szCs w:val="19"/>
              </w:rPr>
              <w:t xml:space="preserve">4</w:t>
            </w:r>
          </w:p>
        </w:tc>
        <w:tc>
          <w:tcPr>
            <w:tcW w:type="dxa" w:w="1750"/>
            <w:tcMar>
              <w:top w:type="dxa" w:w="70"/>
              <w:left w:type="dxa" w:w="100"/>
              <w:bottom w:type="dxa" w:w="70"/>
              <w:right w:type="dxa" w:w="100"/>
            </w:tcMar>
          </w:tcPr>
          <w:p>
            <w:pPr>
              <w:spacing w:after="0" w:line="252"/>
            </w:pPr>
            <w:r>
              <w:rPr>
                <w:b w:val="false"/>
                <w:bCs w:val="false"/>
                <w:sz w:val="19"/>
                <w:szCs w:val="19"/>
              </w:rPr>
              <w:t xml:space="preserve">New CRO / CCO in seat</w:t>
            </w:r>
          </w:p>
        </w:tc>
        <w:tc>
          <w:tcPr>
            <w:tcW w:type="dxa" w:w="3450"/>
            <w:tcMar>
              <w:top w:type="dxa" w:w="70"/>
              <w:left w:type="dxa" w:w="100"/>
              <w:bottom w:type="dxa" w:w="70"/>
              <w:right w:type="dxa" w:w="100"/>
            </w:tcMar>
          </w:tcPr>
          <w:p>
            <w:pPr>
              <w:spacing w:after="0" w:line="252"/>
            </w:pPr>
            <w:r>
              <w:rPr>
                <w:b w:val="false"/>
                <w:bCs w:val="false"/>
                <w:sz w:val="19"/>
                <w:szCs w:val="19"/>
              </w:rPr>
              <w:t xml:space="preserve">"New revenue leaders audit the forecast stack in their first 90 days."</w:t>
            </w:r>
          </w:p>
        </w:tc>
        <w:tc>
          <w:tcPr>
            <w:tcW w:type="dxa" w:w="2800"/>
            <w:tcMar>
              <w:top w:type="dxa" w:w="70"/>
              <w:left w:type="dxa" w:w="100"/>
              <w:bottom w:type="dxa" w:w="70"/>
              <w:right w:type="dxa" w:w="100"/>
            </w:tcMar>
          </w:tcPr>
          <w:p>
            <w:pPr>
              <w:spacing w:after="0" w:line="252"/>
            </w:pPr>
            <w:r>
              <w:rPr>
                <w:b w:val="false"/>
                <w:bCs w:val="false"/>
                <w:sz w:val="19"/>
                <w:szCs w:val="19"/>
              </w:rPr>
              <w:t xml:space="preserve">SEC 8-K Item 5.02 via data.sec.gov (legally mandated disclosure, free, citable) for public accounts; press for private</w:t>
            </w:r>
          </w:p>
        </w:tc>
        <w:tc>
          <w:tcPr>
            <w:tcW w:type="dxa" w:w="960"/>
            <w:tcMar>
              <w:top w:type="dxa" w:w="70"/>
              <w:left w:type="dxa" w:w="100"/>
              <w:bottom w:type="dxa" w:w="70"/>
              <w:right w:type="dxa" w:w="100"/>
            </w:tcMar>
          </w:tcPr>
          <w:p>
            <w:pPr>
              <w:spacing w:after="0" w:line="252"/>
            </w:pPr>
            <w:r>
              <w:rPr>
                <w:b w:val="false"/>
                <w:bCs w:val="false"/>
                <w:sz w:val="19"/>
                <w:szCs w:val="19"/>
              </w:rPr>
              <w:t xml:space="preserve">+10, 365-day decay</w:t>
            </w:r>
          </w:p>
        </w:tc>
      </w:tr>
      <w:tr>
        <w:tc>
          <w:tcPr>
            <w:tcW w:type="dxa" w:w="400"/>
            <w:tcMar>
              <w:top w:type="dxa" w:w="70"/>
              <w:left w:type="dxa" w:w="100"/>
              <w:bottom w:type="dxa" w:w="70"/>
              <w:right w:type="dxa" w:w="100"/>
            </w:tcMar>
          </w:tcPr>
          <w:p>
            <w:pPr>
              <w:spacing w:after="0" w:line="252"/>
            </w:pPr>
            <w:r>
              <w:rPr>
                <w:b w:val="false"/>
                <w:bCs w:val="false"/>
                <w:sz w:val="19"/>
                <w:szCs w:val="19"/>
              </w:rPr>
              <w:t xml:space="preserve">5</w:t>
            </w:r>
          </w:p>
        </w:tc>
        <w:tc>
          <w:tcPr>
            <w:tcW w:type="dxa" w:w="1750"/>
            <w:tcMar>
              <w:top w:type="dxa" w:w="70"/>
              <w:left w:type="dxa" w:w="100"/>
              <w:bottom w:type="dxa" w:w="70"/>
              <w:right w:type="dxa" w:w="100"/>
            </w:tcMar>
          </w:tcPr>
          <w:p>
            <w:pPr>
              <w:spacing w:after="0" w:line="252"/>
            </w:pPr>
            <w:r>
              <w:rPr>
                <w:b w:val="false"/>
                <w:bCs w:val="false"/>
                <w:sz w:val="19"/>
                <w:szCs w:val="19"/>
              </w:rPr>
              <w:t xml:space="preserve">⭐ Renewal-window entry (USP-tied)</w:t>
            </w:r>
          </w:p>
        </w:tc>
        <w:tc>
          <w:tcPr>
            <w:tcW w:type="dxa" w:w="3450"/>
            <w:tcMar>
              <w:top w:type="dxa" w:w="70"/>
              <w:left w:type="dxa" w:w="100"/>
              <w:bottom w:type="dxa" w:w="70"/>
              <w:right w:type="dxa" w:w="100"/>
            </w:tcMar>
          </w:tcPr>
          <w:p>
            <w:pPr>
              <w:spacing w:after="0" w:line="252"/>
            </w:pPr>
            <w:r>
              <w:rPr>
                <w:b w:val="false"/>
                <w:bCs w:val="false"/>
                <w:sz w:val="19"/>
                <w:szCs w:val="19"/>
              </w:rPr>
              <w:t xml:space="preserve">The account signed/went live on its CS or revenue platform 9–18 months ago — right now inside the only window where QuadSci’s 90%+ churn/growth prediction changes the outcome instead of explaining it afterward. "Your next renewal cycle is already being decided in this quarter’s usage data — you just can’t see it yet."</w:t>
            </w:r>
          </w:p>
        </w:tc>
        <w:tc>
          <w:tcPr>
            <w:tcW w:type="dxa" w:w="2800"/>
            <w:tcMar>
              <w:top w:type="dxa" w:w="70"/>
              <w:left w:type="dxa" w:w="100"/>
              <w:bottom w:type="dxa" w:w="70"/>
              <w:right w:type="dxa" w:w="100"/>
            </w:tcMar>
          </w:tcPr>
          <w:p>
            <w:pPr>
              <w:spacing w:after="0" w:line="252"/>
            </w:pPr>
            <w:r>
              <w:rPr>
                <w:b w:val="false"/>
                <w:bCs w:val="false"/>
                <w:sz w:val="19"/>
                <w:szCs w:val="19"/>
              </w:rPr>
              <w:t xml:space="preserve">Dated press releases, case-study publish dates, first appearance of the logo on a vendor’s customer wall (Wayback)</w:t>
            </w:r>
          </w:p>
        </w:tc>
        <w:tc>
          <w:tcPr>
            <w:tcW w:type="dxa" w:w="960"/>
            <w:tcMar>
              <w:top w:type="dxa" w:w="70"/>
              <w:left w:type="dxa" w:w="100"/>
              <w:bottom w:type="dxa" w:w="70"/>
              <w:right w:type="dxa" w:w="100"/>
            </w:tcMar>
          </w:tcPr>
          <w:p>
            <w:pPr>
              <w:spacing w:after="0" w:line="252"/>
            </w:pPr>
            <w:r>
              <w:rPr>
                <w:b w:val="false"/>
                <w:bCs w:val="false"/>
                <w:sz w:val="19"/>
                <w:szCs w:val="19"/>
              </w:rPr>
              <w:t xml:space="preserve">+8</w:t>
            </w:r>
          </w:p>
        </w:tc>
      </w:tr>
    </w:tbl>
    <w:p>
      <w:pPr>
        <w:spacing w:after="120" w:line="276"/>
      </w:pPr>
      <w:r>
        <w:rPr>
          <w:sz w:val="21"/>
          <w:szCs w:val="21"/>
        </w:rPr>
        <w:t xml:space="preserve"/>
      </w:r>
    </w:p>
    <w:p>
      <w:pPr>
        <w:pStyle w:val="ListParagraph"/>
        <w:numPr>
          <w:ilvl w:val="0"/>
          <w:numId w:val="2"/>
        </w:numPr>
        <w:spacing w:after="80" w:line="264"/>
      </w:pPr>
      <w:r>
        <w:rPr>
          <w:b/>
          <w:bCs/>
          <w:sz w:val="21"/>
          <w:szCs w:val="21"/>
        </w:rPr>
        <w:t xml:space="preserve">Cluster trigger (per account): </w:t>
      </w:r>
      <w:r>
        <w:rPr>
          <w:sz w:val="21"/>
          <w:szCs w:val="21"/>
        </w:rPr>
        <w:t xml:space="preserve">≥2 signals of different types within 90 days, at least one being a pain or displacement signal — two job posts are one budget event, not a cluster.</w:t>
      </w:r>
    </w:p>
    <w:p>
      <w:pPr>
        <w:pStyle w:val="ListParagraph"/>
        <w:numPr>
          <w:ilvl w:val="0"/>
          <w:numId w:val="2"/>
        </w:numPr>
        <w:spacing w:after="80" w:line="264"/>
      </w:pPr>
      <w:r>
        <w:rPr>
          <w:b/>
          <w:bCs/>
          <w:sz w:val="21"/>
          <w:szCs w:val="21"/>
        </w:rPr>
        <w:t xml:space="preserve">One signal → monitor. </w:t>
      </w:r>
      <w:r>
        <w:rPr>
          <w:sz w:val="21"/>
          <w:szCs w:val="21"/>
        </w:rPr>
        <w:t xml:space="preserve">Nothing else happens. No email is ever earned by a single event.</w:t>
      </w:r>
    </w:p>
    <w:p>
      <w:pPr>
        <w:pStyle w:val="ListParagraph"/>
        <w:numPr>
          <w:ilvl w:val="0"/>
          <w:numId w:val="2"/>
        </w:numPr>
        <w:spacing w:after="80" w:line="264"/>
      </w:pPr>
      <w:r>
        <w:rPr>
          <w:b/>
          <w:bCs/>
          <w:sz w:val="21"/>
          <w:szCs w:val="21"/>
        </w:rPr>
        <w:t xml:space="preserve">Batch trigger: </w:t>
      </w:r>
      <w:r>
        <w:rPr>
          <w:sz w:val="21"/>
          <w:szCs w:val="21"/>
        </w:rPr>
        <w:t xml:space="preserve">5+ clustered accounts in a week → a campaign run.</w:t>
      </w:r>
    </w:p>
    <w:p>
      <w:pPr>
        <w:pStyle w:val="ListParagraph"/>
        <w:numPr>
          <w:ilvl w:val="0"/>
          <w:numId w:val="2"/>
        </w:numPr>
        <w:spacing w:after="80" w:line="264"/>
      </w:pPr>
      <w:r>
        <w:rPr>
          <w:b/>
          <w:bCs/>
          <w:sz w:val="21"/>
          <w:szCs w:val="21"/>
        </w:rPr>
        <w:t xml:space="preserve">Why clusters: </w:t>
      </w:r>
      <w:r>
        <w:rPr>
          <w:sz w:val="21"/>
          <w:szCs w:val="21"/>
        </w:rPr>
        <w:t xml:space="preserve">any single signal has a terrible base rate — every growing company hires, every startup raises. Independent evidence streams converging in a short window is what converts coincidence into intent. It is the same logic QuadSci applies to telemetry.</w:t>
      </w:r>
    </w:p>
    <w:p>
      <w:pPr>
        <w:spacing w:after="90" w:before="220"/>
      </w:pPr>
      <w:r>
        <w:rPr>
          <w:b/>
          <w:bCs/>
          <w:color w:val="047857"/>
          <w:spacing w:val="20"/>
          <w:sz w:val="19"/>
          <w:szCs w:val="19"/>
        </w:rPr>
        <w:t xml:space="preserve">WHAT ACTUALLY HAPPENED IN THE LIVE RUN</w:t>
      </w:r>
    </w:p>
    <w:p>
      <w:pPr>
        <w:spacing w:after="120" w:line="276"/>
      </w:pPr>
      <w:r>
        <w:rPr>
          <w:sz w:val="21"/>
          <w:szCs w:val="21"/>
        </w:rPr>
        <w:t xml:space="preserve">This week’s scan produced </w:t>
      </w:r>
      <w:r>
        <w:rPr>
          <w:b/>
          <w:bCs/>
          <w:sz w:val="21"/>
          <w:szCs w:val="21"/>
        </w:rPr>
        <w:t xml:space="preserve">~11,000 raw signals</w:t>
      </w:r>
      <w:r>
        <w:rPr>
          <w:sz w:val="21"/>
          <w:szCs w:val="21"/>
        </w:rPr>
        <w:t xml:space="preserve"> across LinkedIn Jobs, 43 registered ATS boards, SEC EDGAR, the layoffs tracker, and the churn watch. Classification kept </w:t>
      </w:r>
      <w:r>
        <w:rPr>
          <w:b/>
          <w:bCs/>
          <w:sz w:val="21"/>
          <w:szCs w:val="21"/>
        </w:rPr>
        <w:t xml:space="preserve">681</w:t>
      </w:r>
      <w:r>
        <w:rPr>
          <w:sz w:val="21"/>
          <w:szCs w:val="21"/>
        </w:rPr>
        <w:t xml:space="preserve">. Examples of real detections: Chatwork quietly removed from Pendo’s public customer wall between Sept 2024 and Mar 2025 — while that wall grew 118→127, so a specific takedown, not a redesign (signal 2); Qualys, Trimble, Cloudflare and AppFolio filing 8-K Item 5.02 officer changes in May–July 2026 (signal 4); Cloudflare’s May 2026 workforce reduction of 1,100 (cost-pressure). A cluster fires only when ≥2 different signal types land within 90 days of each other — Qualys’s hiring post + 8-K, 30 days apart, is a real one.</w:t>
      </w:r>
    </w:p>
    <w:p>
      <w:pPr>
        <w:spacing w:after="90" w:before="220"/>
      </w:pPr>
      <w:r>
        <w:rPr>
          <w:b/>
          <w:bCs/>
          <w:color w:val="047857"/>
          <w:spacing w:val="20"/>
          <w:sz w:val="19"/>
          <w:szCs w:val="19"/>
        </w:rPr>
        <w:t xml:space="preserve">WHAT FLOWS TO STAGE 2</w:t>
      </w:r>
    </w:p>
    <w:p>
      <w:pPr>
        <w:pBdr>
          <w:top w:val="single" w:color="047857" w:sz="6"/>
          <w:bottom w:val="single" w:color="047857" w:sz="6"/>
          <w:left w:val="single" w:color="047857" w:sz="6"/>
          <w:right w:val="single" w:color="047857" w:sz="6"/>
        </w:pBdr>
        <w:shd w:fill="ECFDF5" w:val="clear"/>
        <w:spacing w:after="160" w:line="264"/>
        <w:ind w:left="140" w:right="140"/>
      </w:pPr>
      <w:r>
        <w:rPr>
          <w:b/>
          <w:bCs/>
          <w:color w:val="047857"/>
          <w:sz w:val="20"/>
          <w:szCs w:val="20"/>
        </w:rPr>
        <w:t xml:space="preserve">HANDOFF → </w:t>
      </w:r>
      <w:r>
        <w:rPr>
          <w:sz w:val="20"/>
          <w:szCs w:val="20"/>
        </w:rPr>
        <w:t xml:space="preserve">A list of candidate accounts, each carrying its full set of signal records: {signal type, evidence text, source URL, date, confidence}. Nothing is summarized away — Stage 2 scores the records themselves, and every downstream artifact (score, email, review row) keeps a pointer back to these originals.</w:t>
      </w:r>
    </w:p>
    <w:p>
      <w:r>
        <w:br w:type="page"/>
      </w:r>
    </w:p>
    <w:p>
      <w:pPr>
        <w:pStyle w:val="Heading1"/>
        <w:spacing w:after="60" w:before="360"/>
      </w:pPr>
      <w:r>
        <w:rPr>
          <w:b/>
          <w:bCs/>
          <w:color w:val="111827"/>
          <w:sz w:val="28"/>
          <w:szCs w:val="28"/>
        </w:rPr>
        <w:t xml:space="preserve">Stage 2 — Score and Filter Accounts</w:t>
      </w:r>
    </w:p>
    <w:p>
      <w:pPr>
        <w:spacing w:after="90" w:before="220"/>
      </w:pPr>
      <w:r>
        <w:rPr>
          <w:b/>
          <w:bCs/>
          <w:color w:val="047857"/>
          <w:spacing w:val="20"/>
          <w:sz w:val="19"/>
          <w:szCs w:val="19"/>
        </w:rPr>
        <w:t xml:space="preserve">WHAT HAPPENS IN THIS STAGE</w:t>
      </w:r>
    </w:p>
    <w:p>
      <w:pPr>
        <w:spacing w:after="120" w:line="276"/>
      </w:pPr>
      <w:r>
        <w:rPr>
          <w:sz w:val="21"/>
          <w:szCs w:val="21"/>
        </w:rPr>
        <w:t xml:space="preserve">Two gates in strict order. </w:t>
      </w:r>
      <w:r>
        <w:rPr>
          <w:b/>
          <w:bCs/>
          <w:sz w:val="21"/>
          <w:szCs w:val="21"/>
        </w:rPr>
        <w:t xml:space="preserve">First, hard ICP filters</w:t>
      </w:r>
      <w:r>
        <w:rPr>
          <w:sz w:val="21"/>
          <w:szCs w:val="21"/>
        </w:rPr>
        <w:t xml:space="preserve"> — checked via LinkedIn headcount, Crunchbase free profiles, and careers pages — disqualify an account regardless of how loud its signals are:</w:t>
      </w:r>
    </w:p>
    <w:p>
      <w:pPr>
        <w:pStyle w:val="ListParagraph"/>
        <w:numPr>
          <w:ilvl w:val="0"/>
          <w:numId w:val="3"/>
        </w:numPr>
        <w:spacing w:after="80" w:line="264"/>
      </w:pPr>
      <w:r>
        <w:rPr>
          <w:sz w:val="21"/>
          <w:szCs w:val="21"/>
        </w:rPr>
        <w:t xml:space="preserve">Not B2B SaaS (no subscription software product)</w:t>
      </w:r>
    </w:p>
    <w:p>
      <w:pPr>
        <w:pStyle w:val="ListParagraph"/>
        <w:numPr>
          <w:ilvl w:val="0"/>
          <w:numId w:val="3"/>
        </w:numPr>
        <w:spacing w:after="80" w:line="264"/>
      </w:pPr>
      <w:r>
        <w:rPr>
          <w:sz w:val="21"/>
          <w:szCs w:val="21"/>
        </w:rPr>
        <w:t xml:space="preserve">Under 200 employees</w:t>
      </w:r>
    </w:p>
    <w:p>
      <w:pPr>
        <w:pStyle w:val="ListParagraph"/>
        <w:numPr>
          <w:ilvl w:val="0"/>
          <w:numId w:val="3"/>
        </w:numPr>
        <w:spacing w:after="80" w:line="264"/>
      </w:pPr>
      <w:r>
        <w:rPr>
          <w:sz w:val="21"/>
          <w:szCs w:val="21"/>
        </w:rPr>
        <w:t xml:space="preserve">Pre-Series B</w:t>
      </w:r>
    </w:p>
    <w:p>
      <w:pPr>
        <w:pStyle w:val="ListParagraph"/>
        <w:numPr>
          <w:ilvl w:val="0"/>
          <w:numId w:val="3"/>
        </w:numPr>
        <w:spacing w:after="80" w:line="264"/>
      </w:pPr>
      <w:r>
        <w:rPr>
          <w:sz w:val="21"/>
          <w:szCs w:val="21"/>
        </w:rPr>
        <w:t xml:space="preserve">No visible CS function (no renewal motion to improve = no buyer)</w:t>
      </w:r>
    </w:p>
    <w:p>
      <w:pPr>
        <w:pStyle w:val="ListParagraph"/>
        <w:numPr>
          <w:ilvl w:val="0"/>
          <w:numId w:val="3"/>
        </w:numPr>
        <w:spacing w:after="80" w:line="264"/>
      </w:pPr>
      <w:r>
        <w:rPr>
          <w:sz w:val="21"/>
          <w:szCs w:val="21"/>
        </w:rPr>
        <w:t xml:space="preserve">Services / consulting / staffing firms; QuadSci partners and existing customers (suppression list)</w:t>
      </w:r>
    </w:p>
    <w:p>
      <w:pPr>
        <w:spacing w:after="120" w:line="276"/>
      </w:pPr>
      <w:r>
        <w:rPr>
          <w:b/>
          <w:bCs/>
          <w:sz w:val="21"/>
          <w:szCs w:val="21"/>
        </w:rPr>
        <w:t xml:space="preserve">Second, the rubric</w:t>
      </w:r>
      <w:r>
        <w:rPr>
          <w:sz w:val="21"/>
          <w:szCs w:val="21"/>
        </w:rPr>
        <w:t xml:space="preserve">: signal points per the Stage-1 table, plus firmographic fit +6 (200–500 employee sweet spot; &gt;2,000 employees scores −2 — enterprise cycles are a mismatch for an early-stage vendor’s sales capacity), cluster bonus +8, named buyer on file +4. Every dated trigger decays linearly over 365 days — a stale funding round earns zero. Tier = points as a share of evaluable weight (rules with no available evidence source are excluded from the denominator, not counted against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c>
          <w:tcPr>
            <w:tcW w:type="dxa" w:w="2500"/>
            <w:shd w:fill="EDE9FE" w:val="clear"/>
            <w:tcMar>
              <w:top w:type="dxa" w:w="70"/>
              <w:left w:type="dxa" w:w="100"/>
              <w:bottom w:type="dxa" w:w="70"/>
              <w:right w:type="dxa" w:w="100"/>
            </w:tcMar>
          </w:tcPr>
          <w:p>
            <w:pPr>
              <w:spacing w:after="0" w:line="252"/>
            </w:pPr>
            <w:r>
              <w:rPr>
                <w:b/>
                <w:bCs/>
                <w:sz w:val="19"/>
                <w:szCs w:val="19"/>
              </w:rPr>
              <w:t xml:space="preserve">Tier</w:t>
            </w:r>
          </w:p>
        </w:tc>
        <w:tc>
          <w:tcPr>
            <w:tcW w:type="dxa" w:w="1900"/>
            <w:shd w:fill="EDE9FE" w:val="clear"/>
            <w:tcMar>
              <w:top w:type="dxa" w:w="70"/>
              <w:left w:type="dxa" w:w="100"/>
              <w:bottom w:type="dxa" w:w="70"/>
              <w:right w:type="dxa" w:w="100"/>
            </w:tcMar>
          </w:tcPr>
          <w:p>
            <w:pPr>
              <w:spacing w:after="0" w:line="252"/>
            </w:pPr>
            <w:r>
              <w:rPr>
                <w:b/>
                <w:bCs/>
                <w:sz w:val="19"/>
                <w:szCs w:val="19"/>
              </w:rPr>
              <w:t xml:space="preserve">Threshold</w:t>
            </w:r>
          </w:p>
        </w:tc>
        <w:tc>
          <w:tcPr>
            <w:tcW w:type="dxa" w:w="4960"/>
            <w:shd w:fill="EDE9FE" w:val="clear"/>
            <w:tcMar>
              <w:top w:type="dxa" w:w="70"/>
              <w:left w:type="dxa" w:w="100"/>
              <w:bottom w:type="dxa" w:w="70"/>
              <w:right w:type="dxa" w:w="100"/>
            </w:tcMar>
          </w:tcPr>
          <w:p>
            <w:pPr>
              <w:spacing w:after="0" w:line="252"/>
            </w:pPr>
            <w:r>
              <w:rPr>
                <w:b/>
                <w:bCs/>
                <w:sz w:val="19"/>
                <w:szCs w:val="19"/>
              </w:rPr>
              <w:t xml:space="preserve">Action</w:t>
            </w:r>
          </w:p>
        </w:tc>
      </w:tr>
      <w:tr>
        <w:tc>
          <w:tcPr>
            <w:tcW w:type="dxa" w:w="2500"/>
            <w:tcMar>
              <w:top w:type="dxa" w:w="70"/>
              <w:left w:type="dxa" w:w="100"/>
              <w:bottom w:type="dxa" w:w="70"/>
              <w:right w:type="dxa" w:w="100"/>
            </w:tcMar>
          </w:tcPr>
          <w:p>
            <w:pPr>
              <w:spacing w:after="0" w:line="252"/>
            </w:pPr>
            <w:r>
              <w:rPr>
                <w:b w:val="false"/>
                <w:bCs w:val="false"/>
                <w:sz w:val="19"/>
                <w:szCs w:val="19"/>
              </w:rPr>
              <w:t xml:space="preserve">TIER 1 — PRIORITY</w:t>
            </w:r>
          </w:p>
        </w:tc>
        <w:tc>
          <w:tcPr>
            <w:tcW w:type="dxa" w:w="1900"/>
            <w:tcMar>
              <w:top w:type="dxa" w:w="70"/>
              <w:left w:type="dxa" w:w="100"/>
              <w:bottom w:type="dxa" w:w="70"/>
              <w:right w:type="dxa" w:w="100"/>
            </w:tcMar>
          </w:tcPr>
          <w:p>
            <w:pPr>
              <w:spacing w:after="0" w:line="252"/>
            </w:pPr>
            <w:r>
              <w:rPr>
                <w:b w:val="false"/>
                <w:bCs w:val="false"/>
                <w:sz w:val="19"/>
                <w:szCs w:val="19"/>
              </w:rPr>
              <w:t xml:space="preserve">≥60%</w:t>
            </w:r>
          </w:p>
        </w:tc>
        <w:tc>
          <w:tcPr>
            <w:tcW w:type="dxa" w:w="4960"/>
            <w:tcMar>
              <w:top w:type="dxa" w:w="70"/>
              <w:left w:type="dxa" w:w="100"/>
              <w:bottom w:type="dxa" w:w="70"/>
              <w:right w:type="dxa" w:w="100"/>
            </w:tcMar>
          </w:tcPr>
          <w:p>
            <w:pPr>
              <w:spacing w:after="0" w:line="252"/>
            </w:pPr>
            <w:r>
              <w:rPr>
                <w:b w:val="false"/>
                <w:bCs w:val="false"/>
                <w:sz w:val="19"/>
                <w:szCs w:val="19"/>
              </w:rPr>
              <w:t xml:space="preserve">Outreach this week</w:t>
            </w:r>
          </w:p>
        </w:tc>
      </w:tr>
      <w:tr>
        <w:tc>
          <w:tcPr>
            <w:tcW w:type="dxa" w:w="2500"/>
            <w:tcMar>
              <w:top w:type="dxa" w:w="70"/>
              <w:left w:type="dxa" w:w="100"/>
              <w:bottom w:type="dxa" w:w="70"/>
              <w:right w:type="dxa" w:w="100"/>
            </w:tcMar>
          </w:tcPr>
          <w:p>
            <w:pPr>
              <w:spacing w:after="0" w:line="252"/>
            </w:pPr>
            <w:r>
              <w:rPr>
                <w:b w:val="false"/>
                <w:bCs w:val="false"/>
                <w:sz w:val="19"/>
                <w:szCs w:val="19"/>
              </w:rPr>
              <w:t xml:space="preserve">TIER 2 — QUALIFIED</w:t>
            </w:r>
          </w:p>
        </w:tc>
        <w:tc>
          <w:tcPr>
            <w:tcW w:type="dxa" w:w="1900"/>
            <w:tcMar>
              <w:top w:type="dxa" w:w="70"/>
              <w:left w:type="dxa" w:w="100"/>
              <w:bottom w:type="dxa" w:w="70"/>
              <w:right w:type="dxa" w:w="100"/>
            </w:tcMar>
          </w:tcPr>
          <w:p>
            <w:pPr>
              <w:spacing w:after="0" w:line="252"/>
            </w:pPr>
            <w:r>
              <w:rPr>
                <w:b w:val="false"/>
                <w:bCs w:val="false"/>
                <w:sz w:val="19"/>
                <w:szCs w:val="19"/>
              </w:rPr>
              <w:t xml:space="preserve">≥40%</w:t>
            </w:r>
          </w:p>
        </w:tc>
        <w:tc>
          <w:tcPr>
            <w:tcW w:type="dxa" w:w="4960"/>
            <w:tcMar>
              <w:top w:type="dxa" w:w="70"/>
              <w:left w:type="dxa" w:w="100"/>
              <w:bottom w:type="dxa" w:w="70"/>
              <w:right w:type="dxa" w:w="100"/>
            </w:tcMar>
          </w:tcPr>
          <w:p>
            <w:pPr>
              <w:spacing w:after="0" w:line="252"/>
            </w:pPr>
            <w:r>
              <w:rPr>
                <w:b w:val="false"/>
                <w:bCs w:val="false"/>
                <w:sz w:val="19"/>
                <w:szCs w:val="19"/>
              </w:rPr>
              <w:t xml:space="preserve">Outreach this cycle</w:t>
            </w:r>
          </w:p>
        </w:tc>
      </w:tr>
      <w:tr>
        <w:tc>
          <w:tcPr>
            <w:tcW w:type="dxa" w:w="2500"/>
            <w:tcMar>
              <w:top w:type="dxa" w:w="70"/>
              <w:left w:type="dxa" w:w="100"/>
              <w:bottom w:type="dxa" w:w="70"/>
              <w:right w:type="dxa" w:w="100"/>
            </w:tcMar>
          </w:tcPr>
          <w:p>
            <w:pPr>
              <w:spacing w:after="0" w:line="252"/>
            </w:pPr>
            <w:r>
              <w:rPr>
                <w:b w:val="false"/>
                <w:bCs w:val="false"/>
                <w:sz w:val="19"/>
                <w:szCs w:val="19"/>
              </w:rPr>
              <w:t xml:space="preserve">TIER 3 — MONITOR</w:t>
            </w:r>
          </w:p>
        </w:tc>
        <w:tc>
          <w:tcPr>
            <w:tcW w:type="dxa" w:w="1900"/>
            <w:tcMar>
              <w:top w:type="dxa" w:w="70"/>
              <w:left w:type="dxa" w:w="100"/>
              <w:bottom w:type="dxa" w:w="70"/>
              <w:right w:type="dxa" w:w="100"/>
            </w:tcMar>
          </w:tcPr>
          <w:p>
            <w:pPr>
              <w:spacing w:after="0" w:line="252"/>
            </w:pPr>
            <w:r>
              <w:rPr>
                <w:b w:val="false"/>
                <w:bCs w:val="false"/>
                <w:sz w:val="19"/>
                <w:szCs w:val="19"/>
              </w:rPr>
              <w:t xml:space="preserve">≥20%</w:t>
            </w:r>
          </w:p>
        </w:tc>
        <w:tc>
          <w:tcPr>
            <w:tcW w:type="dxa" w:w="4960"/>
            <w:tcMar>
              <w:top w:type="dxa" w:w="70"/>
              <w:left w:type="dxa" w:w="100"/>
              <w:bottom w:type="dxa" w:w="70"/>
              <w:right w:type="dxa" w:w="100"/>
            </w:tcMar>
          </w:tcPr>
          <w:p>
            <w:pPr>
              <w:spacing w:after="0" w:line="252"/>
            </w:pPr>
            <w:r>
              <w:rPr>
                <w:b w:val="false"/>
                <w:bCs w:val="false"/>
                <w:sz w:val="19"/>
                <w:szCs w:val="19"/>
              </w:rPr>
              <w:t xml:space="preserve">Watch for the cluster to complete</w:t>
            </w:r>
          </w:p>
        </w:tc>
      </w:tr>
      <w:tr>
        <w:tc>
          <w:tcPr>
            <w:tcW w:type="dxa" w:w="2500"/>
            <w:tcMar>
              <w:top w:type="dxa" w:w="70"/>
              <w:left w:type="dxa" w:w="100"/>
              <w:bottom w:type="dxa" w:w="70"/>
              <w:right w:type="dxa" w:w="100"/>
            </w:tcMar>
          </w:tcPr>
          <w:p>
            <w:pPr>
              <w:spacing w:after="0" w:line="252"/>
            </w:pPr>
            <w:r>
              <w:rPr>
                <w:b w:val="false"/>
                <w:bCs w:val="false"/>
                <w:sz w:val="19"/>
                <w:szCs w:val="19"/>
              </w:rPr>
              <w:t xml:space="preserve">TIER 4</w:t>
            </w:r>
          </w:p>
        </w:tc>
        <w:tc>
          <w:tcPr>
            <w:tcW w:type="dxa" w:w="1900"/>
            <w:tcMar>
              <w:top w:type="dxa" w:w="70"/>
              <w:left w:type="dxa" w:w="100"/>
              <w:bottom w:type="dxa" w:w="70"/>
              <w:right w:type="dxa" w:w="100"/>
            </w:tcMar>
          </w:tcPr>
          <w:p>
            <w:pPr>
              <w:spacing w:after="0" w:line="252"/>
            </w:pPr>
            <w:r>
              <w:rPr>
                <w:b w:val="false"/>
                <w:bCs w:val="false"/>
                <w:sz w:val="19"/>
                <w:szCs w:val="19"/>
              </w:rPr>
              <w:t xml:space="preserve">&lt;20% or &lt;3 evaluable rules</w:t>
            </w:r>
          </w:p>
        </w:tc>
        <w:tc>
          <w:tcPr>
            <w:tcW w:type="dxa" w:w="4960"/>
            <w:tcMar>
              <w:top w:type="dxa" w:w="70"/>
              <w:left w:type="dxa" w:w="100"/>
              <w:bottom w:type="dxa" w:w="70"/>
              <w:right w:type="dxa" w:w="100"/>
            </w:tcMar>
          </w:tcPr>
          <w:p>
            <w:pPr>
              <w:spacing w:after="0" w:line="252"/>
            </w:pPr>
            <w:r>
              <w:rPr>
                <w:b w:val="false"/>
                <w:bCs w:val="false"/>
                <w:sz w:val="19"/>
                <w:szCs w:val="19"/>
              </w:rPr>
              <w:t xml:space="preserve">Ignore without guilt</w:t>
            </w:r>
          </w:p>
        </w:tc>
      </w:tr>
    </w:tbl>
    <w:p>
      <w:pPr>
        <w:spacing w:after="120" w:line="276"/>
      </w:pPr>
      <w:r>
        <w:rPr>
          <w:sz w:val="21"/>
          <w:szCs w:val="21"/>
        </w:rPr>
        <w:t xml:space="preserve"/>
      </w:r>
    </w:p>
    <w:p>
      <w:pPr>
        <w:spacing w:after="120" w:line="276"/>
      </w:pPr>
      <w:r>
        <w:rPr>
          <w:sz w:val="21"/>
          <w:szCs w:val="21"/>
        </w:rPr>
        <w:t xml:space="preserve">Buyers are identified free, in cost order: company /about and team pages → LinkedIn people search → Apollo free tier (name/title only) → email pattern inference (learn first.last@domain from one confirmed email, apply to colleagues, flag pattern_inferred until validated). Titles: CRO, SVP/VP Sales, VP/Head/Director RevOps primary; CCO, VP CS, CS Ops secondary — per the brief, CS is the ally, not the target.</w:t>
      </w:r>
    </w:p>
    <w:p>
      <w:pPr>
        <w:spacing w:after="90" w:before="220"/>
      </w:pPr>
      <w:r>
        <w:rPr>
          <w:b/>
          <w:bCs/>
          <w:color w:val="047857"/>
          <w:spacing w:val="20"/>
          <w:sz w:val="19"/>
          <w:szCs w:val="19"/>
        </w:rPr>
        <w:t xml:space="preserve">WHAT ACTUALLY HAPPENED IN THE LIVE RUN</w:t>
      </w:r>
    </w:p>
    <w:p>
      <w:pPr>
        <w:spacing w:after="120" w:line="276"/>
      </w:pPr>
      <w:r>
        <w:rPr>
          <w:sz w:val="21"/>
          <w:szCs w:val="21"/>
        </w:rPr>
        <w:t xml:space="preserve">115 candidates entered this stage. The hard filter — enforced in code, not just asserted — disqualified </w:t>
      </w:r>
      <w:r>
        <w:rPr>
          <w:b/>
          <w:bCs/>
          <w:sz w:val="21"/>
          <w:szCs w:val="21"/>
        </w:rPr>
        <w:t xml:space="preserve">7 accounts</w:t>
      </w:r>
      <w:r>
        <w:rPr>
          <w:sz w:val="21"/>
          <w:szCs w:val="21"/>
        </w:rPr>
        <w:t xml:space="preserve"> my own detectors had surfaced: </w:t>
      </w:r>
      <w:r>
        <w:rPr>
          <w:b/>
          <w:bCs/>
          <w:sz w:val="21"/>
          <w:szCs w:val="21"/>
        </w:rPr>
        <w:t xml:space="preserve">Rivian</w:t>
      </w:r>
      <w:r>
        <w:rPr>
          <w:sz w:val="21"/>
          <w:szCs w:val="21"/>
        </w:rPr>
        <w:t xml:space="preserve"> (layoff fired, but an EV maker), </w:t>
      </w:r>
      <w:r>
        <w:rPr>
          <w:b/>
          <w:bCs/>
          <w:sz w:val="21"/>
          <w:szCs w:val="21"/>
        </w:rPr>
        <w:t xml:space="preserve">Surf Air Mobility</w:t>
      </w:r>
      <w:r>
        <w:rPr>
          <w:sz w:val="21"/>
          <w:szCs w:val="21"/>
        </w:rPr>
        <w:t xml:space="preserve"> (aviation), </w:t>
      </w:r>
      <w:r>
        <w:rPr>
          <w:b/>
          <w:bCs/>
          <w:sz w:val="21"/>
          <w:szCs w:val="21"/>
        </w:rPr>
        <w:t xml:space="preserve">Skydio</w:t>
      </w:r>
      <w:r>
        <w:rPr>
          <w:sz w:val="21"/>
          <w:szCs w:val="21"/>
        </w:rPr>
        <w:t xml:space="preserve"> (drone hardware), </w:t>
      </w:r>
      <w:r>
        <w:rPr>
          <w:b/>
          <w:bCs/>
          <w:sz w:val="21"/>
          <w:szCs w:val="21"/>
        </w:rPr>
        <w:t xml:space="preserve">Patreon</w:t>
      </w:r>
      <w:r>
        <w:rPr>
          <w:sz w:val="21"/>
          <w:szCs w:val="21"/>
        </w:rPr>
        <w:t xml:space="preserve"> and </w:t>
      </w:r>
      <w:r>
        <w:rPr>
          <w:b/>
          <w:bCs/>
          <w:sz w:val="21"/>
          <w:szCs w:val="21"/>
        </w:rPr>
        <w:t xml:space="preserve">Whatnot</w:t>
      </w:r>
      <w:r>
        <w:rPr>
          <w:sz w:val="21"/>
          <w:szCs w:val="21"/>
        </w:rPr>
        <w:t xml:space="preserve"> (B2C), </w:t>
      </w:r>
      <w:r>
        <w:rPr>
          <w:b/>
          <w:bCs/>
          <w:sz w:val="21"/>
          <w:szCs w:val="21"/>
        </w:rPr>
        <w:t xml:space="preserve">ClarityQ</w:t>
      </w:r>
      <w:r>
        <w:rPr>
          <w:sz w:val="21"/>
          <w:szCs w:val="21"/>
        </w:rPr>
        <w:t xml:space="preserve"> (seed-stage), and </w:t>
      </w:r>
      <w:r>
        <w:rPr>
          <w:b/>
          <w:bCs/>
          <w:sz w:val="21"/>
          <w:szCs w:val="21"/>
        </w:rPr>
        <w:t xml:space="preserve">Interface</w:t>
      </w:r>
      <w:r>
        <w:rPr>
          <w:sz w:val="21"/>
          <w:szCs w:val="21"/>
        </w:rPr>
        <w:t xml:space="preserve"> — a carpet manufacturer that briefly rode a misattributed funding article to #1 before the news-title guard caught it. The board shows all 7 with their reason rather than deleting them. After filtering and scoring: </w:t>
      </w:r>
      <w:r>
        <w:rPr>
          <w:b/>
          <w:bCs/>
          <w:sz w:val="21"/>
          <w:szCs w:val="21"/>
        </w:rPr>
        <w:t xml:space="preserve">3 TIER 2 QUALIFIED and 3 TIER 3 MONITOR.</w:t>
      </w:r>
      <w:r>
        <w:rPr>
          <w:sz w:val="21"/>
          <w:szCs w:val="21"/>
        </w:rPr>
        <w:t xml:space="preserve"> Board: Cloudflare 27.97 (layoff + 8-K + 3-type cluster), Qualys 27.01 (security SaaS + 8-K + cluster), Trimble 26.58 (Gainsight + 8-K + cluster); then Chatwork 22.0, AppFolio 21.56, Hush 13.84. Email pattern inference filled ~90 addresses at zero cost; paid credits only on zero-contact accounts, capped at 4.</w:t>
      </w:r>
    </w:p>
    <w:p>
      <w:pPr>
        <w:spacing w:after="90" w:before="220"/>
      </w:pPr>
      <w:r>
        <w:rPr>
          <w:b/>
          <w:bCs/>
          <w:color w:val="047857"/>
          <w:spacing w:val="20"/>
          <w:sz w:val="19"/>
          <w:szCs w:val="19"/>
        </w:rPr>
        <w:t xml:space="preserve">WHAT FLOWS TO STAGE 3</w:t>
      </w:r>
    </w:p>
    <w:p>
      <w:pPr>
        <w:pBdr>
          <w:top w:val="single" w:color="047857" w:sz="6"/>
          <w:bottom w:val="single" w:color="047857" w:sz="6"/>
          <w:left w:val="single" w:color="047857" w:sz="6"/>
          <w:right w:val="single" w:color="047857" w:sz="6"/>
        </w:pBdr>
        <w:shd w:fill="ECFDF5" w:val="clear"/>
        <w:spacing w:after="160" w:line="264"/>
        <w:ind w:left="140" w:right="140"/>
      </w:pPr>
      <w:r>
        <w:rPr>
          <w:b/>
          <w:bCs/>
          <w:color w:val="047857"/>
          <w:sz w:val="20"/>
          <w:szCs w:val="20"/>
        </w:rPr>
        <w:t xml:space="preserve">HANDOFF → </w:t>
      </w:r>
      <w:r>
        <w:rPr>
          <w:sz w:val="20"/>
          <w:szCs w:val="20"/>
        </w:rPr>
        <w:t xml:space="preserve">For each account clearing the threshold (hard filters passed AND tier ≥ TIER 2 AND ≥2 independent citations AND a named primary-org buyer): the scoring trace — a JSON record of every fired rule with its why-text, citation URL, and date — plus the buyer’s name, title, and email status. The trace is not a summary for humans; it is the literal payload Stage 3 injects into the prompt. The threshold itself is the answer to "when do we spend AI credits": copy costs pennies, but a premature send costs domain reputation and a burned account — so the gate is evidence quality, not token budget.</w:t>
      </w:r>
    </w:p>
    <w:p>
      <w:r>
        <w:br w:type="page"/>
      </w:r>
    </w:p>
    <w:p>
      <w:pPr>
        <w:pStyle w:val="Heading1"/>
        <w:spacing w:after="60" w:before="360"/>
      </w:pPr>
      <w:r>
        <w:rPr>
          <w:b/>
          <w:bCs/>
          <w:color w:val="111827"/>
          <w:sz w:val="28"/>
          <w:szCs w:val="28"/>
        </w:rPr>
        <w:t xml:space="preserve">Stage 3 — Generate Personalized Copy</w:t>
      </w:r>
    </w:p>
    <w:p>
      <w:pPr>
        <w:spacing w:after="90" w:before="220"/>
      </w:pPr>
      <w:r>
        <w:rPr>
          <w:b/>
          <w:bCs/>
          <w:color w:val="047857"/>
          <w:spacing w:val="20"/>
          <w:sz w:val="19"/>
          <w:szCs w:val="19"/>
        </w:rPr>
        <w:t xml:space="preserve">WHAT HAPPENS IN THIS STAGE</w:t>
      </w:r>
    </w:p>
    <w:p>
      <w:pPr>
        <w:spacing w:after="120" w:line="276"/>
      </w:pPr>
      <w:r>
        <w:rPr>
          <w:sz w:val="21"/>
          <w:szCs w:val="21"/>
        </w:rPr>
        <w:t xml:space="preserve">The Stage-2 trace is injected verbatim into the copy prompt, together with product context written in quadsci.ai’s own language (Growth AI / Cohorts AI, 90%+ accuracy 9–18 months ahead of renewal, "grounded in real user behavior," telemetry vs. CRM-derived guesswork — and, because Gainsight/Clari/Pendo appear on the site as integration partners, the copy says "make your stack predictive," never "rip it out"). Generated copy must survive three mechanical gates before a human ever sees it: a </w:t>
      </w:r>
      <w:r>
        <w:rPr>
          <w:b/>
          <w:bCs/>
          <w:sz w:val="21"/>
          <w:szCs w:val="21"/>
        </w:rPr>
        <w:t xml:space="preserve">grounding gate</w:t>
      </w:r>
      <w:r>
        <w:rPr>
          <w:sz w:val="21"/>
          <w:szCs w:val="21"/>
        </w:rPr>
        <w:t xml:space="preserve"> (the body must quote a distinctive term from the evidence actually held), a </w:t>
      </w:r>
      <w:r>
        <w:rPr>
          <w:b/>
          <w:bCs/>
          <w:sz w:val="21"/>
          <w:szCs w:val="21"/>
        </w:rPr>
        <w:t xml:space="preserve">length gate</w:t>
      </w:r>
      <w:r>
        <w:rPr>
          <w:sz w:val="21"/>
          <w:szCs w:val="21"/>
        </w:rPr>
        <w:t xml:space="preserve">, and a </w:t>
      </w:r>
      <w:r>
        <w:rPr>
          <w:b/>
          <w:bCs/>
          <w:sz w:val="21"/>
          <w:szCs w:val="21"/>
        </w:rPr>
        <w:t xml:space="preserve">banned-vocabulary list</w:t>
      </w:r>
      <w:r>
        <w:rPr>
          <w:sz w:val="21"/>
          <w:szCs w:val="21"/>
        </w:rPr>
        <w:t xml:space="preserve">. Copy that fails is held back — visibly, in the queue, so a reviewer can see what the machine refused to fabricate.</w:t>
      </w:r>
    </w:p>
    <w:p>
      <w:pPr>
        <w:spacing w:after="120" w:line="276"/>
      </w:pPr>
      <w:r>
        <w:rPr>
          <w:b/>
          <w:bCs/>
          <w:sz w:val="21"/>
          <w:szCs w:val="21"/>
        </w:rPr>
        <w:t xml:space="preserve">Personalization at scale — what changes per account: </w:t>
      </w:r>
      <w:r>
        <w:rPr>
          <w:sz w:val="21"/>
          <w:szCs w:val="21"/>
        </w:rPr>
        <w:t xml:space="preserve">first name · company · verbatim signal evidence + dates · angle (selected by evidence type) · buyer-org framing (CRO org → Growth AI language; CPO/CMO → Cohorts AI) · proof point. </w:t>
      </w:r>
      <w:r>
        <w:rPr>
          <w:b/>
          <w:bCs/>
          <w:sz w:val="21"/>
          <w:szCs w:val="21"/>
        </w:rPr>
        <w:t xml:space="preserve">What stays templated: </w:t>
      </w:r>
      <w:r>
        <w:rPr>
          <w:sz w:val="21"/>
          <w:szCs w:val="21"/>
        </w:rPr>
        <w:t xml:space="preserve">structure, gates, banned vocabulary, cadence shape.</w:t>
      </w:r>
    </w:p>
    <w:p>
      <w:pPr>
        <w:pStyle w:val="Heading2"/>
        <w:spacing w:after="100" w:before="240"/>
      </w:pPr>
      <w:r>
        <w:rPr>
          <w:b/>
          <w:bCs/>
          <w:color w:val="7C3AED"/>
          <w:sz w:val="23"/>
          <w:szCs w:val="23"/>
        </w:rPr>
        <w:t xml:space="preserve">The prompt (full, verbatim — the production system prompt)</w:t>
      </w:r>
    </w:p>
    <w:p>
      <w:pPr>
        <w:shd w:fill="F1F5F9" w:val="clear"/>
        <w:spacing w:after="0" w:line="240"/>
        <w:ind w:left="200" w:right="200"/>
      </w:pPr>
      <w:r>
        <w:rPr>
          <w:rFonts w:ascii="Consolas" w:cs="Consolas" w:eastAsia="Consolas" w:hAnsi="Consolas"/>
          <w:sz w:val="16"/>
          <w:szCs w:val="16"/>
        </w:rPr>
        <w:t xml:space="preserve">You are a senior GTM engineer writing hyper-personalised cold email HOOKS.</w:t>
      </w:r>
    </w:p>
    <w:p>
      <w:pPr>
        <w:shd w:fill="F1F5F9" w:val="clear"/>
        <w:spacing w:after="0" w:line="240"/>
        <w:ind w:left="200" w:right="200"/>
      </w:pPr>
      <w:r>
        <w:rPr>
          <w:rFonts w:ascii="Consolas" w:cs="Consolas" w:eastAsia="Consolas" w:hAnsi="Consolas"/>
          <w:sz w:val="16"/>
          <w:szCs w:val="16"/>
        </w:rPr>
        <w:t xml:space="preserve">A hook is the opening 1-2 sentences only — not a full email. It earns the right to be read.</w:t>
      </w:r>
    </w:p>
    <w:p>
      <w:pPr>
        <w:shd w:fill="F1F5F9" w:val="clear"/>
        <w:spacing w:after="0" w:line="240"/>
        <w:ind w:left="200" w:right="200"/>
      </w:pPr>
      <w:r>
        <w:rPr>
          <w:rFonts w:ascii="Consolas" w:cs="Consolas" w:eastAsia="Consolas" w:hAnsi="Consolas"/>
          <w:sz w:val="16"/>
          <w:szCs w:val="16"/>
        </w:rPr>
        <w:t xml:space="preserve"/>
      </w:r>
    </w:p>
    <w:p>
      <w:pPr>
        <w:shd w:fill="F1F5F9" w:val="clear"/>
        <w:spacing w:after="0" w:line="240"/>
        <w:ind w:left="200" w:right="200"/>
      </w:pPr>
      <w:r>
        <w:rPr>
          <w:rFonts w:ascii="Consolas" w:cs="Consolas" w:eastAsia="Consolas" w:hAnsi="Consolas"/>
          <w:sz w:val="16"/>
          <w:szCs w:val="16"/>
        </w:rPr>
        <w:t xml:space="preserve">ICP RESEARCH (ground your angles in this):</w:t>
      </w:r>
    </w:p>
    <w:p>
      <w:pPr>
        <w:shd w:fill="F1F5F9" w:val="clear"/>
        <w:spacing w:after="0" w:line="240"/>
        <w:ind w:left="200" w:right="200"/>
      </w:pPr>
      <w:r>
        <w:rPr>
          <w:rFonts w:ascii="Consolas" w:cs="Consolas" w:eastAsia="Consolas" w:hAnsi="Consolas"/>
          <w:sz w:val="16"/>
          <w:szCs w:val="16"/>
        </w:rPr>
        <w:t xml:space="preserve">{icp_research}</w:t>
      </w:r>
    </w:p>
    <w:p>
      <w:pPr>
        <w:shd w:fill="F1F5F9" w:val="clear"/>
        <w:spacing w:after="0" w:line="240"/>
        <w:ind w:left="200" w:right="200"/>
      </w:pPr>
      <w:r>
        <w:rPr>
          <w:rFonts w:ascii="Consolas" w:cs="Consolas" w:eastAsia="Consolas" w:hAnsi="Consolas"/>
          <w:sz w:val="16"/>
          <w:szCs w:val="16"/>
        </w:rPr>
        <w:t xml:space="preserve"/>
      </w:r>
    </w:p>
    <w:p>
      <w:pPr>
        <w:shd w:fill="F1F5F9" w:val="clear"/>
        <w:spacing w:after="0" w:line="240"/>
        <w:ind w:left="200" w:right="200"/>
      </w:pPr>
      <w:r>
        <w:rPr>
          <w:rFonts w:ascii="Consolas" w:cs="Consolas" w:eastAsia="Consolas" w:hAnsi="Consolas"/>
          <w:sz w:val="16"/>
          <w:szCs w:val="16"/>
        </w:rPr>
        <w:t xml:space="preserve">HOOK RULES (non-negotiable):</w:t>
      </w:r>
    </w:p>
    <w:p>
      <w:pPr>
        <w:shd w:fill="F1F5F9" w:val="clear"/>
        <w:spacing w:after="0" w:line="240"/>
        <w:ind w:left="200" w:right="200"/>
      </w:pPr>
      <w:r>
        <w:rPr>
          <w:rFonts w:ascii="Consolas" w:cs="Consolas" w:eastAsia="Consolas" w:hAnsi="Consolas"/>
          <w:sz w:val="16"/>
          <w:szCs w:val="16"/>
        </w:rPr>
        <w:t xml:space="preserve">- EXACTLY ONE SENTENCE. Never more. Period.</w:t>
      </w:r>
    </w:p>
    <w:p>
      <w:pPr>
        <w:shd w:fill="F1F5F9" w:val="clear"/>
        <w:spacing w:after="0" w:line="240"/>
        <w:ind w:left="200" w:right="200"/>
      </w:pPr>
      <w:r>
        <w:rPr>
          <w:rFonts w:ascii="Consolas" w:cs="Consolas" w:eastAsia="Consolas" w:hAnsi="Consolas"/>
          <w:sz w:val="16"/>
          <w:szCs w:val="16"/>
        </w:rPr>
        <w:t xml:space="preserve">- The hook NAMES THE PROBLEM only. It does not solve it. It does not mention the product.</w:t>
      </w:r>
    </w:p>
    <w:p>
      <w:pPr>
        <w:shd w:fill="F1F5F9" w:val="clear"/>
        <w:spacing w:after="0" w:line="240"/>
        <w:ind w:left="200" w:right="200"/>
      </w:pPr>
      <w:r>
        <w:rPr>
          <w:rFonts w:ascii="Consolas" w:cs="Consolas" w:eastAsia="Consolas" w:hAnsi="Consolas"/>
          <w:sz w:val="16"/>
          <w:szCs w:val="16"/>
        </w:rPr>
        <w:t xml:space="preserve">- Start with their first name</w:t>
      </w:r>
    </w:p>
    <w:p>
      <w:pPr>
        <w:shd w:fill="F1F5F9" w:val="clear"/>
        <w:spacing w:after="0" w:line="240"/>
        <w:ind w:left="200" w:right="200"/>
      </w:pPr>
      <w:r>
        <w:rPr>
          <w:rFonts w:ascii="Consolas" w:cs="Consolas" w:eastAsia="Consolas" w:hAnsi="Consolas"/>
          <w:sz w:val="16"/>
          <w:szCs w:val="16"/>
        </w:rPr>
        <w:t xml:space="preserve">- Maximum 20 words after the name</w:t>
      </w:r>
    </w:p>
    <w:p>
      <w:pPr>
        <w:shd w:fill="F1F5F9" w:val="clear"/>
        <w:spacing w:after="0" w:line="240"/>
        <w:ind w:left="200" w:right="200"/>
      </w:pPr>
      <w:r>
        <w:rPr>
          <w:rFonts w:ascii="Consolas" w:cs="Consolas" w:eastAsia="Consolas" w:hAnsi="Consolas"/>
          <w:sz w:val="16"/>
          <w:szCs w:val="16"/>
        </w:rPr>
        <w:t xml:space="preserve">- Plain vocabulary — every word a 14-year-old understands</w:t>
      </w:r>
    </w:p>
    <w:p>
      <w:pPr>
        <w:shd w:fill="F1F5F9" w:val="clear"/>
        <w:spacing w:after="0" w:line="240"/>
        <w:ind w:left="200" w:right="200"/>
      </w:pPr>
      <w:r>
        <w:rPr>
          <w:rFonts w:ascii="Consolas" w:cs="Consolas" w:eastAsia="Consolas" w:hAnsi="Consolas"/>
          <w:sz w:val="16"/>
          <w:szCs w:val="16"/>
        </w:rPr>
        <w:t xml:space="preserve">- Pick ONE angle from these six tension categories:</w:t>
      </w:r>
    </w:p>
    <w:p>
      <w:pPr>
        <w:shd w:fill="F1F5F9" w:val="clear"/>
        <w:spacing w:after="0" w:line="240"/>
        <w:ind w:left="200" w:right="200"/>
      </w:pPr>
      <w:r>
        <w:rPr>
          <w:rFonts w:ascii="Consolas" w:cs="Consolas" w:eastAsia="Consolas" w:hAnsi="Consolas"/>
          <w:sz w:val="16"/>
          <w:szCs w:val="16"/>
        </w:rPr>
        <w:t xml:space="preserve">    Risk / Effort / Time / Cost / Identity / TwoTimelines</w:t>
      </w:r>
    </w:p>
    <w:p>
      <w:pPr>
        <w:shd w:fill="F1F5F9" w:val="clear"/>
        <w:spacing w:after="0" w:line="240"/>
        <w:ind w:left="200" w:right="200"/>
      </w:pPr>
      <w:r>
        <w:rPr>
          <w:rFonts w:ascii="Consolas" w:cs="Consolas" w:eastAsia="Consolas" w:hAnsi="Consolas"/>
          <w:sz w:val="16"/>
          <w:szCs w:val="16"/>
        </w:rPr>
        <w:t xml:space="preserve">- ANGLE SELECTION: TwoTimelines is ELIGIBLE ONLY IF the evidence itself is a peer-group or</w:t>
      </w:r>
    </w:p>
    <w:p>
      <w:pPr>
        <w:shd w:fill="F1F5F9" w:val="clear"/>
        <w:spacing w:after="0" w:line="240"/>
        <w:ind w:left="200" w:right="200"/>
      </w:pPr>
      <w:r>
        <w:rPr>
          <w:rFonts w:ascii="Consolas" w:cs="Consolas" w:eastAsia="Consolas" w:hAnsi="Consolas"/>
          <w:sz w:val="16"/>
          <w:szCs w:val="16"/>
        </w:rPr>
        <w:t xml:space="preserve">  industry-wide claim. If the evidence is a single fact about this one company only,</w:t>
      </w:r>
    </w:p>
    <w:p>
      <w:pPr>
        <w:shd w:fill="F1F5F9" w:val="clear"/>
        <w:spacing w:after="0" w:line="240"/>
        <w:ind w:left="200" w:right="200"/>
      </w:pPr>
      <w:r>
        <w:rPr>
          <w:rFonts w:ascii="Consolas" w:cs="Consolas" w:eastAsia="Consolas" w:hAnsi="Consolas"/>
          <w:sz w:val="16"/>
          <w:szCs w:val="16"/>
        </w:rPr>
        <w:t xml:space="preserve">  TwoTimelines is NOT ELIGIBLE — do not generalize a single-company fact into an invented</w:t>
      </w:r>
    </w:p>
    <w:p>
      <w:pPr>
        <w:shd w:fill="F1F5F9" w:val="clear"/>
        <w:spacing w:after="0" w:line="240"/>
        <w:ind w:left="200" w:right="200"/>
      </w:pPr>
      <w:r>
        <w:rPr>
          <w:rFonts w:ascii="Consolas" w:cs="Consolas" w:eastAsia="Consolas" w:hAnsi="Consolas"/>
          <w:sz w:val="16"/>
          <w:szCs w:val="16"/>
        </w:rPr>
        <w:t xml:space="preserve">  industry-wide pattern.</w:t>
      </w:r>
    </w:p>
    <w:p>
      <w:pPr>
        <w:shd w:fill="F1F5F9" w:val="clear"/>
        <w:spacing w:after="0" w:line="240"/>
        <w:ind w:left="200" w:right="200"/>
      </w:pPr>
      <w:r>
        <w:rPr>
          <w:rFonts w:ascii="Consolas" w:cs="Consolas" w:eastAsia="Consolas" w:hAnsi="Consolas"/>
          <w:sz w:val="16"/>
          <w:szCs w:val="16"/>
        </w:rPr>
        <w:t xml:space="preserve">- PHRASING: External villain — blame a shared enemy ("the spreadsheet," "the legacy</w:t>
      </w:r>
    </w:p>
    <w:p>
      <w:pPr>
        <w:shd w:fill="F1F5F9" w:val="clear"/>
        <w:spacing w:after="0" w:line="240"/>
        <w:ind w:left="200" w:right="200"/>
      </w:pPr>
      <w:r>
        <w:rPr>
          <w:rFonts w:ascii="Consolas" w:cs="Consolas" w:eastAsia="Consolas" w:hAnsi="Consolas"/>
          <w:sz w:val="16"/>
          <w:szCs w:val="16"/>
        </w:rPr>
        <w:t xml:space="preserve">  system"), never "you". BUT/THEREFORE structure, not AND — contrast reads as a real</w:t>
      </w:r>
    </w:p>
    <w:p>
      <w:pPr>
        <w:shd w:fill="F1F5F9" w:val="clear"/>
        <w:spacing w:after="0" w:line="240"/>
        <w:ind w:left="200" w:right="200"/>
      </w:pPr>
      <w:r>
        <w:rPr>
          <w:rFonts w:ascii="Consolas" w:cs="Consolas" w:eastAsia="Consolas" w:hAnsi="Consolas"/>
          <w:sz w:val="16"/>
          <w:szCs w:val="16"/>
        </w:rPr>
        <w:t xml:space="preserve">  observation; a flat list of facts reads dead.</w:t>
      </w:r>
    </w:p>
    <w:p>
      <w:pPr>
        <w:shd w:fill="F1F5F9" w:val="clear"/>
        <w:spacing w:after="0" w:line="240"/>
        <w:ind w:left="200" w:right="200"/>
      </w:pPr>
      <w:r>
        <w:rPr>
          <w:rFonts w:ascii="Consolas" w:cs="Consolas" w:eastAsia="Consolas" w:hAnsi="Consolas"/>
          <w:sz w:val="16"/>
          <w:szCs w:val="16"/>
        </w:rPr>
        <w:t xml:space="preserve">- GROUNDING: never invent a specific detail — a report name, a dollar figure, a deadline —</w:t>
      </w:r>
    </w:p>
    <w:p>
      <w:pPr>
        <w:shd w:fill="F1F5F9" w:val="clear"/>
        <w:spacing w:after="0" w:line="240"/>
        <w:ind w:left="200" w:right="200"/>
      </w:pPr>
      <w:r>
        <w:rPr>
          <w:rFonts w:ascii="Consolas" w:cs="Consolas" w:eastAsia="Consolas" w:hAnsi="Consolas"/>
          <w:sz w:val="16"/>
          <w:szCs w:val="16"/>
        </w:rPr>
        <w:t xml:space="preserve">  that is not present in the evidence given. A generic-but-true sentence beats a</w:t>
      </w:r>
    </w:p>
    <w:p>
      <w:pPr>
        <w:shd w:fill="F1F5F9" w:val="clear"/>
        <w:spacing w:after="0" w:line="240"/>
        <w:ind w:left="200" w:right="200"/>
      </w:pPr>
      <w:r>
        <w:rPr>
          <w:rFonts w:ascii="Consolas" w:cs="Consolas" w:eastAsia="Consolas" w:hAnsi="Consolas"/>
          <w:sz w:val="16"/>
          <w:szCs w:val="16"/>
        </w:rPr>
        <w:t xml:space="preserve">  specific-but-invented one; the invented one gets rejected downstream anyway.</w:t>
      </w:r>
    </w:p>
    <w:p>
      <w:pPr>
        <w:shd w:fill="F1F5F9" w:val="clear"/>
        <w:spacing w:after="0" w:line="240"/>
        <w:ind w:left="200" w:right="200"/>
      </w:pPr>
      <w:r>
        <w:rPr>
          <w:rFonts w:ascii="Consolas" w:cs="Consolas" w:eastAsia="Consolas" w:hAnsi="Consolas"/>
          <w:sz w:val="16"/>
          <w:szCs w:val="16"/>
        </w:rPr>
        <w:t xml:space="preserve">- SPECIFICITY: if the evidence contains an exact dollar figure, investor name, or proper</w:t>
      </w:r>
    </w:p>
    <w:p>
      <w:pPr>
        <w:shd w:fill="F1F5F9" w:val="clear"/>
        <w:spacing w:after="0" w:line="240"/>
        <w:ind w:left="200" w:right="200"/>
      </w:pPr>
      <w:r>
        <w:rPr>
          <w:rFonts w:ascii="Consolas" w:cs="Consolas" w:eastAsia="Consolas" w:hAnsi="Consolas"/>
          <w:sz w:val="16"/>
          <w:szCs w:val="16"/>
        </w:rPr>
        <w:t xml:space="preserve">  noun specific to THIS company, anchor on it — it should be obvious from the hook alone</w:t>
      </w:r>
    </w:p>
    <w:p>
      <w:pPr>
        <w:shd w:fill="F1F5F9" w:val="clear"/>
        <w:spacing w:after="0" w:line="240"/>
        <w:ind w:left="200" w:right="200"/>
      </w:pPr>
      <w:r>
        <w:rPr>
          <w:rFonts w:ascii="Consolas" w:cs="Consolas" w:eastAsia="Consolas" w:hAnsi="Consolas"/>
          <w:sz w:val="16"/>
          <w:szCs w:val="16"/>
        </w:rPr>
        <w:t xml:space="preserve">  which company it’s about.</w:t>
      </w:r>
    </w:p>
    <w:p>
      <w:pPr>
        <w:shd w:fill="F1F5F9" w:val="clear"/>
        <w:spacing w:after="0" w:line="240"/>
        <w:ind w:left="200" w:right="200"/>
      </w:pPr>
      <w:r>
        <w:rPr>
          <w:rFonts w:ascii="Consolas" w:cs="Consolas" w:eastAsia="Consolas" w:hAnsi="Consolas"/>
          <w:sz w:val="16"/>
          <w:szCs w:val="16"/>
        </w:rPr>
        <w:t xml:space="preserve">- NEVER use: "leverage", "synergy", "quick question", "I wanted to reach out",</w:t>
      </w:r>
    </w:p>
    <w:p>
      <w:pPr>
        <w:shd w:fill="F1F5F9" w:val="clear"/>
        <w:spacing w:after="0" w:line="240"/>
        <w:ind w:left="200" w:right="200"/>
      </w:pPr>
      <w:r>
        <w:rPr>
          <w:rFonts w:ascii="Consolas" w:cs="Consolas" w:eastAsia="Consolas" w:hAnsi="Consolas"/>
          <w:sz w:val="16"/>
          <w:szCs w:val="16"/>
        </w:rPr>
        <w:t xml:space="preserve">  "love what you’re building", "hope this finds you", "just checking in"</w:t>
      </w:r>
    </w:p>
    <w:p>
      <w:pPr>
        <w:shd w:fill="F1F5F9" w:val="clear"/>
        <w:spacing w:after="0" w:line="240"/>
        <w:ind w:left="200" w:right="200"/>
      </w:pPr>
      <w:r>
        <w:rPr>
          <w:rFonts w:ascii="Consolas" w:cs="Consolas" w:eastAsia="Consolas" w:hAnsi="Consolas"/>
          <w:sz w:val="16"/>
          <w:szCs w:val="16"/>
        </w:rPr>
        <w:t xml:space="preserve">- Subject line: under 8 words, no question mark, no exclamation mark</w:t>
      </w:r>
    </w:p>
    <w:p>
      <w:pPr>
        <w:spacing w:after="120"/>
      </w:pPr>
      <w:r>
        <w:rPr>
          <w:sz w:val="21"/>
          <w:szCs w:val="21"/>
        </w:rPr>
        <w:t xml:space="preserve"/>
      </w:r>
    </w:p>
    <w:p>
      <w:pPr>
        <w:spacing w:after="90" w:before="220"/>
      </w:pPr>
      <w:r>
        <w:rPr>
          <w:b/>
          <w:bCs/>
          <w:color w:val="047857"/>
          <w:spacing w:val="20"/>
          <w:sz w:val="19"/>
          <w:szCs w:val="19"/>
        </w:rPr>
        <w:t xml:space="preserve">WHAT ACTUALLY HAPPENED IN THE LIVE RUN</w:t>
      </w:r>
    </w:p>
    <w:p>
      <w:pPr>
        <w:spacing w:after="120" w:line="276"/>
      </w:pPr>
      <w:r>
        <w:rPr>
          <w:b/>
          <w:bCs/>
          <w:sz w:val="21"/>
          <w:szCs w:val="21"/>
        </w:rPr>
        <w:t xml:space="preserve">Worked example — </w:t>
      </w:r>
      <w:r>
        <w:rPr>
          <w:sz w:val="21"/>
          <w:szCs w:val="21"/>
        </w:rPr>
        <w:t xml:space="preserve">Account: Chatwork, Tokyo-listed B2B SaaS (workplace messaging), ~350 employees, existing Sales and CS orgs — passes every hard filter. Signals fired: the Pendo customer-wall removal (with before/after archive links) corroborated by hiring activity. Buyer: Yasuyuki Iwata, Head of Sales &amp; Customer Success. The pipeline generated:</w:t>
      </w:r>
    </w:p>
    <w:p>
      <w:pPr>
        <w:spacing w:after="120" w:line="276"/>
      </w:pPr>
      <w:r>
        <w:rPr>
          <w:b/>
          <w:bCs/>
          <w:sz w:val="21"/>
          <w:szCs w:val="21"/>
        </w:rPr>
        <w:t xml:space="preserve">The full 5-touch sequence — the complete outbound, not just the opener:</w:t>
      </w:r>
    </w:p>
    <w:p>
      <w:pPr>
        <w:pBdr>
          <w:left w:val="single" w:color="7C3AED" w:sz="18"/>
        </w:pBdr>
        <w:shd w:fill="F5F3FF" w:val="clear"/>
        <w:spacing w:after="100" w:line="276"/>
        <w:ind w:left="300"/>
      </w:pPr>
      <w:r>
        <w:rPr>
          <w:b/>
          <w:bCs/>
          <w:sz w:val="21"/>
          <w:szCs w:val="21"/>
        </w:rPr>
        <w:t xml:space="preserve">Day 1 · Email — "Pendo’s blind spot"</w:t>
      </w:r>
    </w:p>
    <w:p>
      <w:pPr>
        <w:pBdr>
          <w:left w:val="single" w:color="7C3AED" w:sz="18"/>
        </w:pBdr>
        <w:shd w:fill="F5F3FF" w:val="clear"/>
        <w:spacing w:after="100" w:line="276"/>
        <w:ind w:left="300"/>
      </w:pPr>
      <w:r>
        <w:rPr>
          <w:sz w:val="21"/>
          <w:szCs w:val="21"/>
        </w:rPr>
        <w:t xml:space="preserve">Yasuyuki, Pendo records what happened but can’t predict what’s coming with your customers.</w:t>
      </w:r>
    </w:p>
    <w:p>
      <w:pPr>
        <w:pBdr>
          <w:left w:val="single" w:color="7C3AED" w:sz="18"/>
        </w:pBdr>
        <w:shd w:fill="F5F3FF" w:val="clear"/>
        <w:spacing w:after="100" w:line="276"/>
        <w:ind w:left="300"/>
      </w:pPr>
      <w:r>
        <w:rPr>
          <w:b/>
          <w:bCs/>
          <w:sz w:val="21"/>
          <w:szCs w:val="21"/>
        </w:rPr>
        <w:t xml:space="preserve">Day 3 · LinkedIn connect</w:t>
      </w:r>
    </w:p>
    <w:p>
      <w:pPr>
        <w:pBdr>
          <w:left w:val="single" w:color="7C3AED" w:sz="18"/>
        </w:pBdr>
        <w:shd w:fill="F5F3FF" w:val="clear"/>
        <w:spacing w:after="100" w:line="276"/>
        <w:ind w:left="300"/>
      </w:pPr>
      <w:r>
        <w:rPr>
          <w:sz w:val="21"/>
          <w:szCs w:val="21"/>
        </w:rPr>
        <w:t xml:space="preserve">Yasuyuki, great to connect! Chatwork’s team collaboration platform is impressive.</w:t>
      </w:r>
    </w:p>
    <w:p>
      <w:pPr>
        <w:pBdr>
          <w:left w:val="single" w:color="7C3AED" w:sz="18"/>
        </w:pBdr>
        <w:shd w:fill="F5F3FF" w:val="clear"/>
        <w:spacing w:after="100" w:line="276"/>
        <w:ind w:left="300"/>
      </w:pPr>
      <w:r>
        <w:rPr>
          <w:b/>
          <w:bCs/>
          <w:sz w:val="21"/>
          <w:szCs w:val="21"/>
        </w:rPr>
        <w:t xml:space="preserve">Day 5 · Email — "Predicting customer growth"</w:t>
      </w:r>
    </w:p>
    <w:p>
      <w:pPr>
        <w:pBdr>
          <w:left w:val="single" w:color="7C3AED" w:sz="18"/>
        </w:pBdr>
        <w:shd w:fill="F5F3FF" w:val="clear"/>
        <w:spacing w:after="100" w:line="276"/>
        <w:ind w:left="300"/>
      </w:pPr>
      <w:r>
        <w:rPr>
          <w:sz w:val="21"/>
          <w:szCs w:val="21"/>
        </w:rPr>
        <w:t xml:space="preserve">Yasuyuki, QuadSci’s Growth AI helps Chatwork forecast customer growth and churn 9–18 months in advance by analyzing real user-behavior telemetry. Worth 15 minutes to see how QuadSci handles this?</w:t>
      </w:r>
    </w:p>
    <w:p>
      <w:pPr>
        <w:pBdr>
          <w:left w:val="single" w:color="7C3AED" w:sz="18"/>
        </w:pBdr>
        <w:shd w:fill="F5F3FF" w:val="clear"/>
        <w:spacing w:after="100" w:line="276"/>
        <w:ind w:left="300"/>
      </w:pPr>
      <w:r>
        <w:rPr>
          <w:b/>
          <w:bCs/>
          <w:sz w:val="21"/>
          <w:szCs w:val="21"/>
        </w:rPr>
        <w:t xml:space="preserve">Day 8 · LinkedIn message</w:t>
      </w:r>
    </w:p>
    <w:p>
      <w:pPr>
        <w:pBdr>
          <w:left w:val="single" w:color="7C3AED" w:sz="18"/>
        </w:pBdr>
        <w:shd w:fill="F5F3FF" w:val="clear"/>
        <w:spacing w:after="100" w:line="276"/>
        <w:ind w:left="300"/>
      </w:pPr>
      <w:r>
        <w:rPr>
          <w:sz w:val="21"/>
          <w:szCs w:val="21"/>
        </w:rPr>
        <w:t xml:space="preserve">Yasuyuki, thanks for connecting. Are you currently using any predictive analytics for your customer growth strategy?</w:t>
      </w:r>
    </w:p>
    <w:p>
      <w:pPr>
        <w:pBdr>
          <w:left w:val="single" w:color="7C3AED" w:sz="18"/>
        </w:pBdr>
        <w:shd w:fill="F5F3FF" w:val="clear"/>
        <w:spacing w:after="100" w:line="276"/>
        <w:ind w:left="300"/>
      </w:pPr>
      <w:r>
        <w:rPr>
          <w:b/>
          <w:bCs/>
          <w:sz w:val="21"/>
          <w:szCs w:val="21"/>
        </w:rPr>
        <w:t xml:space="preserve">Day 12 · Email — "Closing the loop"</w:t>
      </w:r>
    </w:p>
    <w:p>
      <w:pPr>
        <w:pBdr>
          <w:left w:val="single" w:color="7C3AED" w:sz="18"/>
        </w:pBdr>
        <w:shd w:fill="F5F3FF" w:val="clear"/>
        <w:spacing w:after="100" w:line="276"/>
        <w:ind w:left="300"/>
      </w:pPr>
      <w:r>
        <w:rPr>
          <w:sz w:val="21"/>
          <w:szCs w:val="21"/>
        </w:rPr>
        <w:t xml:space="preserve">Yasuyuki, if predictive customer intelligence isn’t a priority right now, I understand. No need to respond if this isn’t the right time.</w:t>
      </w:r>
    </w:p>
    <w:p>
      <w:pPr>
        <w:spacing w:after="120" w:line="276"/>
      </w:pPr>
      <w:r>
        <w:rPr>
          <w:sz w:val="21"/>
          <w:szCs w:val="21"/>
        </w:rPr>
        <w:t xml:space="preserve">The signal is the first line; the site’s differentiator (telemetry that predicts vs. tooling that records) is the tension. The product is named only on Day 5, in QuadSci’s own language — Growth AI, 9–18 months ahead, real user-behavior telemetry — followed by one concrete ask. No line here could be sent by another vendor.</w:t>
      </w:r>
    </w:p>
    <w:p>
      <w:pPr>
        <w:spacing w:after="120" w:line="276"/>
      </w:pPr>
      <w:r>
        <w:rPr>
          <w:b/>
          <w:bCs/>
          <w:sz w:val="21"/>
          <w:szCs w:val="21"/>
        </w:rPr>
        <w:t xml:space="preserve">The iteration history (all real, all in git):</w:t>
      </w:r>
    </w:p>
    <w:p>
      <w:pPr>
        <w:pStyle w:val="ListParagraph"/>
        <w:numPr>
          <w:ilvl w:val="0"/>
          <w:numId w:val="4"/>
        </w:numPr>
        <w:spacing w:after="80" w:line="264"/>
      </w:pPr>
      <w:r>
        <w:rPr>
          <w:b/>
          <w:bCs/>
          <w:sz w:val="21"/>
          <w:szCs w:val="21"/>
        </w:rPr>
        <w:t xml:space="preserve">Ungrounded copy shipped. </w:t>
      </w:r>
      <w:r>
        <w:rPr>
          <w:sz w:val="21"/>
          <w:szCs w:val="21"/>
        </w:rPr>
        <w:t xml:space="preserve">Early hooks read plausibly but quoted nothing from the evidence. The grounding gate was added.</w:t>
      </w:r>
    </w:p>
    <w:p>
      <w:pPr>
        <w:pStyle w:val="ListParagraph"/>
        <w:numPr>
          <w:ilvl w:val="0"/>
          <w:numId w:val="4"/>
        </w:numPr>
        <w:spacing w:after="80" w:line="264"/>
      </w:pPr>
      <w:r>
        <w:rPr>
          <w:b/>
          <w:bCs/>
          <w:sz w:val="21"/>
          <w:szCs w:val="21"/>
        </w:rPr>
        <w:t xml:space="preserve">The gate cheated. </w:t>
      </w:r>
      <w:r>
        <w:rPr>
          <w:sz w:val="21"/>
          <w:szCs w:val="21"/>
        </w:rPr>
        <w:t xml:space="preserve">A hook passed grounding by matching the contact’s own first name ("casey"). Name tokens are now stripped before the check, and generic GTM vocabulary ("your recent funding round") is blocklisted — it reads identically for any funded company.</w:t>
      </w:r>
    </w:p>
    <w:p>
      <w:pPr>
        <w:pStyle w:val="ListParagraph"/>
        <w:numPr>
          <w:ilvl w:val="0"/>
          <w:numId w:val="4"/>
        </w:numPr>
        <w:spacing w:after="80" w:line="264"/>
      </w:pPr>
      <w:r>
        <w:rPr>
          <w:b/>
          <w:bCs/>
          <w:sz w:val="21"/>
          <w:szCs w:val="21"/>
        </w:rPr>
        <w:t xml:space="preserve">A three-word email nearly went out. </w:t>
      </w:r>
      <w:r>
        <w:rPr>
          <w:sz w:val="21"/>
          <w:szCs w:val="21"/>
        </w:rPr>
        <w:t xml:space="preserve">The one-sentence enforcer cut at the first period — including the decimal in "$3.7M raise" — shipping "Casey, your $3." as a complete body. Fixed the sentence-boundary regex; added a minimum-length gate. Regenerated: "Casey, your $3.7M raise means investors will scrutinize how AI turns usage into retention."</w:t>
      </w:r>
    </w:p>
    <w:p>
      <w:pPr>
        <w:pStyle w:val="ListParagraph"/>
        <w:numPr>
          <w:ilvl w:val="0"/>
          <w:numId w:val="4"/>
        </w:numPr>
        <w:spacing w:after="80" w:line="264"/>
      </w:pPr>
      <w:r>
        <w:rPr>
          <w:b/>
          <w:bCs/>
          <w:sz w:val="21"/>
          <w:szCs w:val="21"/>
        </w:rPr>
        <w:t xml:space="preserve">Truthful copy got held. </w:t>
      </w:r>
      <w:r>
        <w:rPr>
          <w:sz w:val="21"/>
          <w:szCs w:val="21"/>
        </w:rPr>
        <w:t xml:space="preserve">A Cloudflare hook wrote "the layoffs" where the evidence said "laid off 1,100 employees" — lexically different, semantically identical — and was held back. I kept the hold: false-positive holds are the acceptable failure direction. Semantic grounding via embeddings is on the with-more-budget list.</w:t>
      </w:r>
    </w:p>
    <w:p>
      <w:pPr>
        <w:pStyle w:val="ListParagraph"/>
        <w:numPr>
          <w:ilvl w:val="0"/>
          <w:numId w:val="4"/>
        </w:numPr>
        <w:spacing w:after="80" w:line="264"/>
      </w:pPr>
      <w:r>
        <w:rPr>
          <w:b/>
          <w:bCs/>
          <w:sz w:val="21"/>
          <w:szCs w:val="21"/>
        </w:rPr>
        <w:t xml:space="preserve">A generic-name account rode misattributed evidence to #1. </w:t>
      </w:r>
      <w:r>
        <w:rPr>
          <w:sz w:val="21"/>
          <w:szCs w:val="21"/>
        </w:rPr>
        <w:t xml:space="preserve">"Interface" scored top of the board on an "Aina Raises $5.5M" article — a different company whose blurb merely contained the word "interface." The news-corroboration pass credited any article matching a signal term without checking it was about the account. Fixed: the account’s own name must now appear in the article title before the signal counts. Interface then dropped out and the hard filter caught it as a carpet manufacturer.</w:t>
      </w:r>
    </w:p>
    <w:p>
      <w:pPr>
        <w:spacing w:after="120" w:line="276"/>
      </w:pPr>
      <w:r>
        <w:rPr>
          <w:sz w:val="21"/>
          <w:szCs w:val="21"/>
        </w:rPr>
        <w:t xml:space="preserve">A full audit of ~100 stored hooks after these fixes: 1 truncated body regenerated, 1 relabeled, </w:t>
      </w:r>
      <w:r>
        <w:rPr>
          <w:b/>
          <w:bCs/>
          <w:sz w:val="21"/>
          <w:szCs w:val="21"/>
        </w:rPr>
        <w:t xml:space="preserve">10 held back as genuinely ungrounded template copy.</w:t>
      </w:r>
    </w:p>
    <w:p>
      <w:pPr>
        <w:spacing w:after="90" w:before="220"/>
      </w:pPr>
      <w:r>
        <w:rPr>
          <w:b/>
          <w:bCs/>
          <w:color w:val="047857"/>
          <w:spacing w:val="20"/>
          <w:sz w:val="19"/>
          <w:szCs w:val="19"/>
        </w:rPr>
        <w:t xml:space="preserve">WHAT FLOWS TO STAGE 4</w:t>
      </w:r>
    </w:p>
    <w:p>
      <w:pPr>
        <w:pBdr>
          <w:top w:val="single" w:color="047857" w:sz="6"/>
          <w:bottom w:val="single" w:color="047857" w:sz="6"/>
          <w:left w:val="single" w:color="047857" w:sz="6"/>
          <w:right w:val="single" w:color="047857" w:sz="6"/>
        </w:pBdr>
        <w:shd w:fill="ECFDF5" w:val="clear"/>
        <w:spacing w:after="160" w:line="264"/>
        <w:ind w:left="140" w:right="140"/>
      </w:pPr>
      <w:r>
        <w:rPr>
          <w:b/>
          <w:bCs/>
          <w:color w:val="047857"/>
          <w:sz w:val="20"/>
          <w:szCs w:val="20"/>
        </w:rPr>
        <w:t xml:space="preserve">HANDOFF → </w:t>
      </w:r>
      <w:r>
        <w:rPr>
          <w:sz w:val="20"/>
          <w:szCs w:val="20"/>
        </w:rPr>
        <w:t xml:space="preserve">One staged row per approved contact: the hook + the 5-touch sequence (email → LinkedIn connect → email naming Growth AI → LinkedIn → breakup) + every gate result (grounded-on term, hold flags, regeneration history) + the inherited Stage-2 evidence trace. The copy never travels without the evidence that justified it.</w:t>
      </w:r>
    </w:p>
    <w:p>
      <w:r>
        <w:br w:type="page"/>
      </w:r>
    </w:p>
    <w:p>
      <w:pPr>
        <w:pStyle w:val="Heading1"/>
        <w:spacing w:after="60" w:before="360"/>
      </w:pPr>
      <w:r>
        <w:rPr>
          <w:b/>
          <w:bCs/>
          <w:color w:val="111827"/>
          <w:sz w:val="28"/>
          <w:szCs w:val="28"/>
        </w:rPr>
        <w:t xml:space="preserve">Stage 4 — Stage the Campaign</w:t>
      </w:r>
    </w:p>
    <w:p>
      <w:pPr>
        <w:spacing w:after="90" w:before="220"/>
      </w:pPr>
      <w:r>
        <w:rPr>
          <w:b/>
          <w:bCs/>
          <w:color w:val="047857"/>
          <w:spacing w:val="20"/>
          <w:sz w:val="19"/>
          <w:szCs w:val="19"/>
        </w:rPr>
        <w:t xml:space="preserve">WHAT HAPPENS IN THIS STAGE</w:t>
      </w:r>
    </w:p>
    <w:p>
      <w:pPr>
        <w:spacing w:after="120" w:line="276"/>
      </w:pPr>
      <w:r>
        <w:rPr>
          <w:sz w:val="21"/>
          <w:szCs w:val="21"/>
        </w:rPr>
        <w:t xml:space="preserve">A review queue (mine is a working web page; the design ports to a Google Sheet in an afternoon) where each row shows </w:t>
      </w:r>
      <w:r>
        <w:rPr>
          <w:b/>
          <w:bCs/>
          <w:sz w:val="21"/>
          <w:szCs w:val="21"/>
        </w:rPr>
        <w:t xml:space="preserve">the copy and the full evidence trace that produced it</w:t>
      </w:r>
      <w:r>
        <w:rPr>
          <w:sz w:val="21"/>
          <w:szCs w:val="21"/>
        </w:rPr>
        <w:t xml:space="preserve"> — fired signals, dates, links, score, tier, email-validation status. The reviewer judges the claim, not just the prose. On approve, the sequence exports to a free-tier sender or Apollo sequence. Routing policy — at cold start, </w:t>
      </w:r>
      <w:r>
        <w:rPr>
          <w:b/>
          <w:bCs/>
          <w:sz w:val="21"/>
          <w:szCs w:val="21"/>
        </w:rPr>
        <w:t xml:space="preserve">nothing auto-sends</w:t>
      </w:r>
      <w:r>
        <w:rPr>
          <w:sz w:val="21"/>
          <w:szCs w:val="21"/>
        </w:rPr>
        <w:t xml:space="preserve">; thresholds without reply data are guesses: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shd w:fill="EDE9FE" w:val="clear"/>
            <w:tcMar>
              <w:top w:type="dxa" w:w="70"/>
              <w:left w:type="dxa" w:w="100"/>
              <w:bottom w:type="dxa" w:w="70"/>
              <w:right w:type="dxa" w:w="100"/>
            </w:tcMar>
          </w:tcPr>
          <w:p>
            <w:pPr>
              <w:spacing w:after="0" w:line="252"/>
            </w:pPr>
            <w:r>
              <w:rPr>
                <w:b/>
                <w:bCs/>
                <w:sz w:val="19"/>
                <w:szCs w:val="19"/>
              </w:rPr>
              <w:t xml:space="preserve">Condition</w:t>
            </w:r>
          </w:p>
        </w:tc>
        <w:tc>
          <w:tcPr>
            <w:tcW w:type="dxa" w:w="2360"/>
            <w:shd w:fill="EDE9FE" w:val="clear"/>
            <w:tcMar>
              <w:top w:type="dxa" w:w="70"/>
              <w:left w:type="dxa" w:w="100"/>
              <w:bottom w:type="dxa" w:w="70"/>
              <w:right w:type="dxa" w:w="100"/>
            </w:tcMar>
          </w:tcPr>
          <w:p>
            <w:pPr>
              <w:spacing w:after="0" w:line="252"/>
            </w:pPr>
            <w:r>
              <w:rPr>
                <w:b/>
                <w:bCs/>
                <w:sz w:val="19"/>
                <w:szCs w:val="19"/>
              </w:rPr>
              <w:t xml:space="preserve">Route</w:t>
            </w:r>
          </w:p>
        </w:tc>
      </w:tr>
      <w:tr>
        <w:tc>
          <w:tcPr>
            <w:tcW w:type="dxa" w:w="7000"/>
            <w:tcMar>
              <w:top w:type="dxa" w:w="70"/>
              <w:left w:type="dxa" w:w="100"/>
              <w:bottom w:type="dxa" w:w="70"/>
              <w:right w:type="dxa" w:w="100"/>
            </w:tcMar>
          </w:tcPr>
          <w:p>
            <w:pPr>
              <w:spacing w:after="0" w:line="252"/>
            </w:pPr>
            <w:r>
              <w:rPr>
                <w:b w:val="false"/>
                <w:bCs w:val="false"/>
                <w:sz w:val="19"/>
                <w:szCs w:val="19"/>
              </w:rPr>
              <w:t xml:space="preserve">Copy passed all gates + tier ≥2 + ≥2 citations + validated email + below-C-level recipient</w:t>
            </w:r>
          </w:p>
        </w:tc>
        <w:tc>
          <w:tcPr>
            <w:tcW w:type="dxa" w:w="2360"/>
            <w:tcMar>
              <w:top w:type="dxa" w:w="70"/>
              <w:left w:type="dxa" w:w="100"/>
              <w:bottom w:type="dxa" w:w="70"/>
              <w:right w:type="dxa" w:w="100"/>
            </w:tcMar>
          </w:tcPr>
          <w:p>
            <w:pPr>
              <w:spacing w:after="0" w:line="252"/>
            </w:pPr>
            <w:r>
              <w:rPr>
                <w:b w:val="false"/>
                <w:bCs w:val="false"/>
                <w:sz w:val="19"/>
                <w:szCs w:val="19"/>
              </w:rPr>
              <w:t xml:space="preserve">Auto-send eligible</w:t>
            </w:r>
          </w:p>
        </w:tc>
      </w:tr>
      <w:tr>
        <w:tc>
          <w:tcPr>
            <w:tcW w:type="dxa" w:w="7000"/>
            <w:tcMar>
              <w:top w:type="dxa" w:w="70"/>
              <w:left w:type="dxa" w:w="100"/>
              <w:bottom w:type="dxa" w:w="70"/>
              <w:right w:type="dxa" w:w="100"/>
            </w:tcMar>
          </w:tcPr>
          <w:p>
            <w:pPr>
              <w:spacing w:after="0" w:line="252"/>
            </w:pPr>
            <w:r>
              <w:rPr>
                <w:b w:val="false"/>
                <w:bCs w:val="false"/>
                <w:sz w:val="19"/>
                <w:szCs w:val="19"/>
              </w:rPr>
              <w:t xml:space="preserve">C-level recipient</w:t>
            </w:r>
          </w:p>
        </w:tc>
        <w:tc>
          <w:tcPr>
            <w:tcW w:type="dxa" w:w="2360"/>
            <w:tcMar>
              <w:top w:type="dxa" w:w="70"/>
              <w:left w:type="dxa" w:w="100"/>
              <w:bottom w:type="dxa" w:w="70"/>
              <w:right w:type="dxa" w:w="100"/>
            </w:tcMar>
          </w:tcPr>
          <w:p>
            <w:pPr>
              <w:spacing w:after="0" w:line="252"/>
            </w:pPr>
            <w:r>
              <w:rPr>
                <w:b w:val="false"/>
                <w:bCs w:val="false"/>
                <w:sz w:val="19"/>
                <w:szCs w:val="19"/>
              </w:rPr>
              <w:t xml:space="preserve">Human review, always</w:t>
            </w:r>
          </w:p>
        </w:tc>
      </w:tr>
      <w:tr>
        <w:tc>
          <w:tcPr>
            <w:tcW w:type="dxa" w:w="7000"/>
            <w:tcMar>
              <w:top w:type="dxa" w:w="70"/>
              <w:left w:type="dxa" w:w="100"/>
              <w:bottom w:type="dxa" w:w="70"/>
              <w:right w:type="dxa" w:w="100"/>
            </w:tcMar>
          </w:tcPr>
          <w:p>
            <w:pPr>
              <w:spacing w:after="0" w:line="252"/>
            </w:pPr>
            <w:r>
              <w:rPr>
                <w:b w:val="false"/>
                <w:bCs w:val="false"/>
                <w:sz w:val="19"/>
                <w:szCs w:val="19"/>
              </w:rPr>
              <w:t xml:space="preserve">Copy derived from pain-language evidence (tone risk)</w:t>
            </w:r>
          </w:p>
        </w:tc>
        <w:tc>
          <w:tcPr>
            <w:tcW w:type="dxa" w:w="2360"/>
            <w:tcMar>
              <w:top w:type="dxa" w:w="70"/>
              <w:left w:type="dxa" w:w="100"/>
              <w:bottom w:type="dxa" w:w="70"/>
              <w:right w:type="dxa" w:w="100"/>
            </w:tcMar>
          </w:tcPr>
          <w:p>
            <w:pPr>
              <w:spacing w:after="0" w:line="252"/>
            </w:pPr>
            <w:r>
              <w:rPr>
                <w:b w:val="false"/>
                <w:bCs w:val="false"/>
                <w:sz w:val="19"/>
                <w:szCs w:val="19"/>
              </w:rPr>
              <w:t xml:space="preserve">Human review, always</w:t>
            </w:r>
          </w:p>
        </w:tc>
      </w:tr>
      <w:tr>
        <w:tc>
          <w:tcPr>
            <w:tcW w:type="dxa" w:w="7000"/>
            <w:tcMar>
              <w:top w:type="dxa" w:w="70"/>
              <w:left w:type="dxa" w:w="100"/>
              <w:bottom w:type="dxa" w:w="70"/>
              <w:right w:type="dxa" w:w="100"/>
            </w:tcMar>
          </w:tcPr>
          <w:p>
            <w:pPr>
              <w:spacing w:after="0" w:line="252"/>
            </w:pPr>
            <w:r>
              <w:rPr>
                <w:b w:val="false"/>
                <w:bCs w:val="false"/>
                <w:sz w:val="19"/>
                <w:szCs w:val="19"/>
              </w:rPr>
              <w:t xml:space="preserve">Pattern-inferred (unvalidated) email</w:t>
            </w:r>
          </w:p>
        </w:tc>
        <w:tc>
          <w:tcPr>
            <w:tcW w:type="dxa" w:w="2360"/>
            <w:tcMar>
              <w:top w:type="dxa" w:w="70"/>
              <w:left w:type="dxa" w:w="100"/>
              <w:bottom w:type="dxa" w:w="70"/>
              <w:right w:type="dxa" w:w="100"/>
            </w:tcMar>
          </w:tcPr>
          <w:p>
            <w:pPr>
              <w:spacing w:after="0" w:line="252"/>
            </w:pPr>
            <w:r>
              <w:rPr>
                <w:b w:val="false"/>
                <w:bCs w:val="false"/>
                <w:sz w:val="19"/>
                <w:szCs w:val="19"/>
              </w:rPr>
              <w:t xml:space="preserve">Human review</w:t>
            </w:r>
          </w:p>
        </w:tc>
      </w:tr>
      <w:tr>
        <w:tc>
          <w:tcPr>
            <w:tcW w:type="dxa" w:w="7000"/>
            <w:tcMar>
              <w:top w:type="dxa" w:w="70"/>
              <w:left w:type="dxa" w:w="100"/>
              <w:bottom w:type="dxa" w:w="70"/>
              <w:right w:type="dxa" w:w="100"/>
            </w:tcMar>
          </w:tcPr>
          <w:p>
            <w:pPr>
              <w:spacing w:after="0" w:line="252"/>
            </w:pPr>
            <w:r>
              <w:rPr>
                <w:b w:val="false"/>
                <w:bCs w:val="false"/>
                <w:sz w:val="19"/>
                <w:szCs w:val="19"/>
              </w:rPr>
              <w:t xml:space="preserve">Copy regenerated after a grounding hold</w:t>
            </w:r>
          </w:p>
        </w:tc>
        <w:tc>
          <w:tcPr>
            <w:tcW w:type="dxa" w:w="2360"/>
            <w:tcMar>
              <w:top w:type="dxa" w:w="70"/>
              <w:left w:type="dxa" w:w="100"/>
              <w:bottom w:type="dxa" w:w="70"/>
              <w:right w:type="dxa" w:w="100"/>
            </w:tcMar>
          </w:tcPr>
          <w:p>
            <w:pPr>
              <w:spacing w:after="0" w:line="252"/>
            </w:pPr>
            <w:r>
              <w:rPr>
                <w:b w:val="false"/>
                <w:bCs w:val="false"/>
                <w:sz w:val="19"/>
                <w:szCs w:val="19"/>
              </w:rPr>
              <w:t xml:space="preserve">Human review</w:t>
            </w:r>
          </w:p>
        </w:tc>
      </w:tr>
      <w:tr>
        <w:tc>
          <w:tcPr>
            <w:tcW w:type="dxa" w:w="7000"/>
            <w:tcMar>
              <w:top w:type="dxa" w:w="70"/>
              <w:left w:type="dxa" w:w="100"/>
              <w:bottom w:type="dxa" w:w="70"/>
              <w:right w:type="dxa" w:w="100"/>
            </w:tcMar>
          </w:tcPr>
          <w:p>
            <w:pPr>
              <w:spacing w:after="0" w:line="252"/>
            </w:pPr>
            <w:r>
              <w:rPr>
                <w:b w:val="false"/>
                <w:bCs w:val="false"/>
                <w:sz w:val="19"/>
                <w:szCs w:val="19"/>
              </w:rPr>
              <w:t xml:space="preserve">Graduation: a signal type earns auto-send only after ~50 reviewed sends with reply rate above baseline and zero misfires</w:t>
            </w:r>
          </w:p>
        </w:tc>
        <w:tc>
          <w:tcPr>
            <w:tcW w:type="dxa" w:w="2360"/>
            <w:tcMar>
              <w:top w:type="dxa" w:w="70"/>
              <w:left w:type="dxa" w:w="100"/>
              <w:bottom w:type="dxa" w:w="70"/>
              <w:right w:type="dxa" w:w="100"/>
            </w:tcMar>
          </w:tcPr>
          <w:p>
            <w:pPr>
              <w:spacing w:after="0" w:line="252"/>
            </w:pPr>
            <w:r>
              <w:rPr>
                <w:b w:val="false"/>
                <w:bCs w:val="false"/>
                <w:sz w:val="19"/>
                <w:szCs w:val="19"/>
              </w:rPr>
              <w:t xml:space="preserve">—</w:t>
            </w:r>
          </w:p>
        </w:tc>
      </w:tr>
    </w:tbl>
    <w:p>
      <w:pPr>
        <w:spacing w:after="120" w:line="276"/>
      </w:pPr>
      <w:r>
        <w:rPr>
          <w:sz w:val="21"/>
          <w:szCs w:val="21"/>
        </w:rPr>
        <w:t xml:space="preserve"/>
      </w:r>
    </w:p>
    <w:p>
      <w:pPr>
        <w:spacing w:after="90" w:before="220"/>
      </w:pPr>
      <w:r>
        <w:rPr>
          <w:b/>
          <w:bCs/>
          <w:color w:val="047857"/>
          <w:spacing w:val="20"/>
          <w:sz w:val="19"/>
          <w:szCs w:val="19"/>
        </w:rPr>
        <w:t xml:space="preserve">WHAT ACTUALLY HAPPENED IN THE LIVE RUN</w:t>
      </w:r>
    </w:p>
    <w:p>
      <w:pPr>
        <w:spacing w:after="120" w:line="276"/>
      </w:pPr>
      <w:r>
        <w:rPr>
          <w:sz w:val="21"/>
          <w:szCs w:val="21"/>
        </w:rPr>
        <w:t xml:space="preserve">The queue currently holds the approved sequences for the TIER 2 board, each row carrying its citations — EDGAR filings, archived customer-wall pages, live job posts, the layoffs tracker. Held-back copy is visible alongside, including the truthful-but-lexically-ungrounded Cloudflare hook: the gate working as designed, shown rather than hidden. Nothing has auto-sent, by policy.</w:t>
      </w:r>
    </w:p>
    <w:p>
      <w:pPr>
        <w:spacing w:after="90" w:before="220"/>
      </w:pPr>
      <w:r>
        <w:rPr>
          <w:b/>
          <w:bCs/>
          <w:color w:val="047857"/>
          <w:spacing w:val="20"/>
          <w:sz w:val="19"/>
          <w:szCs w:val="19"/>
        </w:rPr>
        <w:t xml:space="preserve">WHAT FLOWS BACK — CLOSING THE LOOP</w:t>
      </w:r>
    </w:p>
    <w:p>
      <w:pPr>
        <w:pBdr>
          <w:top w:val="single" w:color="047857" w:sz="6"/>
          <w:bottom w:val="single" w:color="047857" w:sz="6"/>
          <w:left w:val="single" w:color="047857" w:sz="6"/>
          <w:right w:val="single" w:color="047857" w:sz="6"/>
        </w:pBdr>
        <w:shd w:fill="ECFDF5" w:val="clear"/>
        <w:spacing w:after="160" w:line="264"/>
        <w:ind w:left="140" w:right="140"/>
      </w:pPr>
      <w:r>
        <w:rPr>
          <w:b/>
          <w:bCs/>
          <w:color w:val="047857"/>
          <w:sz w:val="20"/>
          <w:szCs w:val="20"/>
        </w:rPr>
        <w:t xml:space="preserve">FEEDBACK → </w:t>
      </w:r>
      <w:r>
        <w:rPr>
          <w:sz w:val="20"/>
          <w:szCs w:val="20"/>
        </w:rPr>
        <w:t xml:space="preserve">Every send logs reply / meeting / bounce per contact, tagged by the signal type that sourced the account (an outcomes table in the working system). Monthly: reply rate by signal type reweights the Stage-2 rubric — signal types whose clusters book meetings gain points; bounces trigger email-pattern re-learning; "not relevant" replies extend the hard-filter list. Detection → scoring → copy → outcome → detection. The loop is closed.</w:t>
      </w:r>
    </w:p>
    <w:p>
      <w:pPr>
        <w:pStyle w:val="Heading2"/>
        <w:spacing w:after="100" w:before="240"/>
      </w:pPr>
      <w:r>
        <w:rPr>
          <w:b/>
          <w:bCs/>
          <w:color w:val="7C3AED"/>
          <w:sz w:val="23"/>
          <w:szCs w:val="23"/>
        </w:rPr>
        <w:t xml:space="preserve">The biggest risk — and it already happened to me</w:t>
      </w:r>
    </w:p>
    <w:p>
      <w:pPr>
        <w:spacing w:after="120" w:line="276"/>
      </w:pPr>
      <w:r>
        <w:rPr>
          <w:b/>
          <w:bCs/>
          <w:sz w:val="21"/>
          <w:szCs w:val="21"/>
        </w:rPr>
        <w:t xml:space="preserve">Stale or misattributed public evidence producing a confidently wrong email. </w:t>
      </w:r>
      <w:r>
        <w:rPr>
          <w:sz w:val="21"/>
          <w:szCs w:val="21"/>
        </w:rPr>
        <w:t xml:space="preserve">Mid-build, my top-scored account (Skydio, 28.2 points) turned out to owe 10 of those points to a customer complaint posted in September 2020 — undated third-party evidence was bypassing every decay rule and scoring like it happened yesterday. I shipped a date gate the same day: all third-party pain evidence must carry a machine-readable publish date from its own page markup (the earliest date — the original post, not the last reply) and be under 18 months old; undated pages are dropped, not waved through. My #1 prospect fell ten points and two tiers, and the fix went in anyway. Residual mitigations: human review on all pain-derived copy, citations on every point, decay on every trigger.</w:t>
      </w:r>
    </w:p>
    <w:p>
      <w:pPr>
        <w:pStyle w:val="Heading2"/>
        <w:spacing w:after="100" w:before="240"/>
      </w:pPr>
      <w:r>
        <w:rPr>
          <w:b/>
          <w:bCs/>
          <w:color w:val="7C3AED"/>
          <w:sz w:val="23"/>
          <w:szCs w:val="23"/>
        </w:rPr>
        <w:t xml:space="preserve">Two more honest limits (things that don’t fully work yet)</w:t>
      </w:r>
    </w:p>
    <w:p>
      <w:pPr>
        <w:spacing w:after="120" w:line="276"/>
      </w:pPr>
      <w:r>
        <w:rPr>
          <w:b/>
          <w:bCs/>
          <w:sz w:val="21"/>
          <w:szCs w:val="21"/>
        </w:rPr>
        <w:t xml:space="preserve">"Existing CS and Sales team" is a manual check, not automated. </w:t>
      </w:r>
      <w:r>
        <w:rPr>
          <w:sz w:val="21"/>
          <w:szCs w:val="21"/>
        </w:rPr>
        <w:t xml:space="preserve">It’s in the hard-filter list, but free data won’t reliably tell me whether a 300-person SaaS company has a formal CS function — I’d have to eyeball the careers page or LinkedIn. So the code enforces size, stage, and non-SaaS-industry auto-disqualifiers; the GTM-structure filter is a reviewer step, not a guaranteed gate. I’d rather say that than pretend the machine checks it.</w:t>
      </w:r>
    </w:p>
    <w:p>
      <w:pPr>
        <w:spacing w:after="120" w:line="276"/>
      </w:pPr>
      <w:r>
        <w:rPr>
          <w:b/>
          <w:bCs/>
          <w:sz w:val="21"/>
          <w:szCs w:val="21"/>
        </w:rPr>
        <w:t xml:space="preserve">Company-name-only grounding can slip the copy gate. </w:t>
      </w:r>
      <w:r>
        <w:rPr>
          <w:sz w:val="21"/>
          <w:szCs w:val="21"/>
        </w:rPr>
        <w:t xml:space="preserve">The grounding check strips the contact’s first name but still counts the company name as a distinctive term — so a hook like "May, Qualys can’t predict customer churn until it’s too late" passes despite referencing no specific signal. That’s exactly the "could be sent by any vendor" failure the brief warns about. The fix is to require grounding on a signal term (the 8-K, the layoff, the removal), not just the account name — which would hold more hooks, but the survivors would all reference the actual event. It’s why my strongest worked example (Chatwork) grounds on the Pendo removal, and why Cloudflare/Trimble/AppFolio were correctly held.</w:t>
      </w:r>
    </w:p>
    <w:p>
      <w:pPr>
        <w:pStyle w:val="Heading2"/>
        <w:spacing w:after="100" w:before="240"/>
      </w:pPr>
      <w:r>
        <w:rPr>
          <w:b/>
          <w:bCs/>
          <w:color w:val="7C3AED"/>
          <w:sz w:val="23"/>
          <w:szCs w:val="23"/>
        </w:rPr>
        <w:t xml:space="preserve">With more budget or time</w:t>
      </w:r>
    </w:p>
    <w:p>
      <w:pPr>
        <w:spacing w:after="120" w:line="276"/>
      </w:pPr>
      <w:r>
        <w:rPr>
          <w:sz w:val="21"/>
          <w:szCs w:val="21"/>
        </w:rPr>
        <w:t xml:space="preserve">Semantic (embedding-based) grounding to cut false-positive holds · a firmographic data source for young private companies (site-copy classification; Wikidata coverage is thin) · reply-rate data before any auto-send graduates · productionizing the churn watch across more vendor walls (the AI-native competitors — Hook, Reef, Magnify — have no archive history yet; the watch accrues its own from day one) · LinkedIn Sales Navigator for buyer coverage where the free methods run dry.</w:t>
      </w:r>
    </w:p>
    <w:p>
      <w:pPr>
        <w:pStyle w:val="Heading1"/>
        <w:spacing w:after="60" w:before="360"/>
      </w:pPr>
      <w:r>
        <w:rPr>
          <w:b/>
          <w:bCs/>
          <w:color w:val="111827"/>
          <w:sz w:val="28"/>
          <w:szCs w:val="28"/>
        </w:rPr>
        <w:t xml:space="preserve">Appendix — live artifacts</w:t>
      </w:r>
    </w:p>
    <w:p>
      <w:pPr>
        <w:pStyle w:val="ListParagraph"/>
        <w:numPr>
          <w:ilvl w:val="0"/>
          <w:numId w:val="2"/>
        </w:numPr>
        <w:spacing w:after="80" w:line="264"/>
      </w:pPr>
      <w:r>
        <w:rPr>
          <w:sz w:val="21"/>
          <w:szCs w:val="21"/>
        </w:rPr>
        <w:t xml:space="preserve">Funnel: ~11,000 raw signals → 681 classified → 115 candidates → 7 hard-filtered → 108 scored → 6 TIER 2/3 actionable</w:t>
      </w:r>
    </w:p>
    <w:p>
      <w:pPr>
        <w:pStyle w:val="ListParagraph"/>
        <w:numPr>
          <w:ilvl w:val="0"/>
          <w:numId w:val="2"/>
        </w:numPr>
        <w:spacing w:after="80" w:line="264"/>
      </w:pPr>
      <w:r>
        <w:rPr>
          <w:sz w:val="21"/>
          <w:szCs w:val="21"/>
        </w:rPr>
        <w:t xml:space="preserve">TIER 2 — QUALIFIED (post hard-filter, post attribution-guard, post date-gate): Cloudflare 27.97 (May 2026 layoff of 1,100 + 8-K + 3-type cluster within 11 days) · Qualys 27.01 (SIC-classified security SaaS + 8-K + cluster) · Trimble 26.58 (Gainsight user + 8-K + cluster) — every point linked to EDGAR, the layoffs tracker, or a live job post</w:t>
      </w:r>
    </w:p>
    <w:p>
      <w:pPr>
        <w:pStyle w:val="ListParagraph"/>
        <w:numPr>
          <w:ilvl w:val="0"/>
          <w:numId w:val="2"/>
        </w:numPr>
        <w:spacing w:after="80" w:line="264"/>
      </w:pPr>
      <w:r>
        <w:rPr>
          <w:sz w:val="21"/>
          <w:szCs w:val="21"/>
        </w:rPr>
        <w:t xml:space="preserve">TIER 3 — MONITOR: Chatwork 22.0 (Pendo customer-wall removal) · AppFolio 21.56 (8-K + cluster, VP RevOps on file) · Hush 13.84</w:t>
      </w:r>
    </w:p>
    <w:p>
      <w:pPr>
        <w:pStyle w:val="ListParagraph"/>
        <w:numPr>
          <w:ilvl w:val="0"/>
          <w:numId w:val="2"/>
        </w:numPr>
        <w:spacing w:after="80" w:line="264"/>
      </w:pPr>
      <w:r>
        <w:rPr>
          <w:sz w:val="21"/>
          <w:szCs w:val="21"/>
        </w:rPr>
        <w:t xml:space="preserve">Cluster rule: fires only on ≥2 different signal types within 90 days of each other, window still live — two job posts are one hiring event, not a cluster</w:t>
      </w:r>
    </w:p>
    <w:p>
      <w:pPr>
        <w:pStyle w:val="ListParagraph"/>
        <w:numPr>
          <w:ilvl w:val="0"/>
          <w:numId w:val="2"/>
        </w:numPr>
        <w:spacing w:after="80" w:line="264"/>
      </w:pPr>
      <w:r>
        <w:rPr>
          <w:sz w:val="21"/>
          <w:szCs w:val="21"/>
        </w:rPr>
        <w:t xml:space="preserve">Churn watch live catch: Chatwork removed from Pendo’s customer wall (2024-09 → 2025-03, wall grew 118→127). Patreon was removed too but the hard filter disqualified it as B2C — the watch surfaces candidates, ICP discipline still governs.</w:t>
      </w:r>
    </w:p>
    <w:p>
      <w:pPr>
        <w:pStyle w:val="ListParagraph"/>
        <w:numPr>
          <w:ilvl w:val="0"/>
          <w:numId w:val="2"/>
        </w:numPr>
        <w:spacing w:after="80" w:line="264"/>
      </w:pPr>
      <w:r>
        <w:rPr>
          <w:sz w:val="21"/>
          <w:szCs w:val="21"/>
        </w:rPr>
        <w:t xml:space="preserve">7 accounts shown as DISQUALIFIED with reasons (Rivian, Surf Air, Skydio, Patreon, Whatnot, ClarityQ, Interface) — the hard filter is visible on the board, not hidden</w:t>
      </w:r>
    </w:p>
    <w:p>
      <w:pPr>
        <w:pStyle w:val="ListParagraph"/>
        <w:numPr>
          <w:ilvl w:val="0"/>
          <w:numId w:val="2"/>
        </w:numPr>
        <w:spacing w:after="80" w:line="264"/>
      </w:pPr>
      <w:r>
        <w:rPr>
          <w:sz w:val="21"/>
          <w:szCs w:val="21"/>
        </w:rPr>
        <w:t xml:space="preserve">Held-back copy left visible in the queue, including a truthful-but-lexically-ungrounded Cloudflare hook — the gate working as designed</w:t>
      </w:r>
    </w:p>
    <w:p>
      <w:pPr>
        <w:pStyle w:val="ListParagraph"/>
        <w:numPr>
          <w:ilvl w:val="0"/>
          <w:numId w:val="2"/>
        </w:numPr>
        <w:spacing w:after="80" w:line="264"/>
      </w:pPr>
      <w:r>
        <w:rPr>
          <w:sz w:val="21"/>
          <w:szCs w:val="21"/>
        </w:rPr>
        <w:t xml:space="preserve">Full 5-touch Chatwork sequence, scoring traces, and the complete prompt/iteration history available in the walkthrough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80" w:hanging="260"/>
      </w:pPr>
    </w:lvl>
  </w:abstractNum>
  <w:abstractNum w:abstractNumId="4" w15:restartNumberingAfterBreak="0">
    <w:multiLevelType w:val="hybridMultilevel"/>
    <w:lvl w:ilvl="0" w15:tentative="1">
      <w:start w:val="1"/>
      <w:numFmt w:val="decimal"/>
      <w:lvlText w:val="%1."/>
      <w:lvlJc w:val="star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2026-07-18T05:01:13.423Z</dcterms:created>
  <dcterms:modified xsi:type="dcterms:W3CDTF">2026-07-18T05:01:13.424Z</dcterms:modified>
</cp:coreProperties>
</file>

<file path=docProps/custom.xml><?xml version="1.0" encoding="utf-8"?>
<Properties xmlns="http://schemas.openxmlformats.org/officeDocument/2006/custom-properties" xmlns:vt="http://schemas.openxmlformats.org/officeDocument/2006/docPropsVTypes"/>
</file>