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Cover letter</w:t>
      </w:r>
    </w:p>
    <w:p>
      <w:pPr>
        <w:spacing w:after="240"/>
        <w:ind w:left="432"/>
      </w:pPr>
      <w:r>
        <w:rPr>
          <w:b/>
          <w:i/>
          <w:sz w:val="22"/>
        </w:rPr>
        <w:t>Before submitting, fill in every `[[ ... ]]` placeholder.</w:t>
      </w:r>
      <w:r>
        <w:rPr>
          <w:i/>
          <w:sz w:val="22"/>
        </w:rPr>
        <w:t xml:space="preserve"> Those are the items the author guide requires that cannot be taken from the manuscript: a phone number, an ORCID iD, and four to six suggested reviewers with email addresses. Suggested reviewers may not be at the same institution as any author, and ideally should span several continents.</w:t>
      </w:r>
    </w:p>
    <w:p>
      <w:pPr>
        <w:jc w:val="left"/>
      </w:pPr>
      <w:r>
        <w:rPr>
          <w:sz w:val="22"/>
        </w:rPr>
        <w:t>Jonathan V. Sweedler</w:t>
        <w:br/>
        <w:t xml:space="preserve">Editor-in-Chief, </w:t>
      </w:r>
      <w:r>
        <w:rPr>
          <w:i/>
          <w:sz w:val="22"/>
        </w:rPr>
        <w:t>Analytical Chemistry</w:t>
      </w:r>
      <w:r>
        <w:rPr>
          <w:sz w:val="22"/>
        </w:rPr>
        <w:br/>
        <w:t>Department of Chemistry, 63-5</w:t>
        <w:br/>
        <w:t>University of Illinois, Urbana, IL 61801</w:t>
        <w:br/>
        <w:t>eic@anchem.acs.org</w:t>
      </w:r>
    </w:p>
    <w:p>
      <w:pPr>
        <w:jc w:val="left"/>
      </w:pPr>
      <w:r>
        <w:rPr>
          <w:b/>
          <w:sz w:val="22"/>
          <w:highlight w:val="yellow"/>
        </w:rPr>
        <w:t>[DATE]</w:t>
      </w:r>
    </w:p>
    <w:p>
      <w:pPr>
        <w:jc w:val="left"/>
      </w:pPr>
      <w:r>
        <w:rPr>
          <w:sz w:val="22"/>
        </w:rPr>
        <w:t>Dear Professor Sweedler,</w:t>
      </w:r>
    </w:p>
    <w:p>
      <w:pPr>
        <w:pStyle w:val="Heading1"/>
      </w:pPr>
      <w:r>
        <w:rPr>
          <w:rFonts w:ascii="Times New Roman" w:hAnsi="Times New Roman"/>
          <w:sz w:val="24"/>
        </w:rPr>
        <w:t>Manuscript</w:t>
      </w:r>
    </w:p>
    <w:p>
      <w:pPr>
        <w:jc w:val="left"/>
      </w:pPr>
      <w:r>
        <w:rPr>
          <w:b/>
          <w:sz w:val="22"/>
        </w:rPr>
        <w:t>Title.</w:t>
      </w:r>
      <w:r>
        <w:rPr>
          <w:sz w:val="22"/>
        </w:rPr>
        <w:t xml:space="preserve"> Reading the whole corpus: a reproducible cross-sample Raman workflow for materials characterisation, with a spectral 3D Gaussian splatting representation for hyperspectral maps</w:t>
      </w:r>
    </w:p>
    <w:p>
      <w:pPr>
        <w:jc w:val="left"/>
      </w:pPr>
      <w:r>
        <w:rPr>
          <w:b/>
          <w:sz w:val="22"/>
        </w:rPr>
        <w:t>Manuscript type.</w:t>
      </w:r>
      <w:r>
        <w:rPr>
          <w:sz w:val="22"/>
        </w:rPr>
        <w:t xml:space="preserve"> Article</w:t>
      </w:r>
    </w:p>
    <w:p>
      <w:pPr>
        <w:jc w:val="left"/>
      </w:pPr>
      <w:r>
        <w:rPr>
          <w:sz w:val="22"/>
        </w:rPr>
        <w:t xml:space="preserve">I am pleased to submit this manuscript for consideration as an Article in </w:t>
      </w:r>
      <w:r>
        <w:rPr>
          <w:i/>
          <w:sz w:val="22"/>
        </w:rPr>
        <w:t>Analytical Chemistry</w:t>
      </w:r>
      <w:r>
        <w:rPr>
          <w:sz w:val="22"/>
        </w:rPr>
        <w:t>.</w:t>
      </w:r>
    </w:p>
    <w:p>
      <w:pPr>
        <w:pStyle w:val="Heading1"/>
      </w:pPr>
      <w:r>
        <w:rPr>
          <w:rFonts w:ascii="Times New Roman" w:hAnsi="Times New Roman"/>
          <w:sz w:val="24"/>
        </w:rPr>
        <w:t>Corresponding author</w:t>
      </w:r>
    </w:p>
    <w:p>
      <w:pPr>
        <w:jc w:val="left"/>
      </w:pPr>
      <w:r>
        <w:rPr>
          <w:sz w:val="22"/>
        </w:rPr>
        <w:t>Siddhartha Pahari</w:t>
        <w:br/>
        <w:t>Department of Chemical Engineering &amp; Applied Chemistry</w:t>
        <w:br/>
        <w:t>University of Toronto</w:t>
        <w:br/>
        <w:t>200 College Street, Toronto, ON M5S 3E5, Canada</w:t>
        <w:br/>
        <w:t>Email: siddhartha.pahari@mail.utoronto.ca</w:t>
        <w:br/>
        <w:t xml:space="preserve">Phone: </w:t>
      </w:r>
      <w:r>
        <w:rPr>
          <w:b/>
          <w:sz w:val="22"/>
          <w:highlight w:val="yellow"/>
        </w:rPr>
        <w:t>[PHONE NUMBER]</w:t>
      </w:r>
      <w:r>
        <w:rPr>
          <w:sz w:val="22"/>
        </w:rPr>
        <w:br/>
        <w:t xml:space="preserve">ORCID iD: </w:t>
      </w:r>
      <w:r>
        <w:rPr>
          <w:b/>
          <w:sz w:val="22"/>
          <w:highlight w:val="yellow"/>
        </w:rPr>
        <w:t>[ORCID iD]</w:t>
      </w:r>
    </w:p>
    <w:p>
      <w:pPr>
        <w:pStyle w:val="Heading1"/>
      </w:pPr>
      <w:r>
        <w:rPr>
          <w:rFonts w:ascii="Times New Roman" w:hAnsi="Times New Roman"/>
          <w:sz w:val="24"/>
        </w:rPr>
        <w:t>Other authors</w:t>
      </w:r>
    </w:p>
    <w:p>
      <w:pPr>
        <w:jc w:val="left"/>
      </w:pPr>
      <w:r>
        <w:rPr>
          <w:sz w:val="22"/>
        </w:rPr>
        <w:t>Jainish Shailesh Solanki</w:t>
        <w:br/>
        <w:t>Leslie Dan Faculty of Pharmacy, University of Toronto</w:t>
        <w:br/>
        <w:t>144 College Street, Toronto, ON M5S 3M2, Canada</w:t>
        <w:br/>
        <w:t>and Department of Mechanical and Industrial Engineering, University of Toronto</w:t>
        <w:br/>
        <w:t>5 King's College Road, Toronto, ON M5S 3G8, Canada</w:t>
        <w:br/>
        <w:t>Email: jainish.solanki@utoronto.ca</w:t>
        <w:br/>
        <w:t>Phone: +1 647 984 8616</w:t>
      </w:r>
    </w:p>
    <w:p>
      <w:pPr>
        <w:pStyle w:val="Heading1"/>
      </w:pPr>
      <w:r>
        <w:rPr>
          <w:rFonts w:ascii="Times New Roman" w:hAnsi="Times New Roman"/>
          <w:sz w:val="24"/>
        </w:rPr>
        <w:t>Why this paper is appropriate for Analytical Chemistry</w:t>
      </w:r>
    </w:p>
    <w:p>
      <w:pPr>
        <w:jc w:val="left"/>
      </w:pPr>
      <w:r>
        <w:rPr>
          <w:sz w:val="22"/>
        </w:rPr>
        <w:t>The paper is about chemical measurement science rather than about any one material. It makes three contributions that bear directly on how Raman measurements are turned into numbers.</w:t>
      </w:r>
    </w:p>
    <w:p>
      <w:pPr>
        <w:jc w:val="left"/>
      </w:pPr>
      <w:r>
        <w:rPr>
          <w:sz w:val="22"/>
        </w:rPr>
        <w:t>First, it removes a step that silently biases what gets analysed. Raman hyperspectral maps are routinely archived in an undocumented vendor container and reach analysis only through manual text export, so the analysable corpus is the subset somebody remembered to export. We reverse engineer the Horiba LabSpec 6 container and verify the decode bit identically against the instrument's own export. On the corpus studied here that takes the number of usable maps from one to twenty-three, which is the difference between a single-map case study and a cross-sample one.</w:t>
      </w:r>
    </w:p>
    <w:p>
      <w:pPr>
        <w:jc w:val="left"/>
      </w:pPr>
      <w:r>
        <w:rPr>
          <w:sz w:val="22"/>
        </w:rPr>
        <w:t>Second, it treats the preprocessing chain as part of the measurement rather than as a detail. Every metric edge in the cross-sample graph carries the protocol under which it was computed, and we show quantitatively why that matters: across eight maps and five defensible baseline families, the raw peak-height D/G ratio moves by a median of 81% of a map's own value and its traces cross, so the protocol can reorder two samples, while the bounded disorder index moves by 4.9%.</w:t>
      </w:r>
    </w:p>
    <w:p>
      <w:pPr>
        <w:jc w:val="left"/>
      </w:pPr>
      <w:r>
        <w:rPr>
          <w:sz w:val="22"/>
        </w:rPr>
        <w:t>Third, it introduces a compact differentiable representation of a hyperspectral map, a field of anisotropic ellipsoids in two spatial axes and wavenumber, fitted on closed-form gradients in NumPy on a CPU. The representation is evaluated against each map's own measurement noise rather than against PSNR alone, and we show that PSNR across maps mostly reports how noisily each map was measured (Pearson r = 0.83 against map signal-to-noise) rather than how well it was represented.</w:t>
      </w:r>
    </w:p>
    <w:p>
      <w:pPr>
        <w:jc w:val="left"/>
      </w:pPr>
      <w:r>
        <w:rPr>
          <w:sz w:val="22"/>
        </w:rPr>
        <w:t>The paper also reports, in a dedicated section, four defects that produced plausible numbers rather than errors, including a particle mask that selected the substrate on some maps and a similarity threshold that measured itself. We believe measurement-science readers will meet the same traps, and that reporting them is more useful than reporting only the results that survived.</w:t>
      </w:r>
    </w:p>
    <w:p>
      <w:pPr>
        <w:pStyle w:val="Heading1"/>
      </w:pPr>
      <w:r>
        <w:rPr>
          <w:rFonts w:ascii="Times New Roman" w:hAnsi="Times New Roman"/>
          <w:sz w:val="24"/>
        </w:rPr>
        <w:t>Supporting Information</w:t>
      </w:r>
    </w:p>
    <w:p>
      <w:pPr>
        <w:jc w:val="left"/>
      </w:pPr>
      <w:r>
        <w:rPr>
          <w:b/>
          <w:sz w:val="22"/>
        </w:rPr>
        <w:t>For publication.</w:t>
      </w:r>
      <w:r>
        <w:rPr>
          <w:sz w:val="22"/>
        </w:rPr>
        <w:t xml:space="preserve"> A single PDF containing: per-map reconstruction figures for every fitted acquisition, the full denoising benchmark table, corpus and knowledge-graph summary tables, and the preprocessing-ablation protocol details. Machine-readable tables, the knowledge graph in GraphML with an interactive browser view, the fitted fields and the anonymity-gate report are released with the code.</w:t>
      </w:r>
    </w:p>
    <w:p>
      <w:pPr>
        <w:jc w:val="left"/>
      </w:pPr>
      <w:r>
        <w:rPr>
          <w:b/>
          <w:sz w:val="22"/>
        </w:rPr>
        <w:t>For review only.</w:t>
      </w:r>
      <w:r>
        <w:rPr>
          <w:sz w:val="22"/>
        </w:rPr>
        <w:t xml:space="preserve"> None.</w:t>
      </w:r>
    </w:p>
    <w:p>
      <w:pPr>
        <w:pStyle w:val="Heading1"/>
      </w:pPr>
      <w:r>
        <w:rPr>
          <w:rFonts w:ascii="Times New Roman" w:hAnsi="Times New Roman"/>
          <w:sz w:val="24"/>
        </w:rPr>
        <w:t>Data and code availability</w:t>
      </w:r>
    </w:p>
    <w:p>
      <w:pPr>
        <w:jc w:val="left"/>
      </w:pPr>
      <w:r>
        <w:rPr>
          <w:sz w:val="22"/>
        </w:rPr>
        <w:t>The software, the pipeline, the anonymity gate and the manuscript's asset generator are released together at https://github.com/siddhartha18pahari/RAMANSP; every number in the paper is regenerated by running them. A companion site at https://ramanspjs.vercel.app carries the same material in browsable form, including the cross-sample knowledge graph as an interactive view rather than a static figure, every figure at full resolution, and the manuscript. The corpus is distributed in anonymised form only, and the identity map is withheld. Raw vendor binaries are not redistributable and are not included; the reader that decodes them is.</w:t>
      </w:r>
    </w:p>
    <w:p>
      <w:pPr>
        <w:pStyle w:val="Heading1"/>
      </w:pPr>
      <w:r>
        <w:rPr>
          <w:rFonts w:ascii="Times New Roman" w:hAnsi="Times New Roman"/>
          <w:sz w:val="24"/>
        </w:rPr>
        <w:t>Suggested reviewers</w:t>
      </w:r>
    </w:p>
    <w:p>
      <w:pPr>
        <w:jc w:val="left"/>
      </w:pPr>
      <w:r>
        <w:rPr>
          <w:b/>
          <w:sz w:val="22"/>
          <w:highlight w:val="yellow"/>
        </w:rPr>
        <w:t>[Four to six reviewers, none at the University of Toronto, with affiliation and email. Candidate areas: Raman spectroscopy software and chemometrics; hyperspectral image analysis; carbon-materials Raman characterisation; differentiable rendering or neural scene representations applied to scientific imaging.]</w:t>
      </w:r>
    </w:p>
    <w:p>
      <w:pPr>
        <w:pStyle w:val="ListNumber"/>
      </w:pPr>
      <w:r>
        <w:rPr>
          <w:b/>
          <w:sz w:val="22"/>
          <w:highlight w:val="yellow"/>
        </w:rPr>
        <w:t>[Name, affiliation, email]</w:t>
      </w:r>
    </w:p>
    <w:p>
      <w:pPr>
        <w:pStyle w:val="ListNumber"/>
      </w:pPr>
      <w:r>
        <w:rPr>
          <w:b/>
          <w:sz w:val="22"/>
          <w:highlight w:val="yellow"/>
        </w:rPr>
        <w:t>[Name, affiliation, email]</w:t>
      </w:r>
    </w:p>
    <w:p>
      <w:pPr>
        <w:pStyle w:val="ListNumber"/>
      </w:pPr>
      <w:r>
        <w:rPr>
          <w:b/>
          <w:sz w:val="22"/>
          <w:highlight w:val="yellow"/>
        </w:rPr>
        <w:t>[Name, affiliation, email]</w:t>
      </w:r>
    </w:p>
    <w:p>
      <w:pPr>
        <w:pStyle w:val="ListNumber"/>
      </w:pPr>
      <w:r>
        <w:rPr>
          <w:b/>
          <w:sz w:val="22"/>
          <w:highlight w:val="yellow"/>
        </w:rPr>
        <w:t>[Name, affiliation, email]</w:t>
      </w:r>
    </w:p>
    <w:p>
      <w:pPr>
        <w:pStyle w:val="Heading1"/>
      </w:pPr>
      <w:r>
        <w:rPr>
          <w:rFonts w:ascii="Times New Roman" w:hAnsi="Times New Roman"/>
          <w:sz w:val="24"/>
        </w:rPr>
        <w:t>Prior or related work to disclose</w:t>
      </w:r>
    </w:p>
    <w:p>
      <w:pPr>
        <w:jc w:val="left"/>
      </w:pPr>
      <w:r>
        <w:rPr>
          <w:sz w:val="22"/>
        </w:rPr>
        <w:t xml:space="preserve">This manuscript has not been published and is not under consideration elsewhere. </w:t>
      </w:r>
      <w:r>
        <w:rPr>
          <w:b/>
          <w:sz w:val="22"/>
          <w:highlight w:val="yellow"/>
        </w:rPr>
        <w:t>[If any part has been deposited on a preprint server, state the server and give the link here, and describe how the manuscript has been adjusted since deposition. If not, state: No part of this work has been deposited on a preprint server.]</w:t>
      </w:r>
    </w:p>
    <w:p>
      <w:pPr>
        <w:pStyle w:val="Heading1"/>
      </w:pPr>
      <w:r>
        <w:rPr>
          <w:rFonts w:ascii="Times New Roman" w:hAnsi="Times New Roman"/>
          <w:sz w:val="24"/>
        </w:rPr>
        <w:t>Length</w:t>
      </w:r>
    </w:p>
    <w:p>
      <w:pPr>
        <w:jc w:val="left"/>
      </w:pPr>
      <w:r>
        <w:rPr>
          <w:sz w:val="22"/>
        </w:rPr>
        <w:t>The manuscript body is approximately 9,900 words, within the 10,000-word limit for an Article.</w:t>
      </w:r>
    </w:p>
    <w:p>
      <w:pPr>
        <w:pStyle w:val="Heading1"/>
      </w:pPr>
      <w:r>
        <w:rPr>
          <w:rFonts w:ascii="Times New Roman" w:hAnsi="Times New Roman"/>
          <w:sz w:val="24"/>
        </w:rPr>
        <w:t>Use of AI tools</w:t>
      </w:r>
    </w:p>
    <w:p>
      <w:pPr>
        <w:jc w:val="left"/>
      </w:pPr>
      <w:r>
        <w:rPr>
          <w:sz w:val="22"/>
        </w:rPr>
        <w:t>An AI coding assistant was used in developing the software and in drafting and revising the manuscript. This is disclosed in the Acknowledgments section, as the author guide requires. All analytical choices, reported numbers and conclusions were checked by the authors against the released code and its outputs, and the authors take full responsibility for the content.</w:t>
      </w:r>
    </w:p>
    <w:p>
      <w:pPr>
        <w:jc w:val="left"/>
      </w:pPr>
      <w:r>
        <w:rPr>
          <w:sz w:val="22"/>
        </w:rPr>
        <w:t>Thank you for considering this manuscript.</w:t>
      </w:r>
    </w:p>
    <w:p>
      <w:pPr>
        <w:jc w:val="left"/>
      </w:pPr>
      <w:r>
        <w:rPr>
          <w:sz w:val="22"/>
        </w:rPr>
        <w:t>Yours sincerely,</w:t>
        <w:br/>
        <w:t/>
      </w:r>
    </w:p>
    <w:p>
      <w:pPr>
        <w:jc w:val="left"/>
      </w:pPr>
      <w:r>
        <w:rPr>
          <w:sz w:val="22"/>
        </w:rPr>
        <w:t>Siddhartha Pahari</w:t>
        <w:br/>
        <w:t>Department of Chemical Engineering &amp; Applied Chemistry</w:t>
        <w:br/>
        <w:t>University of Toronto</w:t>
        <w:b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