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30252515"/>
        <w:docPartObj>
          <w:docPartGallery w:val="Cover Pages"/>
          <w:docPartUnique/>
        </w:docPartObj>
      </w:sdtPr>
      <w:sdtEndPr/>
      <w:sdtContent>
        <w:p w14:paraId="5B35E216" w14:textId="3A42337E" w:rsidR="005D0914" w:rsidRDefault="005D0914">
          <w:r>
            <w:rPr>
              <w:noProof/>
            </w:rPr>
            <mc:AlternateContent>
              <mc:Choice Requires="wps">
                <w:drawing>
                  <wp:anchor distT="0" distB="0" distL="114300" distR="114300" simplePos="0" relativeHeight="251659264" behindDoc="0" locked="0" layoutInCell="1" allowOverlap="1" wp14:anchorId="14559256" wp14:editId="31DBA391">
                    <wp:simplePos x="0" y="0"/>
                    <wp:positionH relativeFrom="page">
                      <wp:align>center</wp:align>
                    </wp:positionH>
                    <wp:positionV relativeFrom="page">
                      <wp:align>center</wp:align>
                    </wp:positionV>
                    <wp:extent cx="1712890" cy="3840480"/>
                    <wp:effectExtent l="0" t="0" r="1270" b="0"/>
                    <wp:wrapNone/>
                    <wp:docPr id="138" name="Cuadro de texto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778"/>
                                  <w:gridCol w:w="2248"/>
                                </w:tblGrid>
                                <w:tr w:rsidR="005D0914" w14:paraId="5E130D5C" w14:textId="77777777">
                                  <w:trPr>
                                    <w:jc w:val="center"/>
                                  </w:trPr>
                                  <w:tc>
                                    <w:tcPr>
                                      <w:tcW w:w="2568" w:type="pct"/>
                                      <w:vAlign w:val="center"/>
                                    </w:tcPr>
                                    <w:p w14:paraId="5985567B" w14:textId="424F43DC" w:rsidR="005D0914" w:rsidRDefault="005D0914">
                                      <w:pPr>
                                        <w:jc w:val="right"/>
                                      </w:pPr>
                                      <w:r>
                                        <w:rPr>
                                          <w:noProof/>
                                        </w:rPr>
                                        <w:drawing>
                                          <wp:inline distT="0" distB="0" distL="0" distR="0" wp14:anchorId="4EE206F2" wp14:editId="1D9D9AFB">
                                            <wp:extent cx="1905000" cy="1905000"/>
                                            <wp:effectExtent l="0" t="0" r="0" b="0"/>
                                            <wp:docPr id="689435202" name="Imagen 2" descr="Enroll-U | Universidad Tecnológica de México UNI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roll-U | Universidad Tecnológica de México UNI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B538805" w14:textId="7BAD647F" w:rsidR="005D0914" w:rsidRDefault="005D0914" w:rsidP="005D0914">
                                          <w:pPr>
                                            <w:pStyle w:val="Sinespaciado"/>
                                            <w:spacing w:line="312" w:lineRule="auto"/>
                                            <w:jc w:val="both"/>
                                            <w:rPr>
                                              <w:caps/>
                                              <w:color w:val="191919" w:themeColor="text1" w:themeTint="E6"/>
                                              <w:sz w:val="72"/>
                                              <w:szCs w:val="72"/>
                                            </w:rPr>
                                          </w:pPr>
                                          <w:r>
                                            <w:rPr>
                                              <w:caps/>
                                              <w:color w:val="191919" w:themeColor="text1" w:themeTint="E6"/>
                                              <w:sz w:val="72"/>
                                              <w:szCs w:val="72"/>
                                            </w:rPr>
                                            <w:t>i</w:t>
                                          </w:r>
                                          <w:r w:rsidRPr="005D0914">
                                            <w:rPr>
                                              <w:caps/>
                                              <w:color w:val="191919" w:themeColor="text1" w:themeTint="E6"/>
                                              <w:sz w:val="72"/>
                                              <w:szCs w:val="72"/>
                                            </w:rPr>
                                            <w:t>nforme de Análisis de Incidencia y Cumplimiento de SLA</w:t>
                                          </w:r>
                                        </w:p>
                                      </w:sdtContent>
                                    </w:sdt>
                                    <w:sdt>
                                      <w:sdtPr>
                                        <w:rPr>
                                          <w:color w:val="000000" w:themeColor="text1"/>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E9611C3" w14:textId="465E21FD" w:rsidR="005D0914" w:rsidRDefault="005D0914">
                                          <w:pPr>
                                            <w:jc w:val="right"/>
                                          </w:pPr>
                                          <w:r>
                                            <w:rPr>
                                              <w:color w:val="000000" w:themeColor="text1"/>
                                            </w:rPr>
                                            <w:t>ENTREGABLE II</w:t>
                                          </w:r>
                                        </w:p>
                                      </w:sdtContent>
                                    </w:sdt>
                                  </w:tc>
                                  <w:tc>
                                    <w:tcPr>
                                      <w:tcW w:w="2432" w:type="pct"/>
                                      <w:vAlign w:val="center"/>
                                    </w:tcPr>
                                    <w:p w14:paraId="5E34600C" w14:textId="34720473" w:rsidR="005D0914" w:rsidRDefault="005D0914">
                                      <w:pPr>
                                        <w:pStyle w:val="Sinespaciado"/>
                                        <w:rPr>
                                          <w:caps/>
                                          <w:color w:val="E97132" w:themeColor="accent2"/>
                                          <w:sz w:val="26"/>
                                          <w:szCs w:val="26"/>
                                        </w:rPr>
                                      </w:pPr>
                                      <w:r>
                                        <w:rPr>
                                          <w:caps/>
                                          <w:color w:val="E97132" w:themeColor="accent2"/>
                                          <w:sz w:val="26"/>
                                          <w:szCs w:val="26"/>
                                          <w:lang w:val="es-ES"/>
                                        </w:rPr>
                                        <w:t>ENTREGABLE II</w:t>
                                      </w:r>
                                    </w:p>
                                    <w:p w14:paraId="1A559017" w14:textId="207283FA" w:rsidR="005D0914" w:rsidRDefault="005D0914">
                                      <w:pPr>
                                        <w:rPr>
                                          <w:color w:val="000000" w:themeColor="text1"/>
                                        </w:rPr>
                                      </w:pPr>
                                    </w:p>
                                    <w:sdt>
                                      <w:sdtPr>
                                        <w:rPr>
                                          <w:color w:val="E97132"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F859320" w14:textId="61627313" w:rsidR="005D0914" w:rsidRDefault="005D0914">
                                          <w:pPr>
                                            <w:pStyle w:val="Sinespaciado"/>
                                            <w:rPr>
                                              <w:color w:val="E97132" w:themeColor="accent2"/>
                                              <w:sz w:val="26"/>
                                              <w:szCs w:val="26"/>
                                            </w:rPr>
                                          </w:pPr>
                                          <w:r>
                                            <w:rPr>
                                              <w:color w:val="E97132" w:themeColor="accent2"/>
                                              <w:sz w:val="26"/>
                                              <w:szCs w:val="26"/>
                                            </w:rPr>
                                            <w:t>SIDDHARTHA RAFAEL RAMIREZ CAMPOS</w:t>
                                          </w:r>
                                        </w:p>
                                      </w:sdtContent>
                                    </w:sdt>
                                    <w:p w14:paraId="226A2B7D" w14:textId="27141FEE" w:rsidR="005D0914" w:rsidRDefault="00C35B86">
                                      <w:pPr>
                                        <w:pStyle w:val="Sinespaciado"/>
                                      </w:pPr>
                                      <w:sdt>
                                        <w:sdtPr>
                                          <w:rPr>
                                            <w:color w:val="0E2841"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5D0914">
                                            <w:rPr>
                                              <w:color w:val="0E2841" w:themeColor="text2"/>
                                            </w:rPr>
                                            <w:t>COMPUTO EN LA NUBE</w:t>
                                          </w:r>
                                        </w:sdtContent>
                                      </w:sdt>
                                    </w:p>
                                  </w:tc>
                                </w:tr>
                              </w:tbl>
                              <w:p w14:paraId="1BF4700B" w14:textId="77777777" w:rsidR="005D0914" w:rsidRDefault="005D091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4559256" id="_x0000_t202" coordsize="21600,21600" o:spt="202" path="m,l,21600r21600,l21600,xe">
                    <v:stroke joinstyle="miter"/>
                    <v:path gradientshapeok="t" o:connecttype="rect"/>
                  </v:shapetype>
                  <v:shape id="Cuadro de texto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778"/>
                            <w:gridCol w:w="2248"/>
                          </w:tblGrid>
                          <w:tr w:rsidR="005D0914" w14:paraId="5E130D5C" w14:textId="77777777">
                            <w:trPr>
                              <w:jc w:val="center"/>
                            </w:trPr>
                            <w:tc>
                              <w:tcPr>
                                <w:tcW w:w="2568" w:type="pct"/>
                                <w:vAlign w:val="center"/>
                              </w:tcPr>
                              <w:p w14:paraId="5985567B" w14:textId="424F43DC" w:rsidR="005D0914" w:rsidRDefault="005D0914">
                                <w:pPr>
                                  <w:jc w:val="right"/>
                                </w:pPr>
                                <w:r>
                                  <w:rPr>
                                    <w:noProof/>
                                  </w:rPr>
                                  <w:drawing>
                                    <wp:inline distT="0" distB="0" distL="0" distR="0" wp14:anchorId="4EE206F2" wp14:editId="1D9D9AFB">
                                      <wp:extent cx="1905000" cy="1905000"/>
                                      <wp:effectExtent l="0" t="0" r="0" b="0"/>
                                      <wp:docPr id="689435202" name="Imagen 2" descr="Enroll-U | Universidad Tecnológica de México UNI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roll-U | Universidad Tecnológica de México UNI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B538805" w14:textId="7BAD647F" w:rsidR="005D0914" w:rsidRDefault="005D0914" w:rsidP="005D0914">
                                    <w:pPr>
                                      <w:pStyle w:val="Sinespaciado"/>
                                      <w:spacing w:line="312" w:lineRule="auto"/>
                                      <w:jc w:val="both"/>
                                      <w:rPr>
                                        <w:caps/>
                                        <w:color w:val="191919" w:themeColor="text1" w:themeTint="E6"/>
                                        <w:sz w:val="72"/>
                                        <w:szCs w:val="72"/>
                                      </w:rPr>
                                    </w:pPr>
                                    <w:r>
                                      <w:rPr>
                                        <w:caps/>
                                        <w:color w:val="191919" w:themeColor="text1" w:themeTint="E6"/>
                                        <w:sz w:val="72"/>
                                        <w:szCs w:val="72"/>
                                      </w:rPr>
                                      <w:t>i</w:t>
                                    </w:r>
                                    <w:r w:rsidRPr="005D0914">
                                      <w:rPr>
                                        <w:caps/>
                                        <w:color w:val="191919" w:themeColor="text1" w:themeTint="E6"/>
                                        <w:sz w:val="72"/>
                                        <w:szCs w:val="72"/>
                                      </w:rPr>
                                      <w:t>nforme de Análisis de Incidencia y Cumplimiento de SLA</w:t>
                                    </w:r>
                                  </w:p>
                                </w:sdtContent>
                              </w:sdt>
                              <w:sdt>
                                <w:sdtPr>
                                  <w:rPr>
                                    <w:color w:val="000000" w:themeColor="text1"/>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E9611C3" w14:textId="465E21FD" w:rsidR="005D0914" w:rsidRDefault="005D0914">
                                    <w:pPr>
                                      <w:jc w:val="right"/>
                                    </w:pPr>
                                    <w:r>
                                      <w:rPr>
                                        <w:color w:val="000000" w:themeColor="text1"/>
                                      </w:rPr>
                                      <w:t>ENTREGABLE II</w:t>
                                    </w:r>
                                  </w:p>
                                </w:sdtContent>
                              </w:sdt>
                            </w:tc>
                            <w:tc>
                              <w:tcPr>
                                <w:tcW w:w="2432" w:type="pct"/>
                                <w:vAlign w:val="center"/>
                              </w:tcPr>
                              <w:p w14:paraId="5E34600C" w14:textId="34720473" w:rsidR="005D0914" w:rsidRDefault="005D0914">
                                <w:pPr>
                                  <w:pStyle w:val="Sinespaciado"/>
                                  <w:rPr>
                                    <w:caps/>
                                    <w:color w:val="E97132" w:themeColor="accent2"/>
                                    <w:sz w:val="26"/>
                                    <w:szCs w:val="26"/>
                                  </w:rPr>
                                </w:pPr>
                                <w:r>
                                  <w:rPr>
                                    <w:caps/>
                                    <w:color w:val="E97132" w:themeColor="accent2"/>
                                    <w:sz w:val="26"/>
                                    <w:szCs w:val="26"/>
                                    <w:lang w:val="es-ES"/>
                                  </w:rPr>
                                  <w:t>ENTREGABLE II</w:t>
                                </w:r>
                              </w:p>
                              <w:p w14:paraId="1A559017" w14:textId="207283FA" w:rsidR="005D0914" w:rsidRDefault="005D0914">
                                <w:pPr>
                                  <w:rPr>
                                    <w:color w:val="000000" w:themeColor="text1"/>
                                  </w:rPr>
                                </w:pPr>
                              </w:p>
                              <w:sdt>
                                <w:sdtPr>
                                  <w:rPr>
                                    <w:color w:val="E97132"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F859320" w14:textId="61627313" w:rsidR="005D0914" w:rsidRDefault="005D0914">
                                    <w:pPr>
                                      <w:pStyle w:val="Sinespaciado"/>
                                      <w:rPr>
                                        <w:color w:val="E97132" w:themeColor="accent2"/>
                                        <w:sz w:val="26"/>
                                        <w:szCs w:val="26"/>
                                      </w:rPr>
                                    </w:pPr>
                                    <w:r>
                                      <w:rPr>
                                        <w:color w:val="E97132" w:themeColor="accent2"/>
                                        <w:sz w:val="26"/>
                                        <w:szCs w:val="26"/>
                                      </w:rPr>
                                      <w:t>SIDDHARTHA RAFAEL RAMIREZ CAMPOS</w:t>
                                    </w:r>
                                  </w:p>
                                </w:sdtContent>
                              </w:sdt>
                              <w:p w14:paraId="226A2B7D" w14:textId="27141FEE" w:rsidR="005D0914" w:rsidRDefault="00C35B86">
                                <w:pPr>
                                  <w:pStyle w:val="Sinespaciado"/>
                                </w:pPr>
                                <w:sdt>
                                  <w:sdtPr>
                                    <w:rPr>
                                      <w:color w:val="0E2841"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5D0914">
                                      <w:rPr>
                                        <w:color w:val="0E2841" w:themeColor="text2"/>
                                      </w:rPr>
                                      <w:t>COMPUTO EN LA NUBE</w:t>
                                    </w:r>
                                  </w:sdtContent>
                                </w:sdt>
                              </w:p>
                            </w:tc>
                          </w:tr>
                        </w:tbl>
                        <w:p w14:paraId="1BF4700B" w14:textId="77777777" w:rsidR="005D0914" w:rsidRDefault="005D0914"/>
                      </w:txbxContent>
                    </v:textbox>
                    <w10:wrap anchorx="page" anchory="page"/>
                  </v:shape>
                </w:pict>
              </mc:Fallback>
            </mc:AlternateContent>
          </w:r>
          <w:r>
            <w:br w:type="page"/>
          </w:r>
        </w:p>
      </w:sdtContent>
    </w:sdt>
    <w:p w14:paraId="1BDF38FD" w14:textId="2B6B57DF" w:rsidR="00252567" w:rsidRDefault="005D0914" w:rsidP="005D0914">
      <w:pPr>
        <w:jc w:val="both"/>
      </w:pPr>
      <w:r w:rsidRPr="005D0914">
        <w:rPr>
          <w:b/>
          <w:bCs/>
        </w:rPr>
        <w:lastRenderedPageBreak/>
        <w:t>Fecha de elaboración:</w:t>
      </w:r>
      <w:r w:rsidRPr="005D0914">
        <w:t xml:space="preserve"> 9 de octubre de 2025</w:t>
      </w:r>
    </w:p>
    <w:p w14:paraId="55B42BC7" w14:textId="77777777" w:rsidR="005D0914" w:rsidRPr="005D0914" w:rsidRDefault="005D0914" w:rsidP="005D0914">
      <w:pPr>
        <w:jc w:val="both"/>
      </w:pPr>
      <w:r w:rsidRPr="005D0914">
        <w:rPr>
          <w:b/>
          <w:bCs/>
        </w:rPr>
        <w:t>1. Resumen Ejecutivo</w:t>
      </w:r>
    </w:p>
    <w:p w14:paraId="7C00589E" w14:textId="77777777" w:rsidR="005D0914" w:rsidRPr="005D0914" w:rsidRDefault="005D0914" w:rsidP="005D0914">
      <w:pPr>
        <w:jc w:val="both"/>
      </w:pPr>
      <w:r w:rsidRPr="005D0914">
        <w:t>El presente documento detalla el análisis de la interrupción del servicio de hosting ocurrida durante el mes de septiembre de 2025. Se evalúa el impacto en la disponibilidad del servicio, se contrasta con las métricas establecidas en el Acuerdo de Nivel de Servicio (SLA) vigente y se define la acción compensatoria correspondiente, así como las estrategias de mejora a implementar.</w:t>
      </w:r>
    </w:p>
    <w:p w14:paraId="345491BF" w14:textId="77777777" w:rsidR="005D0914" w:rsidRPr="005D0914" w:rsidRDefault="005D0914" w:rsidP="005D0914">
      <w:pPr>
        <w:jc w:val="both"/>
      </w:pPr>
      <w:r w:rsidRPr="005D0914">
        <w:rPr>
          <w:b/>
          <w:bCs/>
        </w:rPr>
        <w:t>2. Análisis de Indicadores de Desempeño (</w:t>
      </w:r>
      <w:proofErr w:type="spellStart"/>
      <w:r w:rsidRPr="005D0914">
        <w:rPr>
          <w:b/>
          <w:bCs/>
        </w:rPr>
        <w:t>KPIs</w:t>
      </w:r>
      <w:proofErr w:type="spellEnd"/>
      <w:r w:rsidRPr="005D0914">
        <w:rPr>
          <w:b/>
          <w:bCs/>
        </w:rPr>
        <w:t>)</w:t>
      </w:r>
    </w:p>
    <w:p w14:paraId="2B68190A" w14:textId="77777777" w:rsidR="005D0914" w:rsidRPr="005D0914" w:rsidRDefault="005D0914" w:rsidP="005D0914">
      <w:pPr>
        <w:numPr>
          <w:ilvl w:val="0"/>
          <w:numId w:val="3"/>
        </w:numPr>
        <w:jc w:val="both"/>
      </w:pPr>
      <w:proofErr w:type="gramStart"/>
      <w:r w:rsidRPr="005D0914">
        <w:rPr>
          <w:b/>
          <w:bCs/>
        </w:rPr>
        <w:t>Total</w:t>
      </w:r>
      <w:proofErr w:type="gramEnd"/>
      <w:r w:rsidRPr="005D0914">
        <w:rPr>
          <w:b/>
          <w:bCs/>
        </w:rPr>
        <w:t xml:space="preserve"> de Horas del Periodo (Mes de 30 días):</w:t>
      </w:r>
      <w:r w:rsidRPr="005D0914">
        <w:t xml:space="preserve"> 720 horas</w:t>
      </w:r>
    </w:p>
    <w:p w14:paraId="53956781" w14:textId="77777777" w:rsidR="005D0914" w:rsidRPr="005D0914" w:rsidRDefault="005D0914" w:rsidP="005D0914">
      <w:pPr>
        <w:numPr>
          <w:ilvl w:val="0"/>
          <w:numId w:val="3"/>
        </w:numPr>
        <w:jc w:val="both"/>
      </w:pPr>
      <w:r w:rsidRPr="005D0914">
        <w:rPr>
          <w:b/>
          <w:bCs/>
        </w:rPr>
        <w:t>Tiempo Total de Inactividad Registrado:</w:t>
      </w:r>
      <w:r w:rsidRPr="005D0914">
        <w:t xml:space="preserve"> 3.5 horas</w:t>
      </w:r>
    </w:p>
    <w:p w14:paraId="25B095A8" w14:textId="77777777" w:rsidR="005D0914" w:rsidRPr="005D0914" w:rsidRDefault="005D0914" w:rsidP="005D0914">
      <w:pPr>
        <w:numPr>
          <w:ilvl w:val="0"/>
          <w:numId w:val="3"/>
        </w:numPr>
        <w:jc w:val="both"/>
      </w:pPr>
      <w:r w:rsidRPr="005D0914">
        <w:rPr>
          <w:b/>
          <w:bCs/>
        </w:rPr>
        <w:t>Tiempo Máximo de Inactividad Permitido (SLA 99.9%):</w:t>
      </w:r>
      <w:r w:rsidRPr="005D0914">
        <w:t xml:space="preserve"> 0.72 horas (aprox. 43.2 minutos)</w:t>
      </w:r>
    </w:p>
    <w:p w14:paraId="026A270D" w14:textId="77777777" w:rsidR="005D0914" w:rsidRPr="005D0914" w:rsidRDefault="005D0914" w:rsidP="005D0914">
      <w:pPr>
        <w:numPr>
          <w:ilvl w:val="0"/>
          <w:numId w:val="3"/>
        </w:numPr>
        <w:jc w:val="both"/>
      </w:pPr>
      <w:r w:rsidRPr="005D0914">
        <w:rPr>
          <w:b/>
          <w:bCs/>
        </w:rPr>
        <w:t>Disponibilidad Real Calculada:</w:t>
      </w:r>
      <w:r w:rsidRPr="005D0914">
        <w:t xml:space="preserve"> 99.51%</w:t>
      </w:r>
    </w:p>
    <w:p w14:paraId="3D68C91B" w14:textId="77777777" w:rsidR="005D0914" w:rsidRPr="005D0914" w:rsidRDefault="005D0914" w:rsidP="005D0914">
      <w:pPr>
        <w:numPr>
          <w:ilvl w:val="0"/>
          <w:numId w:val="3"/>
        </w:numPr>
        <w:jc w:val="both"/>
      </w:pPr>
      <w:r w:rsidRPr="005D0914">
        <w:rPr>
          <w:b/>
          <w:bCs/>
        </w:rPr>
        <w:t>Resultado de Cumplimiento de Contrato:</w:t>
      </w:r>
      <w:r w:rsidRPr="005D0914">
        <w:t xml:space="preserve"> </w:t>
      </w:r>
      <w:r w:rsidRPr="005D0914">
        <w:rPr>
          <w:b/>
          <w:bCs/>
        </w:rPr>
        <w:t>No Cumplido</w:t>
      </w:r>
    </w:p>
    <w:p w14:paraId="77F7F12A" w14:textId="77777777" w:rsidR="005D0914" w:rsidRPr="005D0914" w:rsidRDefault="005D0914" w:rsidP="005D0914">
      <w:pPr>
        <w:jc w:val="both"/>
      </w:pPr>
      <w:r w:rsidRPr="005D0914">
        <w:t>La disponibilidad real (99.51%) fue inferior a la garantizada (99.9%), confirmando un incumplimiento del SLA.</w:t>
      </w:r>
    </w:p>
    <w:p w14:paraId="7DEBDFBA" w14:textId="77777777" w:rsidR="005D0914" w:rsidRPr="005D0914" w:rsidRDefault="005D0914" w:rsidP="005D0914">
      <w:pPr>
        <w:jc w:val="both"/>
      </w:pPr>
      <w:r w:rsidRPr="005D0914">
        <w:rPr>
          <w:b/>
          <w:bCs/>
        </w:rPr>
        <w:t>3. Carta Formal de Respuesta al Cliente</w:t>
      </w:r>
    </w:p>
    <w:p w14:paraId="5CF2CBFE" w14:textId="77777777" w:rsidR="005D0914" w:rsidRPr="005D0914" w:rsidRDefault="005D0914" w:rsidP="005D0914">
      <w:pPr>
        <w:jc w:val="both"/>
      </w:pPr>
      <w:r w:rsidRPr="005D0914">
        <w:rPr>
          <w:b/>
          <w:bCs/>
        </w:rPr>
        <w:t>[Ciudad de México, 9 de octubre de 2025]</w:t>
      </w:r>
    </w:p>
    <w:p w14:paraId="6988BEFD" w14:textId="77777777" w:rsidR="005D0914" w:rsidRPr="005D0914" w:rsidRDefault="005D0914" w:rsidP="005D0914">
      <w:pPr>
        <w:jc w:val="both"/>
      </w:pPr>
      <w:r w:rsidRPr="005D0914">
        <w:rPr>
          <w:b/>
          <w:bCs/>
        </w:rPr>
        <w:t>Asunto:</w:t>
      </w:r>
      <w:r w:rsidRPr="005D0914">
        <w:t xml:space="preserve"> Informe de Incidencia y Aplicación de SLA – Servicio de Hosting</w:t>
      </w:r>
    </w:p>
    <w:p w14:paraId="3E13E972" w14:textId="77777777" w:rsidR="005D0914" w:rsidRPr="005D0914" w:rsidRDefault="005D0914" w:rsidP="005D0914">
      <w:pPr>
        <w:jc w:val="both"/>
      </w:pPr>
      <w:r w:rsidRPr="005D0914">
        <w:rPr>
          <w:b/>
          <w:bCs/>
        </w:rPr>
        <w:t>Estimado [Nombre del Cliente]:</w:t>
      </w:r>
    </w:p>
    <w:p w14:paraId="1CEF85B8" w14:textId="2F9A7CCB" w:rsidR="005D0914" w:rsidRPr="005D0914" w:rsidRDefault="005D0914" w:rsidP="005D0914">
      <w:pPr>
        <w:jc w:val="both"/>
      </w:pPr>
      <w:r w:rsidRPr="005D0914">
        <w:t>En nombre de todo el equipo de [</w:t>
      </w:r>
      <w:r w:rsidR="00C35B86">
        <w:t>EMPRESA</w:t>
      </w:r>
      <w:r w:rsidRPr="005D0914">
        <w:t>], le extendemos una sincera disculpa por la interrupción del servicio que experimentó el mes pasado. Entendemos la importancia crítica de la estabilidad para sus operaciones y lamentamos no haber cumplido con sus expectativas.</w:t>
      </w:r>
    </w:p>
    <w:p w14:paraId="2BE9AC60" w14:textId="77777777" w:rsidR="005D0914" w:rsidRPr="005D0914" w:rsidRDefault="005D0914" w:rsidP="005D0914">
      <w:pPr>
        <w:jc w:val="both"/>
      </w:pPr>
      <w:r w:rsidRPr="005D0914">
        <w:t xml:space="preserve">Tras analizar el incidente, confirmamos una caída del servicio de </w:t>
      </w:r>
      <w:r w:rsidRPr="005D0914">
        <w:rPr>
          <w:b/>
          <w:bCs/>
        </w:rPr>
        <w:t>3.5 horas</w:t>
      </w:r>
      <w:r w:rsidRPr="005D0914">
        <w:t xml:space="preserve">. Esto resultó en una disponibilidad real del </w:t>
      </w:r>
      <w:r w:rsidRPr="005D0914">
        <w:rPr>
          <w:b/>
          <w:bCs/>
        </w:rPr>
        <w:t>99.51%</w:t>
      </w:r>
      <w:r w:rsidRPr="005D0914">
        <w:t xml:space="preserve">, cifra que se encuentra por debajo del </w:t>
      </w:r>
      <w:r w:rsidRPr="005D0914">
        <w:rPr>
          <w:b/>
          <w:bCs/>
        </w:rPr>
        <w:t>99.9%</w:t>
      </w:r>
      <w:r w:rsidRPr="005D0914">
        <w:t xml:space="preserve"> garantizado en nuestro Acuerdo de Nivel de Servicio (SLA).</w:t>
      </w:r>
    </w:p>
    <w:p w14:paraId="3E86B21F" w14:textId="77777777" w:rsidR="005D0914" w:rsidRPr="005D0914" w:rsidRDefault="005D0914" w:rsidP="005D0914">
      <w:pPr>
        <w:jc w:val="both"/>
      </w:pPr>
      <w:r w:rsidRPr="005D0914">
        <w:t xml:space="preserve">En consecuencia, y conforme a las cláusulas de nuestro contrato, hemos procesado una devolución del </w:t>
      </w:r>
      <w:r w:rsidRPr="005D0914">
        <w:rPr>
          <w:b/>
          <w:bCs/>
        </w:rPr>
        <w:t>25%</w:t>
      </w:r>
      <w:r w:rsidRPr="005D0914">
        <w:t xml:space="preserve"> de su cuota mensual. Este monto, equivalente a </w:t>
      </w:r>
      <w:r w:rsidRPr="005D0914">
        <w:rPr>
          <w:b/>
          <w:bCs/>
        </w:rPr>
        <w:t>$250.00</w:t>
      </w:r>
      <w:r w:rsidRPr="005D0914">
        <w:t>, será acreditado automáticamente en su próxima factura.</w:t>
      </w:r>
    </w:p>
    <w:p w14:paraId="506C2188" w14:textId="77777777" w:rsidR="005D0914" w:rsidRPr="005D0914" w:rsidRDefault="005D0914" w:rsidP="005D0914">
      <w:pPr>
        <w:jc w:val="both"/>
      </w:pPr>
      <w:r w:rsidRPr="005D0914">
        <w:lastRenderedPageBreak/>
        <w:t>Para prevenir futuras recurrencias, estamos implementando acciones inmediatas:</w:t>
      </w:r>
    </w:p>
    <w:p w14:paraId="5F4F492D" w14:textId="77777777" w:rsidR="005D0914" w:rsidRPr="005D0914" w:rsidRDefault="005D0914" w:rsidP="005D0914">
      <w:pPr>
        <w:numPr>
          <w:ilvl w:val="0"/>
          <w:numId w:val="4"/>
        </w:numPr>
        <w:jc w:val="both"/>
      </w:pPr>
      <w:r w:rsidRPr="005D0914">
        <w:rPr>
          <w:b/>
          <w:bCs/>
        </w:rPr>
        <w:t>Optimización de los protocolos de balanceo de carga</w:t>
      </w:r>
      <w:r w:rsidRPr="005D0914">
        <w:t xml:space="preserve"> para mejorar la resiliencia del sistema ante picos de demanda.</w:t>
      </w:r>
    </w:p>
    <w:p w14:paraId="7FB73D54" w14:textId="77777777" w:rsidR="005D0914" w:rsidRPr="005D0914" w:rsidRDefault="005D0914" w:rsidP="005D0914">
      <w:pPr>
        <w:numPr>
          <w:ilvl w:val="0"/>
          <w:numId w:val="4"/>
        </w:numPr>
        <w:jc w:val="both"/>
      </w:pPr>
      <w:r w:rsidRPr="005D0914">
        <w:rPr>
          <w:b/>
          <w:bCs/>
        </w:rPr>
        <w:t>Implementación de un sistema de monitoreo predictivo</w:t>
      </w:r>
      <w:r w:rsidRPr="005D0914">
        <w:t xml:space="preserve"> que utiliza IA para anticipar posibles fallos de hardware.</w:t>
      </w:r>
    </w:p>
    <w:p w14:paraId="33B8B4A1" w14:textId="77777777" w:rsidR="005D0914" w:rsidRPr="005D0914" w:rsidRDefault="005D0914" w:rsidP="005D0914">
      <w:pPr>
        <w:numPr>
          <w:ilvl w:val="0"/>
          <w:numId w:val="4"/>
        </w:numPr>
        <w:jc w:val="both"/>
      </w:pPr>
      <w:r w:rsidRPr="005D0914">
        <w:rPr>
          <w:b/>
          <w:bCs/>
        </w:rPr>
        <w:t>Reforzamiento de la capacitación del equipo técnico</w:t>
      </w:r>
      <w:r w:rsidRPr="005D0914">
        <w:t xml:space="preserve"> en la gestión de incidentes críticos para acelerar los tiempos de recuperación.</w:t>
      </w:r>
    </w:p>
    <w:p w14:paraId="4FF65ABB" w14:textId="77777777" w:rsidR="005D0914" w:rsidRPr="005D0914" w:rsidRDefault="005D0914" w:rsidP="005D0914">
      <w:pPr>
        <w:jc w:val="both"/>
      </w:pPr>
      <w:r w:rsidRPr="005D0914">
        <w:t>Agradecemos su paciencia y reiteramos nuestro compromiso inquebrantable con la excelencia y la fiabilidad del servicio que le ofrecemos.</w:t>
      </w:r>
    </w:p>
    <w:p w14:paraId="39039465" w14:textId="77777777" w:rsidR="005D0914" w:rsidRPr="005D0914" w:rsidRDefault="005D0914" w:rsidP="005D0914">
      <w:pPr>
        <w:jc w:val="both"/>
      </w:pPr>
      <w:r w:rsidRPr="005D0914">
        <w:t>Atentamente,</w:t>
      </w:r>
    </w:p>
    <w:p w14:paraId="5960C613" w14:textId="580D77DF" w:rsidR="005D0914" w:rsidRPr="005D0914" w:rsidRDefault="005D0914" w:rsidP="005D0914">
      <w:pPr>
        <w:jc w:val="both"/>
      </w:pPr>
      <w:r>
        <w:rPr>
          <w:b/>
          <w:bCs/>
        </w:rPr>
        <w:t>SIDDHARTHA RAFAEL RAMIRREZ CAMPOS</w:t>
      </w:r>
      <w:r w:rsidRPr="005D0914">
        <w:t xml:space="preserve"> </w:t>
      </w:r>
      <w:r>
        <w:rPr>
          <w:b/>
          <w:bCs/>
        </w:rPr>
        <w:t>JEFE DE OFICINA</w:t>
      </w:r>
      <w:r w:rsidRPr="005D0914">
        <w:rPr>
          <w:b/>
          <w:bCs/>
        </w:rPr>
        <w:t>,</w:t>
      </w:r>
    </w:p>
    <w:p w14:paraId="4376E9D3" w14:textId="77777777" w:rsidR="005D0914" w:rsidRDefault="005D0914"/>
    <w:sectPr w:rsidR="005D0914" w:rsidSect="005D091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E764E"/>
    <w:multiLevelType w:val="multilevel"/>
    <w:tmpl w:val="C5CCD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791B49"/>
    <w:multiLevelType w:val="multilevel"/>
    <w:tmpl w:val="D7DA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492A09"/>
    <w:multiLevelType w:val="multilevel"/>
    <w:tmpl w:val="BE6CD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D84C0C"/>
    <w:multiLevelType w:val="multilevel"/>
    <w:tmpl w:val="7990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655127">
    <w:abstractNumId w:val="3"/>
  </w:num>
  <w:num w:numId="2" w16cid:durableId="1989551684">
    <w:abstractNumId w:val="2"/>
  </w:num>
  <w:num w:numId="3" w16cid:durableId="1875800698">
    <w:abstractNumId w:val="1"/>
  </w:num>
  <w:num w:numId="4" w16cid:durableId="264073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914"/>
    <w:rsid w:val="00252567"/>
    <w:rsid w:val="003A30F6"/>
    <w:rsid w:val="005042FF"/>
    <w:rsid w:val="005D0914"/>
    <w:rsid w:val="007055C9"/>
    <w:rsid w:val="00C35B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B4CCE"/>
  <w15:chartTrackingRefBased/>
  <w15:docId w15:val="{F37A9C24-E8F3-4894-9C66-0339249DA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D09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D09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D09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D09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D09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D09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D09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D09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D09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091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D091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D09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D09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D09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D09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D09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D09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D0914"/>
    <w:rPr>
      <w:rFonts w:eastAsiaTheme="majorEastAsia" w:cstheme="majorBidi"/>
      <w:color w:val="272727" w:themeColor="text1" w:themeTint="D8"/>
    </w:rPr>
  </w:style>
  <w:style w:type="paragraph" w:styleId="Ttulo">
    <w:name w:val="Title"/>
    <w:basedOn w:val="Normal"/>
    <w:next w:val="Normal"/>
    <w:link w:val="TtuloCar"/>
    <w:uiPriority w:val="10"/>
    <w:qFormat/>
    <w:rsid w:val="005D09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D09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D09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D09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D0914"/>
    <w:pPr>
      <w:spacing w:before="160"/>
      <w:jc w:val="center"/>
    </w:pPr>
    <w:rPr>
      <w:i/>
      <w:iCs/>
      <w:color w:val="404040" w:themeColor="text1" w:themeTint="BF"/>
    </w:rPr>
  </w:style>
  <w:style w:type="character" w:customStyle="1" w:styleId="CitaCar">
    <w:name w:val="Cita Car"/>
    <w:basedOn w:val="Fuentedeprrafopredeter"/>
    <w:link w:val="Cita"/>
    <w:uiPriority w:val="29"/>
    <w:rsid w:val="005D0914"/>
    <w:rPr>
      <w:i/>
      <w:iCs/>
      <w:color w:val="404040" w:themeColor="text1" w:themeTint="BF"/>
    </w:rPr>
  </w:style>
  <w:style w:type="paragraph" w:styleId="Prrafodelista">
    <w:name w:val="List Paragraph"/>
    <w:basedOn w:val="Normal"/>
    <w:uiPriority w:val="34"/>
    <w:qFormat/>
    <w:rsid w:val="005D0914"/>
    <w:pPr>
      <w:ind w:left="720"/>
      <w:contextualSpacing/>
    </w:pPr>
  </w:style>
  <w:style w:type="character" w:styleId="nfasisintenso">
    <w:name w:val="Intense Emphasis"/>
    <w:basedOn w:val="Fuentedeprrafopredeter"/>
    <w:uiPriority w:val="21"/>
    <w:qFormat/>
    <w:rsid w:val="005D0914"/>
    <w:rPr>
      <w:i/>
      <w:iCs/>
      <w:color w:val="0F4761" w:themeColor="accent1" w:themeShade="BF"/>
    </w:rPr>
  </w:style>
  <w:style w:type="paragraph" w:styleId="Citadestacada">
    <w:name w:val="Intense Quote"/>
    <w:basedOn w:val="Normal"/>
    <w:next w:val="Normal"/>
    <w:link w:val="CitadestacadaCar"/>
    <w:uiPriority w:val="30"/>
    <w:qFormat/>
    <w:rsid w:val="005D09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D0914"/>
    <w:rPr>
      <w:i/>
      <w:iCs/>
      <w:color w:val="0F4761" w:themeColor="accent1" w:themeShade="BF"/>
    </w:rPr>
  </w:style>
  <w:style w:type="character" w:styleId="Referenciaintensa">
    <w:name w:val="Intense Reference"/>
    <w:basedOn w:val="Fuentedeprrafopredeter"/>
    <w:uiPriority w:val="32"/>
    <w:qFormat/>
    <w:rsid w:val="005D0914"/>
    <w:rPr>
      <w:b/>
      <w:bCs/>
      <w:smallCaps/>
      <w:color w:val="0F4761" w:themeColor="accent1" w:themeShade="BF"/>
      <w:spacing w:val="5"/>
    </w:rPr>
  </w:style>
  <w:style w:type="paragraph" w:styleId="Sinespaciado">
    <w:name w:val="No Spacing"/>
    <w:link w:val="SinespaciadoCar"/>
    <w:uiPriority w:val="1"/>
    <w:qFormat/>
    <w:rsid w:val="005D0914"/>
    <w:pPr>
      <w:spacing w:after="0" w:line="240" w:lineRule="auto"/>
    </w:pPr>
    <w:rPr>
      <w:rFonts w:eastAsiaTheme="minorEastAsia"/>
      <w:kern w:val="0"/>
      <w:sz w:val="22"/>
      <w:szCs w:val="22"/>
      <w:lang w:eastAsia="es-MX"/>
      <w14:ligatures w14:val="none"/>
    </w:rPr>
  </w:style>
  <w:style w:type="character" w:customStyle="1" w:styleId="SinespaciadoCar">
    <w:name w:val="Sin espaciado Car"/>
    <w:basedOn w:val="Fuentedeprrafopredeter"/>
    <w:link w:val="Sinespaciado"/>
    <w:uiPriority w:val="1"/>
    <w:rsid w:val="005D0914"/>
    <w:rPr>
      <w:rFonts w:eastAsiaTheme="minorEastAsia"/>
      <w:kern w:val="0"/>
      <w:sz w:val="22"/>
      <w:szCs w:val="22"/>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373</Words>
  <Characters>2053</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Análisis de Incidencia y Cumplimiento de SLA</dc:title>
  <dc:subject>ENTREGABLE II</dc:subject>
  <dc:creator>SIDDHARTHA RAFAEL RAMIREZ CAMPOS</dc:creator>
  <cp:keywords/>
  <dc:description/>
  <cp:lastModifiedBy>Zub 501</cp:lastModifiedBy>
  <cp:revision>2</cp:revision>
  <dcterms:created xsi:type="dcterms:W3CDTF">2025-10-10T03:02:00Z</dcterms:created>
  <dcterms:modified xsi:type="dcterms:W3CDTF">2025-10-16T15:37:00Z</dcterms:modified>
  <cp:category>COMPUTO EN LA NUBE</cp:category>
</cp:coreProperties>
</file>