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pPr>
    </w:p>
    <w:p>
      <w:pPr>
        <w:spacing w:after="80"/>
        <w:jc w:val="center"/>
      </w:pPr>
      <w:r>
        <w:rPr>
          <w:rFonts w:ascii="Calibri" w:cs="Calibri" w:eastAsia="Calibri" w:hAnsi="Calibri"/>
          <w:b/>
          <w:bCs/>
          <w:color w:val="1F3864"/>
          <w:sz w:val="48"/>
          <w:szCs w:val="48"/>
        </w:rPr>
        <w:t xml:space="preserve">Release Notes Skill</w:t>
      </w:r>
    </w:p>
    <w:p>
      <w:pPr>
        <w:spacing w:after="80"/>
        <w:jc w:val="center"/>
      </w:pPr>
      <w:r>
        <w:rPr>
          <w:rFonts w:ascii="Calibri" w:cs="Calibri" w:eastAsia="Calibri" w:hAnsi="Calibri"/>
          <w:color w:val="2E7D8C"/>
          <w:sz w:val="36"/>
          <w:szCs w:val="36"/>
        </w:rPr>
        <w:t xml:space="preserve">PMM Information Requirements Alignment</w:t>
      </w:r>
    </w:p>
    <w:p>
      <w:pPr>
        <w:spacing w:after="480"/>
        <w:jc w:val="center"/>
      </w:pPr>
      <w:r>
        <w:rPr>
          <w:rFonts w:ascii="Calibri" w:cs="Calibri" w:eastAsia="Calibri" w:hAnsi="Calibri"/>
          <w:i/>
          <w:iCs/>
          <w:color w:val="4A5568"/>
          <w:sz w:val="24"/>
          <w:szCs w:val="24"/>
        </w:rPr>
        <w:t xml:space="preserve">A Collaborative Review for Discussion</w:t>
      </w:r>
    </w:p>
    <w:p>
      <w:pPr>
        <w:spacing w:after="960"/>
        <w:jc w:val="center"/>
      </w:pPr>
      <w:r>
        <w:rPr>
          <w:rFonts w:ascii="Calibri" w:cs="Calibri" w:eastAsia="Calibri" w:hAnsi="Calibri"/>
          <w:color w:val="4A5568"/>
          <w:sz w:val="18"/>
          <w:szCs w:val="18"/>
        </w:rPr>
        <w:t xml:space="preserve">Prepared: July 2025  ·  Framework: PMM Information Requirements v1.4  ·  Skill: Release Notes PR/FAQ Writer</w:t>
      </w:r>
    </w:p>
    <w:p>
      <w:pPr>
        <w:spacing w:after="120"/>
        <w:jc w:val="center"/>
      </w:pPr>
      <w:r>
        <w:rPr>
          <w:rFonts w:ascii="Calibri" w:cs="Calibri" w:eastAsia="Calibri" w:hAnsi="Calibri"/>
          <w:b/>
          <w:bCs/>
          <w:color w:val="1F3864"/>
          <w:sz w:val="20"/>
          <w:szCs w:val="20"/>
        </w:rPr>
        <w:t xml:space="preserve">Coverage Key</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tblGrid>
      <w:tr>
        <w:tc>
          <w:tcPr>
            <w:tcW w:type="dxa" w:w="2000"/>
            <w:tcBorders>
              <w:top w:val="single" w:color="CBD5E0" w:sz="4"/>
              <w:left w:val="single" w:color="CBD5E0" w:sz="4"/>
              <w:bottom w:val="single" w:color="CBD5E0" w:sz="4"/>
              <w:right w:val="single" w:color="CBD5E0" w:sz="4"/>
            </w:tcBorders>
            <w:shd w:fill="EAF5EE" w:val="clear"/>
          </w:tcPr>
          <w:p>
            <w:pPr>
              <w:spacing w:after="60" w:before="60"/>
              <w:jc w:val="center"/>
            </w:pPr>
            <w:r>
              <w:rPr>
                <w:rFonts w:ascii="Calibri" w:cs="Calibri" w:eastAsia="Calibri" w:hAnsi="Calibri"/>
                <w:b/>
                <w:bCs/>
                <w:color w:val="276749"/>
                <w:sz w:val="18"/>
                <w:szCs w:val="18"/>
              </w:rPr>
              <w:t xml:space="preserve">Well Covered</w:t>
            </w:r>
          </w:p>
        </w:tc>
        <w:tc>
          <w:tcPr>
            <w:tcW w:type="dxa" w:w="2000"/>
            <w:tcBorders>
              <w:top w:val="single" w:color="CBD5E0" w:sz="4"/>
              <w:left w:val="single" w:color="CBD5E0" w:sz="4"/>
              <w:bottom w:val="single" w:color="CBD5E0" w:sz="4"/>
              <w:right w:val="single" w:color="CBD5E0" w:sz="4"/>
            </w:tcBorders>
            <w:shd w:fill="FFFBEB" w:val="clear"/>
          </w:tcPr>
          <w:p>
            <w:pPr>
              <w:spacing w:after="60" w:before="60"/>
              <w:jc w:val="center"/>
            </w:pPr>
            <w:r>
              <w:rPr>
                <w:rFonts w:ascii="Calibri" w:cs="Calibri" w:eastAsia="Calibri" w:hAnsi="Calibri"/>
                <w:b/>
                <w:bCs/>
                <w:color w:val="92400E"/>
                <w:sz w:val="18"/>
                <w:szCs w:val="18"/>
              </w:rPr>
              <w:t xml:space="preserve">Partially Covered</w:t>
            </w:r>
          </w:p>
        </w:tc>
        <w:tc>
          <w:tcPr>
            <w:tcW w:type="dxa" w:w="2000"/>
            <w:tcBorders>
              <w:top w:val="single" w:color="CBD5E0" w:sz="4"/>
              <w:left w:val="single" w:color="CBD5E0" w:sz="4"/>
              <w:bottom w:val="single" w:color="CBD5E0" w:sz="4"/>
              <w:right w:val="single" w:color="CBD5E0" w:sz="4"/>
            </w:tcBorders>
            <w:shd w:fill="EFF6FF" w:val="clear"/>
          </w:tcPr>
          <w:p>
            <w:pPr>
              <w:spacing w:after="60" w:before="60"/>
              <w:jc w:val="center"/>
            </w:pPr>
            <w:r>
              <w:rPr>
                <w:rFonts w:ascii="Calibri" w:cs="Calibri" w:eastAsia="Calibri" w:hAnsi="Calibri"/>
                <w:b/>
                <w:bCs/>
                <w:color w:val="1E40AF"/>
                <w:sz w:val="18"/>
                <w:szCs w:val="18"/>
              </w:rPr>
              <w:t xml:space="preserve">Opportunity</w:t>
            </w:r>
          </w:p>
        </w:tc>
      </w:tr>
    </w:tbl>
    <w:p>
      <w:pPr>
        <w:pageBreakBefore/>
      </w:pPr>
    </w:p>
    <w:p>
      <w:pPr>
        <w:pStyle w:val="Heading1"/>
        <w:pBdr>
          <w:bottom w:val="single" w:color="2E7D8C" w:sz="6" w:space="4"/>
        </w:pBdr>
        <w:spacing w:after="160" w:before="360"/>
      </w:pPr>
      <w:r>
        <w:rPr>
          <w:rFonts w:ascii="Calibri" w:cs="Calibri" w:eastAsia="Calibri" w:hAnsi="Calibri"/>
          <w:b/>
          <w:bCs/>
          <w:color w:val="1F3864"/>
          <w:sz w:val="28"/>
          <w:szCs w:val="28"/>
        </w:rPr>
        <w:t xml:space="preserve">Executive Summary</w:t>
      </w:r>
    </w:p>
    <w:p>
      <w:pPr>
        <w:spacing w:after="120"/>
      </w:pPr>
      <w:r>
        <w:rPr>
          <w:rFonts w:ascii="Calibri" w:cs="Calibri" w:eastAsia="Calibri" w:hAnsi="Calibri"/>
          <w:sz w:val="20"/>
          <w:szCs w:val="20"/>
        </w:rPr>
        <w:t xml:space="preserve">The Release Notes Skill — which structures product launches as Amazon-style PR/FAQs — provides a strong foundation for communicating product value internally and externally. This document is intended to support a collaborative conversation about how the skill may further serve the Product Marketing team as it prepares go-to-market assets for each launch.</w:t>
      </w:r>
    </w:p>
    <w:p>
      <w:pPr>
        <w:spacing w:after="120"/>
      </w:pPr>
      <w:r>
        <w:rPr>
          <w:rFonts w:ascii="Calibri" w:cs="Calibri" w:eastAsia="Calibri" w:hAnsi="Calibri"/>
          <w:sz w:val="20"/>
          <w:szCs w:val="20"/>
        </w:rPr>
        <w:t xml:space="preserve">The PMM Information Requirements framework (v1.4) defines the information Product Marketing requests from Product before GTM work begins. By mapping the current Release Notes Skill against this framework, this document identifies areas where the skill already addresses PMM needs, areas where the skill partially covers a requirement, and areas where adding a structured input or brief note </w:t>
      </w:r>
      <w:r>
        <w:rPr>
          <w:rFonts w:ascii="Calibri" w:cs="Calibri" w:eastAsia="Calibri" w:hAnsi="Calibri"/>
          <w:i/>
          <w:iCs/>
          <w:sz w:val="20"/>
          <w:szCs w:val="20"/>
        </w:rPr>
        <w:t xml:space="preserve">could</w:t>
      </w:r>
      <w:r>
        <w:rPr>
          <w:rFonts w:ascii="Calibri" w:cs="Calibri" w:eastAsia="Calibri" w:hAnsi="Calibri"/>
          <w:sz w:val="20"/>
          <w:szCs w:val="20"/>
        </w:rPr>
        <w:t xml:space="preserve"> reduce the back-and-forth between Product and Marketing at launch time.</w:t>
      </w:r>
    </w:p>
    <w:p>
      <w:pPr>
        <w:spacing w:after="120"/>
      </w:pPr>
      <w:r>
        <w:rPr>
          <w:rFonts w:ascii="Calibri" w:cs="Calibri" w:eastAsia="Calibri" w:hAnsi="Calibri"/>
          <w:sz w:val="20"/>
          <w:szCs w:val="20"/>
        </w:rPr>
        <w:t xml:space="preserve">All suggestions in this document are framed as opportunities for discussion. The current Release Notes Skill is a well-designed tool with deliberate choices — the goal here is not to redesign it, but to explore whether small, targeted additions may improve downstream GTM planning without adding meaningful authoring burden.</w:t>
      </w:r>
    </w:p>
    <w:p>
      <w:pPr>
        <w:spacing w:after="120" w:before="2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tcBorders>
              <w:top w:val="single" w:color="CBD5E0" w:sz="4"/>
              <w:left w:val="single" w:color="CBD5E0" w:sz="4"/>
              <w:bottom w:val="single" w:color="CBD5E0" w:sz="4"/>
              <w:right w:val="single" w:color="CBD5E0" w:sz="4"/>
            </w:tcBorders>
            <w:shd w:fill="F7F8FA" w:val="clear"/>
            <w:vAlign w:val="center"/>
          </w:tcPr>
          <w:p>
            <w:pPr>
              <w:jc w:val="center"/>
            </w:pPr>
            <w:r>
              <w:rPr>
                <w:rFonts w:ascii="Calibri" w:cs="Calibri" w:eastAsia="Calibri" w:hAnsi="Calibri"/>
                <w:b/>
                <w:bCs/>
                <w:color w:val="1F3864"/>
                <w:sz w:val="52"/>
                <w:szCs w:val="52"/>
              </w:rPr>
              <w:t xml:space="preserve">23</w:t>
            </w:r>
          </w:p>
          <w:p>
            <w:pPr>
              <w:spacing w:after="80"/>
              <w:jc w:val="center"/>
            </w:pPr>
            <w:r>
              <w:rPr>
                <w:rFonts w:ascii="Calibri" w:cs="Calibri" w:eastAsia="Calibri" w:hAnsi="Calibri"/>
                <w:color w:val="4A5568"/>
                <w:sz w:val="16"/>
                <w:szCs w:val="16"/>
              </w:rPr>
              <w:t xml:space="preserve">Total PMM Requirements</w:t>
            </w:r>
          </w:p>
        </w:tc>
        <w:tc>
          <w:tcPr>
            <w:tcW w:type="dxa" w:w="2250"/>
            <w:tcBorders>
              <w:top w:val="single" w:color="CBD5E0" w:sz="4"/>
              <w:left w:val="single" w:color="CBD5E0" w:sz="4"/>
              <w:bottom w:val="single" w:color="CBD5E0" w:sz="4"/>
              <w:right w:val="single" w:color="CBD5E0" w:sz="4"/>
            </w:tcBorders>
            <w:shd w:fill="EAF5EE" w:val="clear"/>
            <w:vAlign w:val="center"/>
          </w:tcPr>
          <w:p>
            <w:pPr>
              <w:jc w:val="center"/>
            </w:pPr>
            <w:r>
              <w:rPr>
                <w:rFonts w:ascii="Calibri" w:cs="Calibri" w:eastAsia="Calibri" w:hAnsi="Calibri"/>
                <w:b/>
                <w:bCs/>
                <w:color w:val="276749"/>
                <w:sz w:val="52"/>
                <w:szCs w:val="52"/>
              </w:rPr>
              <w:t xml:space="preserve">1</w:t>
            </w:r>
          </w:p>
          <w:p>
            <w:pPr>
              <w:spacing w:after="80"/>
              <w:jc w:val="center"/>
            </w:pPr>
            <w:r>
              <w:rPr>
                <w:rFonts w:ascii="Calibri" w:cs="Calibri" w:eastAsia="Calibri" w:hAnsi="Calibri"/>
                <w:b/>
                <w:bCs/>
                <w:color w:val="276749"/>
                <w:sz w:val="16"/>
                <w:szCs w:val="16"/>
              </w:rPr>
              <w:t xml:space="preserve">Well Covered</w:t>
            </w:r>
          </w:p>
        </w:tc>
        <w:tc>
          <w:tcPr>
            <w:tcW w:type="dxa" w:w="2250"/>
            <w:tcBorders>
              <w:top w:val="single" w:color="CBD5E0" w:sz="4"/>
              <w:left w:val="single" w:color="CBD5E0" w:sz="4"/>
              <w:bottom w:val="single" w:color="CBD5E0" w:sz="4"/>
              <w:right w:val="single" w:color="CBD5E0" w:sz="4"/>
            </w:tcBorders>
            <w:shd w:fill="FFFBEB" w:val="clear"/>
            <w:vAlign w:val="center"/>
          </w:tcPr>
          <w:p>
            <w:pPr>
              <w:jc w:val="center"/>
            </w:pPr>
            <w:r>
              <w:rPr>
                <w:rFonts w:ascii="Calibri" w:cs="Calibri" w:eastAsia="Calibri" w:hAnsi="Calibri"/>
                <w:b/>
                <w:bCs/>
                <w:color w:val="92400E"/>
                <w:sz w:val="52"/>
                <w:szCs w:val="52"/>
              </w:rPr>
              <w:t xml:space="preserve">11</w:t>
            </w:r>
          </w:p>
          <w:p>
            <w:pPr>
              <w:spacing w:after="80"/>
              <w:jc w:val="center"/>
            </w:pPr>
            <w:r>
              <w:rPr>
                <w:rFonts w:ascii="Calibri" w:cs="Calibri" w:eastAsia="Calibri" w:hAnsi="Calibri"/>
                <w:b/>
                <w:bCs/>
                <w:color w:val="92400E"/>
                <w:sz w:val="16"/>
                <w:szCs w:val="16"/>
              </w:rPr>
              <w:t xml:space="preserve">Partially Covered</w:t>
            </w:r>
          </w:p>
        </w:tc>
        <w:tc>
          <w:tcPr>
            <w:tcW w:type="dxa" w:w="2250"/>
            <w:tcBorders>
              <w:top w:val="single" w:color="CBD5E0" w:sz="4"/>
              <w:left w:val="single" w:color="CBD5E0" w:sz="4"/>
              <w:bottom w:val="single" w:color="CBD5E0" w:sz="4"/>
              <w:right w:val="single" w:color="CBD5E0" w:sz="4"/>
            </w:tcBorders>
            <w:shd w:fill="EFF6FF" w:val="clear"/>
            <w:vAlign w:val="center"/>
          </w:tcPr>
          <w:p>
            <w:pPr>
              <w:jc w:val="center"/>
            </w:pPr>
            <w:r>
              <w:rPr>
                <w:rFonts w:ascii="Calibri" w:cs="Calibri" w:eastAsia="Calibri" w:hAnsi="Calibri"/>
                <w:b/>
                <w:bCs/>
                <w:color w:val="1E40AF"/>
                <w:sz w:val="52"/>
                <w:szCs w:val="52"/>
              </w:rPr>
              <w:t xml:space="preserve">11</w:t>
            </w:r>
          </w:p>
          <w:p>
            <w:pPr>
              <w:spacing w:after="80"/>
              <w:jc w:val="center"/>
            </w:pPr>
            <w:r>
              <w:rPr>
                <w:rFonts w:ascii="Calibri" w:cs="Calibri" w:eastAsia="Calibri" w:hAnsi="Calibri"/>
                <w:b/>
                <w:bCs/>
                <w:color w:val="1E40AF"/>
                <w:sz w:val="16"/>
                <w:szCs w:val="16"/>
              </w:rPr>
              <w:t xml:space="preserve">Opportunities</w:t>
            </w:r>
          </w:p>
        </w:tc>
      </w:tr>
    </w:tbl>
    <w:p>
      <w:pPr>
        <w:pageBreakBefore/>
      </w:pPr>
    </w:p>
    <w:p>
      <w:pPr>
        <w:pStyle w:val="Heading1"/>
        <w:pBdr>
          <w:bottom w:val="single" w:color="2E7D8C" w:sz="6" w:space="4"/>
        </w:pBdr>
        <w:spacing w:after="160" w:before="360"/>
      </w:pPr>
      <w:r>
        <w:rPr>
          <w:rFonts w:ascii="Calibri" w:cs="Calibri" w:eastAsia="Calibri" w:hAnsi="Calibri"/>
          <w:b/>
          <w:bCs/>
          <w:color w:val="1F3864"/>
          <w:sz w:val="28"/>
          <w:szCs w:val="28"/>
        </w:rPr>
        <w:t xml:space="preserve">Comparison Table</w:t>
      </w:r>
    </w:p>
    <w:p>
      <w:pPr>
        <w:spacing w:after="120"/>
      </w:pPr>
      <w:r>
        <w:rPr>
          <w:rFonts w:ascii="Calibri" w:cs="Calibri" w:eastAsia="Calibri" w:hAnsi="Calibri"/>
          <w:sz w:val="20"/>
          <w:szCs w:val="20"/>
        </w:rPr>
        <w:t xml:space="preserve">The table below maps each PMM Information Requirement against the current Release Notes Skill. For requirements that are well covered, the table notes what the skill already does well. For partially covered and opportunity areas, the table describes what additional context could be considered and why it would help Product Marketing.</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100"/>
        <w:gridCol w:w="1300"/>
        <w:gridCol w:w="3000"/>
        <w:gridCol w:w="3500"/>
        <w:gridCol w:w="4500"/>
      </w:tblGrid>
      <w:tr>
        <w:trPr>
          <w:tblHeader/>
        </w:trPr>
        <w:tc>
          <w:tcPr>
            <w:tcW w:type="dxa" w:w="2100"/>
            <w:tcBorders>
              <w:top w:val="single" w:color="1F3864" w:sz="4"/>
              <w:left w:val="single" w:color="1F3864" w:sz="4"/>
              <w:bottom w:val="single" w:color="1F3864" w:sz="4"/>
              <w:right w:val="single" w:color="1F3864" w:sz="4"/>
            </w:tcBorders>
            <w:shd w:fill="1F3864" w:val="clear"/>
            <w:vAlign w:val="center"/>
          </w:tcPr>
          <w:p>
            <w:pPr>
              <w:spacing w:after="80" w:before="80"/>
            </w:pPr>
            <w:r>
              <w:rPr>
                <w:rFonts w:ascii="Calibri" w:cs="Calibri" w:eastAsia="Calibri" w:hAnsi="Calibri"/>
                <w:b/>
                <w:bCs/>
                <w:color w:val="FFFFFF"/>
                <w:sz w:val="18"/>
                <w:szCs w:val="18"/>
              </w:rPr>
              <w:t xml:space="preserve">PMM Requirement</w:t>
            </w:r>
          </w:p>
        </w:tc>
        <w:tc>
          <w:tcPr>
            <w:tcW w:type="dxa" w:w="1300"/>
            <w:tcBorders>
              <w:top w:val="single" w:color="1F3864" w:sz="4"/>
              <w:left w:val="single" w:color="1F3864" w:sz="4"/>
              <w:bottom w:val="single" w:color="1F3864" w:sz="4"/>
              <w:right w:val="single" w:color="1F3864" w:sz="4"/>
            </w:tcBorders>
            <w:shd w:fill="1F3864" w:val="clear"/>
            <w:vAlign w:val="center"/>
          </w:tcPr>
          <w:p>
            <w:pPr>
              <w:spacing w:after="80" w:before="80"/>
            </w:pPr>
            <w:r>
              <w:rPr>
                <w:rFonts w:ascii="Calibri" w:cs="Calibri" w:eastAsia="Calibri" w:hAnsi="Calibri"/>
                <w:b/>
                <w:bCs/>
                <w:color w:val="FFFFFF"/>
                <w:sz w:val="18"/>
                <w:szCs w:val="18"/>
              </w:rPr>
              <w:t xml:space="preserve">Coverage</w:t>
            </w:r>
          </w:p>
        </w:tc>
        <w:tc>
          <w:tcPr>
            <w:tcW w:type="dxa" w:w="3000"/>
            <w:tcBorders>
              <w:top w:val="single" w:color="1F3864" w:sz="4"/>
              <w:left w:val="single" w:color="1F3864" w:sz="4"/>
              <w:bottom w:val="single" w:color="1F3864" w:sz="4"/>
              <w:right w:val="single" w:color="1F3864" w:sz="4"/>
            </w:tcBorders>
            <w:shd w:fill="1F3864" w:val="clear"/>
            <w:vAlign w:val="center"/>
          </w:tcPr>
          <w:p>
            <w:pPr>
              <w:spacing w:after="80" w:before="80"/>
            </w:pPr>
            <w:r>
              <w:rPr>
                <w:rFonts w:ascii="Calibri" w:cs="Calibri" w:eastAsia="Calibri" w:hAnsi="Calibri"/>
                <w:b/>
                <w:bCs/>
                <w:color w:val="FFFFFF"/>
                <w:sz w:val="18"/>
                <w:szCs w:val="18"/>
              </w:rPr>
              <w:t xml:space="preserve">What the Skill Currently Provides</w:t>
            </w:r>
          </w:p>
        </w:tc>
        <w:tc>
          <w:tcPr>
            <w:tcW w:type="dxa" w:w="3500"/>
            <w:tcBorders>
              <w:top w:val="single" w:color="1F3864" w:sz="4"/>
              <w:left w:val="single" w:color="1F3864" w:sz="4"/>
              <w:bottom w:val="single" w:color="1F3864" w:sz="4"/>
              <w:right w:val="single" w:color="1F3864" w:sz="4"/>
            </w:tcBorders>
            <w:shd w:fill="1F3864" w:val="clear"/>
            <w:vAlign w:val="center"/>
          </w:tcPr>
          <w:p>
            <w:pPr>
              <w:spacing w:after="80" w:before="80"/>
            </w:pPr>
            <w:r>
              <w:rPr>
                <w:rFonts w:ascii="Calibri" w:cs="Calibri" w:eastAsia="Calibri" w:hAnsi="Calibri"/>
                <w:b/>
                <w:bCs/>
                <w:color w:val="FFFFFF"/>
                <w:sz w:val="18"/>
                <w:szCs w:val="18"/>
              </w:rPr>
              <w:t xml:space="preserve">What Could Be Considered</w:t>
            </w:r>
          </w:p>
        </w:tc>
        <w:tc>
          <w:tcPr>
            <w:tcW w:type="dxa" w:w="4500"/>
            <w:tcBorders>
              <w:top w:val="single" w:color="1F3864" w:sz="4"/>
              <w:left w:val="single" w:color="1F3864" w:sz="4"/>
              <w:bottom w:val="single" w:color="1F3864" w:sz="4"/>
              <w:right w:val="single" w:color="1F3864" w:sz="4"/>
            </w:tcBorders>
            <w:shd w:fill="1F3864" w:val="clear"/>
            <w:vAlign w:val="center"/>
          </w:tcPr>
          <w:p>
            <w:pPr>
              <w:spacing w:after="80" w:before="80"/>
            </w:pPr>
            <w:r>
              <w:rPr>
                <w:rFonts w:ascii="Calibri" w:cs="Calibri" w:eastAsia="Calibri" w:hAnsi="Calibri"/>
                <w:b/>
                <w:bCs/>
                <w:color w:val="FFFFFF"/>
                <w:sz w:val="18"/>
                <w:szCs w:val="18"/>
              </w:rPr>
              <w:t xml:space="preserve">Why This Helps Product Marketing</w:t>
            </w:r>
          </w:p>
        </w:tc>
      </w:tr>
      <w:tr>
        <w:tc>
          <w:tcPr>
            <w:gridSpan w:val="5"/>
            <w:tcBorders>
              <w:top w:val="single" w:color="CBD5E0" w:sz="4"/>
              <w:left w:val="single" w:color="CBD5E0" w:sz="4"/>
              <w:bottom w:val="single" w:color="CBD5E0" w:sz="4"/>
              <w:right w:val="single" w:color="CBD5E0" w:sz="4"/>
            </w:tcBorders>
            <w:shd w:fill="2E7D8C" w:val="clear"/>
          </w:tcPr>
          <w:p>
            <w:pPr>
              <w:spacing w:after="60" w:before="60"/>
            </w:pPr>
            <w:r>
              <w:rPr>
                <w:rFonts w:ascii="Calibri" w:cs="Calibri" w:eastAsia="Calibri" w:hAnsi="Calibri"/>
                <w:b/>
                <w:bCs/>
                <w:color w:val="FFFFFF"/>
                <w:sz w:val="18"/>
                <w:szCs w:val="18"/>
              </w:rPr>
              <w:t xml:space="preserve">1. Business Context</w:t>
            </w:r>
          </w:p>
        </w:tc>
      </w:tr>
      <w:tr>
        <w:tc>
          <w:tcPr>
            <w:tcW w:type="dxa" w:w="210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b/>
                <w:bCs/>
                <w:color w:val="1F3864"/>
                <w:sz w:val="18"/>
                <w:szCs w:val="18"/>
              </w:rPr>
              <w:t xml:space="preserve">Customer Problem &amp; Context</w:t>
            </w:r>
          </w:p>
        </w:tc>
        <w:tc>
          <w:tcPr>
            <w:tcW w:type="dxa" w:w="1300"/>
            <w:tcBorders>
              <w:top w:val="single" w:color="CBD5E0" w:sz="4"/>
              <w:left w:val="single" w:color="CBD5E0" w:sz="4"/>
              <w:bottom w:val="single" w:color="CBD5E0" w:sz="4"/>
              <w:right w:val="single" w:color="CBD5E0" w:sz="4"/>
            </w:tcBorders>
            <w:shd w:fill="FFFBEB" w:val="clear"/>
            <w:vAlign w:val="center"/>
          </w:tcPr>
          <w:p>
            <w:pPr>
              <w:spacing w:after="60" w:before="60"/>
              <w:jc w:val="center"/>
            </w:pPr>
            <w:r>
              <w:rPr>
                <w:rFonts w:ascii="Calibri" w:cs="Calibri" w:eastAsia="Calibri" w:hAnsi="Calibri"/>
                <w:b/>
                <w:bCs/>
                <w:color w:val="92400E"/>
                <w:sz w:val="18"/>
                <w:szCs w:val="18"/>
              </w:rPr>
              <w:t xml:space="preserve">Partially Covered</w:t>
            </w:r>
          </w:p>
        </w:tc>
        <w:tc>
          <w:tcPr>
            <w:tcW w:type="dxa" w:w="3000"/>
            <w:tcBorders>
              <w:top w:val="single" w:color="CBD5E0" w:sz="4"/>
              <w:left w:val="single" w:color="CBD5E0" w:sz="4"/>
              <w:bottom w:val="single" w:color="CBD5E0" w:sz="4"/>
              <w:right w:val="single" w:color="CBD5E0" w:sz="4"/>
            </w:tcBorders>
            <w:vAlign w:val="top"/>
          </w:tcPr>
          <w:p>
            <w:pPr>
              <w:spacing w:after="40" w:before="60"/>
            </w:pPr>
            <w:r>
              <w:rPr>
                <w:rFonts w:ascii="Calibri" w:cs="Calibri" w:eastAsia="Calibri" w:hAnsi="Calibri"/>
                <w:color w:val="4A5568"/>
                <w:sz w:val="18"/>
                <w:szCs w:val="18"/>
              </w:rPr>
              <w:t xml:space="preserve">The PR/FAQ's problem paragraph captures the customer pain point in customer language — a strong foundation. The example demonstrates vivid, specific problem framing.</w:t>
            </w:r>
          </w:p>
        </w:tc>
        <w:tc>
          <w:tcPr>
            <w:tcW w:type="dxa" w:w="3500"/>
            <w:tcBorders>
              <w:top w:val="single" w:color="CBD5E0" w:sz="4"/>
              <w:left w:val="single" w:color="CBD5E0" w:sz="4"/>
              <w:bottom w:val="single" w:color="CBD5E0" w:sz="4"/>
              <w:right w:val="single" w:color="CBD5E0" w:sz="4"/>
            </w:tcBorders>
            <w:vAlign w:val="top"/>
          </w:tcPr>
          <w:p>
            <w:pPr>
              <w:spacing w:after="40" w:before="60"/>
            </w:pPr>
            <w:r>
              <w:rPr>
                <w:rFonts w:ascii="Calibri" w:cs="Calibri" w:eastAsia="Calibri" w:hAnsi="Calibri"/>
                <w:color w:val="4A5568"/>
                <w:sz w:val="18"/>
                <w:szCs w:val="18"/>
              </w:rPr>
              <w:t xml:space="preserve">Adding the specific workaround customers use today (tool, process, or manual step), the market trigger making this relevant now (regulatory shift, competitor move, platform change), and the business cost of not solving it could provide additional context.</w:t>
            </w:r>
          </w:p>
        </w:tc>
        <w:tc>
          <w:tcPr>
            <w:tcW w:type="dxa" w:w="4500"/>
            <w:tcBorders>
              <w:top w:val="single" w:color="CBD5E0" w:sz="4"/>
              <w:left w:val="single" w:color="CBD5E0" w:sz="4"/>
              <w:bottom w:val="single" w:color="CBD5E0" w:sz="4"/>
              <w:right w:val="single" w:color="CBD5E0" w:sz="4"/>
            </w:tcBorders>
            <w:vAlign w:val="top"/>
          </w:tcPr>
          <w:p>
            <w:pPr>
              <w:spacing w:after="40" w:before="60"/>
            </w:pPr>
            <w:r>
              <w:rPr>
                <w:rFonts w:ascii="Calibri" w:cs="Calibri" w:eastAsia="Calibri" w:hAnsi="Calibri"/>
                <w:color w:val="4A5568"/>
                <w:sz w:val="18"/>
                <w:szCs w:val="18"/>
              </w:rPr>
              <w:t xml:space="preserve">The workaround and market trigger directly feed the launch narrative and campaign messaging. Knowing the cost of inaction helps PMM prioritise urgency in communications and supports analyst briefing preparation.</w:t>
            </w:r>
          </w:p>
        </w:tc>
      </w:tr>
      <w:tr>
        <w:tc>
          <w:tcPr>
            <w:tcW w:type="dxa" w:w="210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b/>
                <w:bCs/>
                <w:color w:val="1F3864"/>
                <w:sz w:val="18"/>
                <w:szCs w:val="18"/>
              </w:rPr>
              <w:t xml:space="preserve">Business Objective</w:t>
            </w:r>
          </w:p>
        </w:tc>
        <w:tc>
          <w:tcPr>
            <w:tcW w:type="dxa" w:w="1300"/>
            <w:tcBorders>
              <w:top w:val="single" w:color="CBD5E0" w:sz="4"/>
              <w:left w:val="single" w:color="CBD5E0" w:sz="4"/>
              <w:bottom w:val="single" w:color="CBD5E0" w:sz="4"/>
              <w:right w:val="single" w:color="CBD5E0" w:sz="4"/>
            </w:tcBorders>
            <w:shd w:fill="FFFBEB" w:val="clear"/>
            <w:vAlign w:val="center"/>
          </w:tcPr>
          <w:p>
            <w:pPr>
              <w:spacing w:after="60" w:before="60"/>
              <w:jc w:val="center"/>
            </w:pPr>
            <w:r>
              <w:rPr>
                <w:rFonts w:ascii="Calibri" w:cs="Calibri" w:eastAsia="Calibri" w:hAnsi="Calibri"/>
                <w:b/>
                <w:bCs/>
                <w:color w:val="92400E"/>
                <w:sz w:val="18"/>
                <w:szCs w:val="18"/>
              </w:rPr>
              <w:t xml:space="preserve">Partially Covered</w:t>
            </w:r>
          </w:p>
        </w:tc>
        <w:tc>
          <w:tcPr>
            <w:tcW w:type="dxa" w:w="3000"/>
            <w:tcBorders>
              <w:top w:val="single" w:color="CBD5E0" w:sz="4"/>
              <w:left w:val="single" w:color="CBD5E0" w:sz="4"/>
              <w:bottom w:val="single" w:color="CBD5E0" w:sz="4"/>
              <w:right w:val="single" w:color="CBD5E0" w:sz="4"/>
            </w:tcBorders>
            <w:vAlign w:val="top"/>
          </w:tcPr>
          <w:p>
            <w:pPr>
              <w:spacing w:after="40" w:before="60"/>
            </w:pPr>
            <w:r>
              <w:rPr>
                <w:rFonts w:ascii="Calibri" w:cs="Calibri" w:eastAsia="Calibri" w:hAnsi="Calibri"/>
                <w:color w:val="4A5568"/>
                <w:sz w:val="18"/>
                <w:szCs w:val="18"/>
              </w:rPr>
              <w:t xml:space="preserve">The press release communicates business value implicitly through the opening paragraph and leader quote, and the internal FAQ addresses "why now" and strategic positioning.</w:t>
            </w:r>
          </w:p>
        </w:tc>
        <w:tc>
          <w:tcPr>
            <w:tcW w:type="dxa" w:w="3500"/>
            <w:tcBorders>
              <w:top w:val="single" w:color="CBD5E0" w:sz="4"/>
              <w:left w:val="single" w:color="CBD5E0" w:sz="4"/>
              <w:bottom w:val="single" w:color="CBD5E0" w:sz="4"/>
              <w:right w:val="single" w:color="CBD5E0" w:sz="4"/>
            </w:tcBorders>
            <w:vAlign w:val="top"/>
          </w:tcPr>
          <w:p>
            <w:pPr>
              <w:spacing w:after="40" w:before="60"/>
            </w:pPr>
            <w:r>
              <w:rPr>
                <w:rFonts w:ascii="Calibri" w:cs="Calibri" w:eastAsia="Calibri" w:hAnsi="Calibri"/>
                <w:color w:val="4A5568"/>
                <w:sz w:val="18"/>
                <w:szCs w:val="18"/>
              </w:rPr>
              <w:t xml:space="preserve">A short note on the Kano classification (Must-have, Performance, Delighter) with brief rationale, the specific business outcome targeted (retention, expansion, compliance, new segment), and the strategic pillar it supports could further enrich the handoff.</w:t>
            </w:r>
          </w:p>
        </w:tc>
        <w:tc>
          <w:tcPr>
            <w:tcW w:type="dxa" w:w="4500"/>
            <w:tcBorders>
              <w:top w:val="single" w:color="CBD5E0" w:sz="4"/>
              <w:left w:val="single" w:color="CBD5E0" w:sz="4"/>
              <w:bottom w:val="single" w:color="CBD5E0" w:sz="4"/>
              <w:right w:val="single" w:color="CBD5E0" w:sz="4"/>
            </w:tcBorders>
            <w:vAlign w:val="top"/>
          </w:tcPr>
          <w:p>
            <w:pPr>
              <w:spacing w:after="40" w:before="60"/>
            </w:pPr>
            <w:r>
              <w:rPr>
                <w:rFonts w:ascii="Calibri" w:cs="Calibri" w:eastAsia="Calibri" w:hAnsi="Calibri"/>
                <w:color w:val="4A5568"/>
                <w:sz w:val="18"/>
                <w:szCs w:val="18"/>
              </w:rPr>
              <w:t xml:space="preserve">These inputs connect the feature to company priorities, which PMM needs for executive communications, analyst briefings, and QBR slide content. The Kano framing also informs how urgently and prominently the feature is positioned.</w:t>
            </w:r>
          </w:p>
        </w:tc>
      </w:tr>
      <w:tr>
        <w:tc>
          <w:tcPr>
            <w:tcW w:type="dxa" w:w="210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b/>
                <w:bCs/>
                <w:color w:val="1F3864"/>
                <w:sz w:val="18"/>
                <w:szCs w:val="18"/>
              </w:rPr>
              <w:t xml:space="preserve">Success Metrics</w:t>
            </w:r>
          </w:p>
        </w:tc>
        <w:tc>
          <w:tcPr>
            <w:tcW w:type="dxa" w:w="1300"/>
            <w:tcBorders>
              <w:top w:val="single" w:color="CBD5E0" w:sz="4"/>
              <w:left w:val="single" w:color="CBD5E0" w:sz="4"/>
              <w:bottom w:val="single" w:color="CBD5E0" w:sz="4"/>
              <w:right w:val="single" w:color="CBD5E0" w:sz="4"/>
            </w:tcBorders>
            <w:shd w:fill="FFFBEB" w:val="clear"/>
            <w:vAlign w:val="center"/>
          </w:tcPr>
          <w:p>
            <w:pPr>
              <w:spacing w:after="60" w:before="60"/>
              <w:jc w:val="center"/>
            </w:pPr>
            <w:r>
              <w:rPr>
                <w:rFonts w:ascii="Calibri" w:cs="Calibri" w:eastAsia="Calibri" w:hAnsi="Calibri"/>
                <w:b/>
                <w:bCs/>
                <w:color w:val="92400E"/>
                <w:sz w:val="18"/>
                <w:szCs w:val="18"/>
              </w:rPr>
              <w:t xml:space="preserve">Partially Covered</w:t>
            </w:r>
          </w:p>
        </w:tc>
        <w:tc>
          <w:tcPr>
            <w:tcW w:type="dxa" w:w="3000"/>
            <w:tcBorders>
              <w:top w:val="single" w:color="CBD5E0" w:sz="4"/>
              <w:left w:val="single" w:color="CBD5E0" w:sz="4"/>
              <w:bottom w:val="single" w:color="CBD5E0" w:sz="4"/>
              <w:right w:val="single" w:color="CBD5E0" w:sz="4"/>
            </w:tcBorders>
            <w:vAlign w:val="top"/>
          </w:tcPr>
          <w:p>
            <w:pPr>
              <w:spacing w:after="40" w:before="60"/>
            </w:pPr>
            <w:r>
              <w:rPr>
                <w:rFonts w:ascii="Calibri" w:cs="Calibri" w:eastAsia="Calibri" w:hAnsi="Calibri"/>
                <w:color w:val="4A5568"/>
                <w:sz w:val="18"/>
                <w:szCs w:val="18"/>
              </w:rPr>
              <w:t xml:space="preserve">The internal FAQ section ("how do we know it's working") often includes qualitative indicators and outcome metrics, as demonstrated in the worked example.</w:t>
            </w:r>
          </w:p>
        </w:tc>
        <w:tc>
          <w:tcPr>
            <w:tcW w:type="dxa" w:w="3500"/>
            <w:tcBorders>
              <w:top w:val="single" w:color="CBD5E0" w:sz="4"/>
              <w:left w:val="single" w:color="CBD5E0" w:sz="4"/>
              <w:bottom w:val="single" w:color="CBD5E0" w:sz="4"/>
              <w:right w:val="single" w:color="CBD5E0" w:sz="4"/>
            </w:tcBorders>
            <w:vAlign w:val="top"/>
          </w:tcPr>
          <w:p>
            <w:pPr>
              <w:spacing w:after="40" w:before="60"/>
            </w:pPr>
            <w:r>
              <w:rPr>
                <w:rFonts w:ascii="Calibri" w:cs="Calibri" w:eastAsia="Calibri" w:hAnsi="Calibri"/>
                <w:color w:val="4A5568"/>
                <w:sz w:val="18"/>
                <w:szCs w:val="18"/>
              </w:rPr>
              <w:t xml:space="preserve">Including the 30/60/90-day post-launch metrics Product will track — along with the specific dashboard or report where they live — could help PMM close the loop after launch.</w:t>
            </w:r>
          </w:p>
        </w:tc>
        <w:tc>
          <w:tcPr>
            <w:tcW w:type="dxa" w:w="4500"/>
            <w:tcBorders>
              <w:top w:val="single" w:color="CBD5E0" w:sz="4"/>
              <w:left w:val="single" w:color="CBD5E0" w:sz="4"/>
              <w:bottom w:val="single" w:color="CBD5E0" w:sz="4"/>
              <w:right w:val="single" w:color="CBD5E0" w:sz="4"/>
            </w:tcBorders>
            <w:vAlign w:val="top"/>
          </w:tcPr>
          <w:p>
            <w:pPr>
              <w:spacing w:after="40" w:before="60"/>
            </w:pPr>
            <w:r>
              <w:rPr>
                <w:rFonts w:ascii="Calibri" w:cs="Calibri" w:eastAsia="Calibri" w:hAnsi="Calibri"/>
                <w:color w:val="4A5568"/>
                <w:sz w:val="18"/>
                <w:szCs w:val="18"/>
              </w:rPr>
              <w:t xml:space="preserve">Launch success reporting, post-launch performance reviews, executive updates, and customer success tracking all benefit from knowing in advance which signals Product will monitor and where to find them.</w:t>
            </w:r>
          </w:p>
        </w:tc>
      </w:tr>
      <w:tr>
        <w:tc>
          <w:tcPr>
            <w:gridSpan w:val="5"/>
            <w:tcBorders>
              <w:top w:val="single" w:color="CBD5E0" w:sz="4"/>
              <w:left w:val="single" w:color="CBD5E0" w:sz="4"/>
              <w:bottom w:val="single" w:color="CBD5E0" w:sz="4"/>
              <w:right w:val="single" w:color="CBD5E0" w:sz="4"/>
            </w:tcBorders>
            <w:shd w:fill="2E7D8C" w:val="clear"/>
          </w:tcPr>
          <w:p>
            <w:pPr>
              <w:spacing w:after="60" w:before="60"/>
            </w:pPr>
            <w:r>
              <w:rPr>
                <w:rFonts w:ascii="Calibri" w:cs="Calibri" w:eastAsia="Calibri" w:hAnsi="Calibri"/>
                <w:b/>
                <w:bCs/>
                <w:color w:val="FFFFFF"/>
                <w:sz w:val="18"/>
                <w:szCs w:val="18"/>
              </w:rPr>
              <w:t xml:space="preserve">2. Target Customer</w:t>
            </w:r>
          </w:p>
        </w:tc>
      </w:tr>
      <w:tr>
        <w:tc>
          <w:tcPr>
            <w:tcW w:type="dxa" w:w="210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b/>
                <w:bCs/>
                <w:color w:val="1F3864"/>
                <w:sz w:val="18"/>
                <w:szCs w:val="18"/>
              </w:rPr>
              <w:t xml:space="preserve">Ideal Customer Profile &amp; Adoption Signals</w:t>
            </w:r>
          </w:p>
        </w:tc>
        <w:tc>
          <w:tcPr>
            <w:tcW w:type="dxa" w:w="1300"/>
            <w:tcBorders>
              <w:top w:val="single" w:color="CBD5E0" w:sz="4"/>
              <w:left w:val="single" w:color="CBD5E0" w:sz="4"/>
              <w:bottom w:val="single" w:color="CBD5E0" w:sz="4"/>
              <w:right w:val="single" w:color="CBD5E0" w:sz="4"/>
            </w:tcBorders>
            <w:shd w:fill="FFFBEB" w:val="clear"/>
            <w:vAlign w:val="center"/>
          </w:tcPr>
          <w:p>
            <w:pPr>
              <w:spacing w:after="60" w:before="60"/>
              <w:jc w:val="center"/>
            </w:pPr>
            <w:r>
              <w:rPr>
                <w:rFonts w:ascii="Calibri" w:cs="Calibri" w:eastAsia="Calibri" w:hAnsi="Calibri"/>
                <w:b/>
                <w:bCs/>
                <w:color w:val="92400E"/>
                <w:sz w:val="18"/>
                <w:szCs w:val="18"/>
              </w:rPr>
              <w:t xml:space="preserve">Partially Covered</w:t>
            </w:r>
          </w:p>
        </w:tc>
        <w:tc>
          <w:tcPr>
            <w:tcW w:type="dxa" w:w="3000"/>
            <w:tcBorders>
              <w:top w:val="single" w:color="CBD5E0" w:sz="4"/>
              <w:left w:val="single" w:color="CBD5E0" w:sz="4"/>
              <w:bottom w:val="single" w:color="CBD5E0" w:sz="4"/>
              <w:right w:val="single" w:color="CBD5E0" w:sz="4"/>
            </w:tcBorders>
            <w:vAlign w:val="top"/>
          </w:tcPr>
          <w:p>
            <w:pPr>
              <w:spacing w:after="40" w:before="60"/>
            </w:pPr>
            <w:r>
              <w:rPr>
                <w:rFonts w:ascii="Calibri" w:cs="Calibri" w:eastAsia="Calibri" w:hAnsi="Calibri"/>
                <w:color w:val="4A5568"/>
                <w:sz w:val="18"/>
                <w:szCs w:val="18"/>
              </w:rPr>
              <w:t xml:space="preserve">The skill asks for target customer type (internal technical, internal business, or end consumer) as a required input before generation begins — a deliberate and useful gate.</w:t>
            </w:r>
          </w:p>
        </w:tc>
        <w:tc>
          <w:tcPr>
            <w:tcW w:type="dxa" w:w="3500"/>
            <w:tcBorders>
              <w:top w:val="single" w:color="CBD5E0" w:sz="4"/>
              <w:left w:val="single" w:color="CBD5E0" w:sz="4"/>
              <w:bottom w:val="single" w:color="CBD5E0" w:sz="4"/>
              <w:right w:val="single" w:color="CBD5E0" w:sz="4"/>
            </w:tcBorders>
            <w:vAlign w:val="top"/>
          </w:tcPr>
          <w:p>
            <w:pPr>
              <w:spacing w:after="40" w:before="60"/>
            </w:pPr>
            <w:r>
              <w:rPr>
                <w:rFonts w:ascii="Calibri" w:cs="Calibri" w:eastAsia="Calibri" w:hAnsi="Calibri"/>
                <w:color w:val="4A5568"/>
                <w:sz w:val="18"/>
                <w:szCs w:val="18"/>
              </w:rPr>
              <w:t xml:space="preserve">Company size and verticals, required technology stack, three to five signals that indicate a strong-fit customer, three to five anti-patterns (signals that indicate a poor fit), and any geographic or regulatory restrictions could provide additional targeting depth.</w:t>
            </w:r>
          </w:p>
        </w:tc>
        <w:tc>
          <w:tcPr>
            <w:tcW w:type="dxa" w:w="4500"/>
            <w:tcBorders>
              <w:top w:val="single" w:color="CBD5E0" w:sz="4"/>
              <w:left w:val="single" w:color="CBD5E0" w:sz="4"/>
              <w:bottom w:val="single" w:color="CBD5E0" w:sz="4"/>
              <w:right w:val="single" w:color="CBD5E0" w:sz="4"/>
            </w:tcBorders>
            <w:vAlign w:val="top"/>
          </w:tcPr>
          <w:p>
            <w:pPr>
              <w:spacing w:after="40" w:before="60"/>
            </w:pPr>
            <w:r>
              <w:rPr>
                <w:rFonts w:ascii="Calibri" w:cs="Calibri" w:eastAsia="Calibri" w:hAnsi="Calibri"/>
                <w:color w:val="4A5568"/>
                <w:sz w:val="18"/>
                <w:szCs w:val="18"/>
              </w:rPr>
              <w:t xml:space="preserve">These signals define ABM lists, territory scope, and sales qualification criteria. Anti-patterns are especially valuable for helping Sales quickly disqualify poor-fit opportunities without escalating to Product.</w:t>
            </w:r>
          </w:p>
        </w:tc>
      </w:tr>
      <w:tr>
        <w:tc>
          <w:tcPr>
            <w:tcW w:type="dxa" w:w="210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b/>
                <w:bCs/>
                <w:color w:val="1F3864"/>
                <w:sz w:val="18"/>
                <w:szCs w:val="18"/>
              </w:rPr>
              <w:t xml:space="preserve">User Profiles</w:t>
            </w:r>
          </w:p>
        </w:tc>
        <w:tc>
          <w:tcPr>
            <w:tcW w:type="dxa" w:w="1300"/>
            <w:tcBorders>
              <w:top w:val="single" w:color="CBD5E0" w:sz="4"/>
              <w:left w:val="single" w:color="CBD5E0" w:sz="4"/>
              <w:bottom w:val="single" w:color="CBD5E0" w:sz="4"/>
              <w:right w:val="single" w:color="CBD5E0" w:sz="4"/>
            </w:tcBorders>
            <w:shd w:fill="FFFBEB" w:val="clear"/>
            <w:vAlign w:val="center"/>
          </w:tcPr>
          <w:p>
            <w:pPr>
              <w:spacing w:after="60" w:before="60"/>
              <w:jc w:val="center"/>
            </w:pPr>
            <w:r>
              <w:rPr>
                <w:rFonts w:ascii="Calibri" w:cs="Calibri" w:eastAsia="Calibri" w:hAnsi="Calibri"/>
                <w:b/>
                <w:bCs/>
                <w:color w:val="92400E"/>
                <w:sz w:val="18"/>
                <w:szCs w:val="18"/>
              </w:rPr>
              <w:t xml:space="preserve">Partially Covered</w:t>
            </w:r>
          </w:p>
        </w:tc>
        <w:tc>
          <w:tcPr>
            <w:tcW w:type="dxa" w:w="3000"/>
            <w:tcBorders>
              <w:top w:val="single" w:color="CBD5E0" w:sz="4"/>
              <w:left w:val="single" w:color="CBD5E0" w:sz="4"/>
              <w:bottom w:val="single" w:color="CBD5E0" w:sz="4"/>
              <w:right w:val="single" w:color="CBD5E0" w:sz="4"/>
            </w:tcBorders>
            <w:vAlign w:val="top"/>
          </w:tcPr>
          <w:p>
            <w:pPr>
              <w:spacing w:after="40" w:before="60"/>
            </w:pPr>
            <w:r>
              <w:rPr>
                <w:rFonts w:ascii="Calibri" w:cs="Calibri" w:eastAsia="Calibri" w:hAnsi="Calibri"/>
                <w:color w:val="4A5568"/>
                <w:sz w:val="18"/>
                <w:szCs w:val="18"/>
              </w:rPr>
              <w:t xml:space="preserve">The skill captures customer type at a category level and uses it to calibrate language register throughout the PR/FAQ — a thoughtful approach to persona awareness.</w:t>
            </w:r>
          </w:p>
        </w:tc>
        <w:tc>
          <w:tcPr>
            <w:tcW w:type="dxa" w:w="3500"/>
            <w:tcBorders>
              <w:top w:val="single" w:color="CBD5E0" w:sz="4"/>
              <w:left w:val="single" w:color="CBD5E0" w:sz="4"/>
              <w:bottom w:val="single" w:color="CBD5E0" w:sz="4"/>
              <w:right w:val="single" w:color="CBD5E0" w:sz="4"/>
            </w:tcBorders>
            <w:vAlign w:val="top"/>
          </w:tcPr>
          <w:p>
            <w:pPr>
              <w:spacing w:after="40" w:before="60"/>
            </w:pPr>
            <w:r>
              <w:rPr>
                <w:rFonts w:ascii="Calibri" w:cs="Calibri" w:eastAsia="Calibri" w:hAnsi="Calibri"/>
                <w:color w:val="4A5568"/>
                <w:sz w:val="18"/>
                <w:szCs w:val="18"/>
              </w:rPr>
              <w:t xml:space="preserve">The primary user's job title, department, and specific task they use this feature for; secondary stakeholders who approve or benefit from the output; and non-target users (job titles or company types this feature does not serve) could provide additional granularity.</w:t>
            </w:r>
          </w:p>
        </w:tc>
        <w:tc>
          <w:tcPr>
            <w:tcW w:type="dxa" w:w="4500"/>
            <w:tcBorders>
              <w:top w:val="single" w:color="CBD5E0" w:sz="4"/>
              <w:left w:val="single" w:color="CBD5E0" w:sz="4"/>
              <w:bottom w:val="single" w:color="CBD5E0" w:sz="4"/>
              <w:right w:val="single" w:color="CBD5E0" w:sz="4"/>
            </w:tcBorders>
            <w:vAlign w:val="top"/>
          </w:tcPr>
          <w:p>
            <w:pPr>
              <w:spacing w:after="40" w:before="60"/>
            </w:pPr>
            <w:r>
              <w:rPr>
                <w:rFonts w:ascii="Calibri" w:cs="Calibri" w:eastAsia="Calibri" w:hAnsi="Calibri"/>
                <w:color w:val="4A5568"/>
                <w:sz w:val="18"/>
                <w:szCs w:val="18"/>
              </w:rPr>
              <w:t xml:space="preserve">Persona-based messaging, campaign audience targeting, and sales enablement content all require this level of specificity. Secondary stakeholder profiles are particularly useful for multi-threaded account communications.</w:t>
            </w:r>
          </w:p>
        </w:tc>
      </w:tr>
      <w:tr>
        <w:tc>
          <w:tcPr>
            <w:tcW w:type="dxa" w:w="210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b/>
                <w:bCs/>
                <w:color w:val="1F3864"/>
                <w:sz w:val="18"/>
                <w:szCs w:val="18"/>
              </w:rPr>
              <w:t xml:space="preserve">Current Usage</w:t>
            </w:r>
          </w:p>
        </w:tc>
        <w:tc>
          <w:tcPr>
            <w:tcW w:type="dxa" w:w="1300"/>
            <w:tcBorders>
              <w:top w:val="single" w:color="CBD5E0" w:sz="4"/>
              <w:left w:val="single" w:color="CBD5E0" w:sz="4"/>
              <w:bottom w:val="single" w:color="CBD5E0" w:sz="4"/>
              <w:right w:val="single" w:color="CBD5E0" w:sz="4"/>
            </w:tcBorders>
            <w:shd w:fill="EFF6FF" w:val="clear"/>
            <w:vAlign w:val="center"/>
          </w:tcPr>
          <w:p>
            <w:pPr>
              <w:spacing w:after="60" w:before="60"/>
              <w:jc w:val="center"/>
            </w:pPr>
            <w:r>
              <w:rPr>
                <w:rFonts w:ascii="Calibri" w:cs="Calibri" w:eastAsia="Calibri" w:hAnsi="Calibri"/>
                <w:b/>
                <w:bCs/>
                <w:color w:val="1E40AF"/>
                <w:sz w:val="18"/>
                <w:szCs w:val="18"/>
              </w:rPr>
              <w:t xml:space="preserve">Opportunity</w:t>
            </w:r>
          </w:p>
        </w:tc>
        <w:tc>
          <w:tcPr>
            <w:tcW w:type="dxa" w:w="3000"/>
            <w:tcBorders>
              <w:top w:val="single" w:color="CBD5E0" w:sz="4"/>
              <w:left w:val="single" w:color="CBD5E0" w:sz="4"/>
              <w:bottom w:val="single" w:color="CBD5E0" w:sz="4"/>
              <w:right w:val="single" w:color="CBD5E0" w:sz="4"/>
            </w:tcBorders>
            <w:vAlign w:val="top"/>
          </w:tcPr>
          <w:p>
            <w:pPr>
              <w:spacing w:after="40" w:before="60"/>
            </w:pPr>
            <w:r>
              <w:rPr>
                <w:rFonts w:ascii="Calibri" w:cs="Calibri" w:eastAsia="Calibri" w:hAnsi="Calibri"/>
                <w:color w:val="4A5568"/>
                <w:sz w:val="18"/>
                <w:szCs w:val="18"/>
              </w:rPr>
              <w:t xml:space="preserve">Release status (GA, Beta, pilot) is sometimes mentioned in the FAQ section, as seen in the worked example, but it is not a structured required input in the current skill.</w:t>
            </w:r>
          </w:p>
        </w:tc>
        <w:tc>
          <w:tcPr>
            <w:tcW w:type="dxa" w:w="3500"/>
            <w:tcBorders>
              <w:top w:val="single" w:color="CBD5E0" w:sz="4"/>
              <w:left w:val="single" w:color="CBD5E0" w:sz="4"/>
              <w:bottom w:val="single" w:color="CBD5E0" w:sz="4"/>
              <w:right w:val="single" w:color="CBD5E0" w:sz="4"/>
            </w:tcBorders>
            <w:vAlign w:val="top"/>
          </w:tcPr>
          <w:p>
            <w:pPr>
              <w:spacing w:after="40" w:before="60"/>
            </w:pPr>
            <w:r>
              <w:rPr>
                <w:rFonts w:ascii="Calibri" w:cs="Calibri" w:eastAsia="Calibri" w:hAnsi="Calibri"/>
                <w:color w:val="4A5568"/>
                <w:sz w:val="18"/>
                <w:szCs w:val="18"/>
              </w:rPr>
              <w:t xml:space="preserve">Adding release status (GA, Beta, or Internal only), number of customers or accounts currently using the feature, and which customer segments or personas are actively adopting vs. not yet adopting could be considered.</w:t>
            </w:r>
          </w:p>
        </w:tc>
        <w:tc>
          <w:tcPr>
            <w:tcW w:type="dxa" w:w="4500"/>
            <w:tcBorders>
              <w:top w:val="single" w:color="CBD5E0" w:sz="4"/>
              <w:left w:val="single" w:color="CBD5E0" w:sz="4"/>
              <w:bottom w:val="single" w:color="CBD5E0" w:sz="4"/>
              <w:right w:val="single" w:color="CBD5E0" w:sz="4"/>
            </w:tcBorders>
            <w:vAlign w:val="top"/>
          </w:tcPr>
          <w:p>
            <w:pPr>
              <w:spacing w:after="40" w:before="60"/>
            </w:pPr>
            <w:r>
              <w:rPr>
                <w:rFonts w:ascii="Calibri" w:cs="Calibri" w:eastAsia="Calibri" w:hAnsi="Calibri"/>
                <w:color w:val="4A5568"/>
                <w:sz w:val="18"/>
                <w:szCs w:val="18"/>
              </w:rPr>
              <w:t xml:space="preserve">This information segments launch communications — a GA announcement to all customers differs from a beta invitation to a select cohort. It also supports adoption tracking and CS communications planning.</w:t>
            </w:r>
          </w:p>
        </w:tc>
      </w:tr>
      <w:tr>
        <w:tc>
          <w:tcPr>
            <w:gridSpan w:val="5"/>
            <w:tcBorders>
              <w:top w:val="single" w:color="CBD5E0" w:sz="4"/>
              <w:left w:val="single" w:color="CBD5E0" w:sz="4"/>
              <w:bottom w:val="single" w:color="CBD5E0" w:sz="4"/>
              <w:right w:val="single" w:color="CBD5E0" w:sz="4"/>
            </w:tcBorders>
            <w:shd w:fill="2E7D8C" w:val="clear"/>
          </w:tcPr>
          <w:p>
            <w:pPr>
              <w:spacing w:after="60" w:before="60"/>
            </w:pPr>
            <w:r>
              <w:rPr>
                <w:rFonts w:ascii="Calibri" w:cs="Calibri" w:eastAsia="Calibri" w:hAnsi="Calibri"/>
                <w:b/>
                <w:bCs/>
                <w:color w:val="FFFFFF"/>
                <w:sz w:val="18"/>
                <w:szCs w:val="18"/>
              </w:rPr>
              <w:t xml:space="preserve">3. Feature Definition</w:t>
            </w:r>
          </w:p>
        </w:tc>
      </w:tr>
      <w:tr>
        <w:tc>
          <w:tcPr>
            <w:tcW w:type="dxa" w:w="210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b/>
                <w:bCs/>
                <w:color w:val="1F3864"/>
                <w:sz w:val="18"/>
                <w:szCs w:val="18"/>
              </w:rPr>
              <w:t xml:space="preserve">Feature Overview</w:t>
            </w:r>
          </w:p>
        </w:tc>
        <w:tc>
          <w:tcPr>
            <w:tcW w:type="dxa" w:w="1300"/>
            <w:tcBorders>
              <w:top w:val="single" w:color="CBD5E0" w:sz="4"/>
              <w:left w:val="single" w:color="CBD5E0" w:sz="4"/>
              <w:bottom w:val="single" w:color="CBD5E0" w:sz="4"/>
              <w:right w:val="single" w:color="CBD5E0" w:sz="4"/>
            </w:tcBorders>
            <w:shd w:fill="EAF5EE" w:val="clear"/>
            <w:vAlign w:val="center"/>
          </w:tcPr>
          <w:p>
            <w:pPr>
              <w:spacing w:after="60" w:before="60"/>
              <w:jc w:val="center"/>
            </w:pPr>
            <w:r>
              <w:rPr>
                <w:rFonts w:ascii="Calibri" w:cs="Calibri" w:eastAsia="Calibri" w:hAnsi="Calibri"/>
                <w:b/>
                <w:bCs/>
                <w:color w:val="276749"/>
                <w:sz w:val="18"/>
                <w:szCs w:val="18"/>
              </w:rPr>
              <w:t xml:space="preserve">Well Covered</w:t>
            </w:r>
          </w:p>
        </w:tc>
        <w:tc>
          <w:tcPr>
            <w:tcW w:type="dxa" w:w="3000"/>
            <w:tcBorders>
              <w:top w:val="single" w:color="CBD5E0" w:sz="4"/>
              <w:left w:val="single" w:color="CBD5E0" w:sz="4"/>
              <w:bottom w:val="single" w:color="CBD5E0" w:sz="4"/>
              <w:right w:val="single" w:color="CBD5E0" w:sz="4"/>
            </w:tcBorders>
            <w:vAlign w:val="top"/>
          </w:tcPr>
          <w:p>
            <w:pPr>
              <w:spacing w:after="40" w:before="60"/>
            </w:pPr>
            <w:r>
              <w:rPr>
                <w:rFonts w:ascii="Calibri" w:cs="Calibri" w:eastAsia="Calibri" w:hAnsi="Calibri"/>
                <w:color w:val="4A5568"/>
                <w:sz w:val="18"/>
                <w:szCs w:val="18"/>
              </w:rPr>
              <w:t xml:space="preserve">The opening paragraph and solution paragraph together address what the feature does, who it is for, why it matters, and what the product could not do before. The skill explicitly prohibits unsubstantiated claims — a strong quality control.</w:t>
            </w:r>
          </w:p>
        </w:tc>
        <w:tc>
          <w:tcPr>
            <w:tcW w:type="dxa" w:w="3500"/>
            <w:tcBorders>
              <w:top w:val="single" w:color="CBD5E0" w:sz="4"/>
              <w:left w:val="single" w:color="CBD5E0" w:sz="4"/>
              <w:bottom w:val="single" w:color="CBD5E0" w:sz="4"/>
              <w:right w:val="single" w:color="CBD5E0" w:sz="4"/>
            </w:tcBorders>
            <w:shd w:fill="EAF5EE" w:val="clear"/>
            <w:vAlign w:val="top"/>
          </w:tcPr>
          <w:p>
            <w:pPr>
              <w:spacing w:after="40" w:before="60"/>
            </w:pPr>
            <w:r>
              <w:rPr>
                <w:rFonts w:ascii="Calibri" w:cs="Calibri" w:eastAsia="Calibri" w:hAnsi="Calibri"/>
                <w:color w:val="4A5568"/>
                <w:sz w:val="18"/>
                <w:szCs w:val="18"/>
              </w:rPr>
              <w:t xml:space="preserve">This area is well served by the current structure. No additions are suggested at this time.</w:t>
            </w:r>
          </w:p>
        </w:tc>
        <w:tc>
          <w:tcPr>
            <w:tcW w:type="dxa" w:w="4500"/>
            <w:tcBorders>
              <w:top w:val="single" w:color="CBD5E0" w:sz="4"/>
              <w:left w:val="single" w:color="CBD5E0" w:sz="4"/>
              <w:bottom w:val="single" w:color="CBD5E0" w:sz="4"/>
              <w:right w:val="single" w:color="CBD5E0" w:sz="4"/>
            </w:tcBorders>
            <w:vAlign w:val="top"/>
          </w:tcPr>
          <w:p>
            <w:pPr>
              <w:spacing w:after="40" w:before="60"/>
            </w:pPr>
            <w:r>
              <w:rPr>
                <w:rFonts w:ascii="Calibri" w:cs="Calibri" w:eastAsia="Calibri" w:hAnsi="Calibri"/>
                <w:color w:val="4A5568"/>
                <w:sz w:val="18"/>
                <w:szCs w:val="18"/>
              </w:rPr>
              <w:t xml:space="preserve">One-pagers, website copy, release emails, and sales decks draw directly from this section. The claim-specificity rules in the skill are particularly valuable for maintaining credibility in external materials.</w:t>
            </w:r>
          </w:p>
        </w:tc>
      </w:tr>
      <w:tr>
        <w:tc>
          <w:tcPr>
            <w:tcW w:type="dxa" w:w="210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b/>
                <w:bCs/>
                <w:color w:val="1F3864"/>
                <w:sz w:val="18"/>
                <w:szCs w:val="18"/>
              </w:rPr>
              <w:t xml:space="preserve">End-to-End Workflow</w:t>
            </w:r>
          </w:p>
        </w:tc>
        <w:tc>
          <w:tcPr>
            <w:tcW w:type="dxa" w:w="1300"/>
            <w:tcBorders>
              <w:top w:val="single" w:color="CBD5E0" w:sz="4"/>
              <w:left w:val="single" w:color="CBD5E0" w:sz="4"/>
              <w:bottom w:val="single" w:color="CBD5E0" w:sz="4"/>
              <w:right w:val="single" w:color="CBD5E0" w:sz="4"/>
            </w:tcBorders>
            <w:shd w:fill="FFFBEB" w:val="clear"/>
            <w:vAlign w:val="center"/>
          </w:tcPr>
          <w:p>
            <w:pPr>
              <w:spacing w:after="60" w:before="60"/>
              <w:jc w:val="center"/>
            </w:pPr>
            <w:r>
              <w:rPr>
                <w:rFonts w:ascii="Calibri" w:cs="Calibri" w:eastAsia="Calibri" w:hAnsi="Calibri"/>
                <w:b/>
                <w:bCs/>
                <w:color w:val="92400E"/>
                <w:sz w:val="18"/>
                <w:szCs w:val="18"/>
              </w:rPr>
              <w:t xml:space="preserve">Partially Covered</w:t>
            </w:r>
          </w:p>
        </w:tc>
        <w:tc>
          <w:tcPr>
            <w:tcW w:type="dxa" w:w="3000"/>
            <w:tcBorders>
              <w:top w:val="single" w:color="CBD5E0" w:sz="4"/>
              <w:left w:val="single" w:color="CBD5E0" w:sz="4"/>
              <w:bottom w:val="single" w:color="CBD5E0" w:sz="4"/>
              <w:right w:val="single" w:color="CBD5E0" w:sz="4"/>
            </w:tcBorders>
            <w:vAlign w:val="top"/>
          </w:tcPr>
          <w:p>
            <w:pPr>
              <w:spacing w:after="40" w:before="60"/>
            </w:pPr>
            <w:r>
              <w:rPr>
                <w:rFonts w:ascii="Calibri" w:cs="Calibri" w:eastAsia="Calibri" w:hAnsi="Calibri"/>
                <w:color w:val="4A5568"/>
                <w:sz w:val="18"/>
                <w:szCs w:val="18"/>
              </w:rPr>
              <w:t xml:space="preserve">The solution paragraph describes how the product works at a conceptual level. The worked example demonstrates strong narrative flow through the workflow.</w:t>
            </w:r>
          </w:p>
        </w:tc>
        <w:tc>
          <w:tcPr>
            <w:tcW w:type="dxa" w:w="3500"/>
            <w:tcBorders>
              <w:top w:val="single" w:color="CBD5E0" w:sz="4"/>
              <w:left w:val="single" w:color="CBD5E0" w:sz="4"/>
              <w:bottom w:val="single" w:color="CBD5E0" w:sz="4"/>
              <w:right w:val="single" w:color="CBD5E0" w:sz="4"/>
            </w:tcBorders>
            <w:vAlign w:val="top"/>
          </w:tcPr>
          <w:p>
            <w:pPr>
              <w:spacing w:after="40" w:before="60"/>
            </w:pPr>
            <w:r>
              <w:rPr>
                <w:rFonts w:ascii="Calibri" w:cs="Calibri" w:eastAsia="Calibri" w:hAnsi="Calibri"/>
                <w:color w:val="4A5568"/>
                <w:sz w:val="18"/>
                <w:szCs w:val="18"/>
              </w:rPr>
              <w:t xml:space="preserve">A link or reference to workflow documentation (text, diagram, or video), what triggers the process (manual action, scheduled run, or event), and the end state when the workflow completes successfully could be considered as optional structured inputs.</w:t>
            </w:r>
          </w:p>
        </w:tc>
        <w:tc>
          <w:tcPr>
            <w:tcW w:type="dxa" w:w="4500"/>
            <w:tcBorders>
              <w:top w:val="single" w:color="CBD5E0" w:sz="4"/>
              <w:left w:val="single" w:color="CBD5E0" w:sz="4"/>
              <w:bottom w:val="single" w:color="CBD5E0" w:sz="4"/>
              <w:right w:val="single" w:color="CBD5E0" w:sz="4"/>
            </w:tcBorders>
            <w:vAlign w:val="top"/>
          </w:tcPr>
          <w:p>
            <w:pPr>
              <w:spacing w:after="40" w:before="60"/>
            </w:pPr>
            <w:r>
              <w:rPr>
                <w:rFonts w:ascii="Calibri" w:cs="Calibri" w:eastAsia="Calibri" w:hAnsi="Calibri"/>
                <w:color w:val="4A5568"/>
                <w:sz w:val="18"/>
                <w:szCs w:val="18"/>
              </w:rPr>
              <w:t xml:space="preserve">Demo scripts, help content, and training materials — including IQ champions onboarding — are built from workflow detail. Having this referenced in the release note reduces the effort of tracking it down separately.</w:t>
            </w:r>
          </w:p>
        </w:tc>
      </w:tr>
      <w:tr>
        <w:tc>
          <w:tcPr>
            <w:tcW w:type="dxa" w:w="210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b/>
                <w:bCs/>
                <w:color w:val="1F3864"/>
                <w:sz w:val="18"/>
                <w:szCs w:val="18"/>
              </w:rPr>
              <w:t xml:space="preserve">Capabilities &amp; Use Cases</w:t>
            </w:r>
          </w:p>
        </w:tc>
        <w:tc>
          <w:tcPr>
            <w:tcW w:type="dxa" w:w="1300"/>
            <w:tcBorders>
              <w:top w:val="single" w:color="CBD5E0" w:sz="4"/>
              <w:left w:val="single" w:color="CBD5E0" w:sz="4"/>
              <w:bottom w:val="single" w:color="CBD5E0" w:sz="4"/>
              <w:right w:val="single" w:color="CBD5E0" w:sz="4"/>
            </w:tcBorders>
            <w:shd w:fill="FFFBEB" w:val="clear"/>
            <w:vAlign w:val="center"/>
          </w:tcPr>
          <w:p>
            <w:pPr>
              <w:spacing w:after="60" w:before="60"/>
              <w:jc w:val="center"/>
            </w:pPr>
            <w:r>
              <w:rPr>
                <w:rFonts w:ascii="Calibri" w:cs="Calibri" w:eastAsia="Calibri" w:hAnsi="Calibri"/>
                <w:b/>
                <w:bCs/>
                <w:color w:val="92400E"/>
                <w:sz w:val="18"/>
                <w:szCs w:val="18"/>
              </w:rPr>
              <w:t xml:space="preserve">Partially Covered</w:t>
            </w:r>
          </w:p>
        </w:tc>
        <w:tc>
          <w:tcPr>
            <w:tcW w:type="dxa" w:w="3000"/>
            <w:tcBorders>
              <w:top w:val="single" w:color="CBD5E0" w:sz="4"/>
              <w:left w:val="single" w:color="CBD5E0" w:sz="4"/>
              <w:bottom w:val="single" w:color="CBD5E0" w:sz="4"/>
              <w:right w:val="single" w:color="CBD5E0" w:sz="4"/>
            </w:tcBorders>
            <w:vAlign w:val="top"/>
          </w:tcPr>
          <w:p>
            <w:pPr>
              <w:spacing w:after="40" w:before="60"/>
            </w:pPr>
            <w:r>
              <w:rPr>
                <w:rFonts w:ascii="Calibri" w:cs="Calibri" w:eastAsia="Calibri" w:hAnsi="Calibri"/>
                <w:color w:val="4A5568"/>
                <w:sz w:val="18"/>
                <w:szCs w:val="18"/>
              </w:rPr>
              <w:t xml:space="preserve">Capabilities and use cases appear naturally in the solution paragraph and external FAQs. The worked example demonstrates specific, well-grounded capability descriptions.</w:t>
            </w:r>
          </w:p>
        </w:tc>
        <w:tc>
          <w:tcPr>
            <w:tcW w:type="dxa" w:w="3500"/>
            <w:tcBorders>
              <w:top w:val="single" w:color="CBD5E0" w:sz="4"/>
              <w:left w:val="single" w:color="CBD5E0" w:sz="4"/>
              <w:bottom w:val="single" w:color="CBD5E0" w:sz="4"/>
              <w:right w:val="single" w:color="CBD5E0" w:sz="4"/>
            </w:tcBorders>
            <w:vAlign w:val="top"/>
          </w:tcPr>
          <w:p>
            <w:pPr>
              <w:spacing w:after="40" w:before="60"/>
            </w:pPr>
            <w:r>
              <w:rPr>
                <w:rFonts w:ascii="Calibri" w:cs="Calibri" w:eastAsia="Calibri" w:hAnsi="Calibri"/>
                <w:color w:val="4A5568"/>
                <w:sz w:val="18"/>
                <w:szCs w:val="18"/>
              </w:rPr>
              <w:t xml:space="preserve">A structured capability list (what this feature can do, stated as facts), three to five named use cases with the persona, task, and outcome for each, and explicit non-use cases (what the feature does not solve) could further support downstream asset creation.</w:t>
            </w:r>
          </w:p>
        </w:tc>
        <w:tc>
          <w:tcPr>
            <w:tcW w:type="dxa" w:w="4500"/>
            <w:tcBorders>
              <w:top w:val="single" w:color="CBD5E0" w:sz="4"/>
              <w:left w:val="single" w:color="CBD5E0" w:sz="4"/>
              <w:bottom w:val="single" w:color="CBD5E0" w:sz="4"/>
              <w:right w:val="single" w:color="CBD5E0" w:sz="4"/>
            </w:tcBorders>
            <w:vAlign w:val="top"/>
          </w:tcPr>
          <w:p>
            <w:pPr>
              <w:spacing w:after="40" w:before="60"/>
            </w:pPr>
            <w:r>
              <w:rPr>
                <w:rFonts w:ascii="Calibri" w:cs="Calibri" w:eastAsia="Calibri" w:hAnsi="Calibri"/>
                <w:color w:val="4A5568"/>
                <w:sz w:val="18"/>
                <w:szCs w:val="18"/>
              </w:rPr>
              <w:t xml:space="preserve">Battlecards, one-pagers, and use-case-specific sales content require this level of detail. Non-use cases are particularly valuable for sales qualification and RFP responses, helping avoid misfits early.</w:t>
            </w:r>
          </w:p>
        </w:tc>
      </w:tr>
      <w:tr>
        <w:tc>
          <w:tcPr>
            <w:tcW w:type="dxa" w:w="210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b/>
                <w:bCs/>
                <w:color w:val="1F3864"/>
                <w:sz w:val="18"/>
                <w:szCs w:val="18"/>
              </w:rPr>
              <w:t xml:space="preserve">Known Limitations</w:t>
            </w:r>
          </w:p>
        </w:tc>
        <w:tc>
          <w:tcPr>
            <w:tcW w:type="dxa" w:w="1300"/>
            <w:tcBorders>
              <w:top w:val="single" w:color="CBD5E0" w:sz="4"/>
              <w:left w:val="single" w:color="CBD5E0" w:sz="4"/>
              <w:bottom w:val="single" w:color="CBD5E0" w:sz="4"/>
              <w:right w:val="single" w:color="CBD5E0" w:sz="4"/>
            </w:tcBorders>
            <w:shd w:fill="FFFBEB" w:val="clear"/>
            <w:vAlign w:val="center"/>
          </w:tcPr>
          <w:p>
            <w:pPr>
              <w:spacing w:after="60" w:before="60"/>
              <w:jc w:val="center"/>
            </w:pPr>
            <w:r>
              <w:rPr>
                <w:rFonts w:ascii="Calibri" w:cs="Calibri" w:eastAsia="Calibri" w:hAnsi="Calibri"/>
                <w:b/>
                <w:bCs/>
                <w:color w:val="92400E"/>
                <w:sz w:val="18"/>
                <w:szCs w:val="18"/>
              </w:rPr>
              <w:t xml:space="preserve">Partially Covered</w:t>
            </w:r>
          </w:p>
        </w:tc>
        <w:tc>
          <w:tcPr>
            <w:tcW w:type="dxa" w:w="3000"/>
            <w:tcBorders>
              <w:top w:val="single" w:color="CBD5E0" w:sz="4"/>
              <w:left w:val="single" w:color="CBD5E0" w:sz="4"/>
              <w:bottom w:val="single" w:color="CBD5E0" w:sz="4"/>
              <w:right w:val="single" w:color="CBD5E0" w:sz="4"/>
            </w:tcBorders>
            <w:vAlign w:val="top"/>
          </w:tcPr>
          <w:p>
            <w:pPr>
              <w:spacing w:after="40" w:before="60"/>
            </w:pPr>
            <w:r>
              <w:rPr>
                <w:rFonts w:ascii="Calibri" w:cs="Calibri" w:eastAsia="Calibri" w:hAnsi="Calibri"/>
                <w:color w:val="4A5568"/>
                <w:sz w:val="18"/>
                <w:szCs w:val="18"/>
              </w:rPr>
              <w:t xml:space="preserve">The external FAQ section "what is not included" addresses scope limitations, and the internal FAQ "what we are explicitly not doing" covers deliberate product choices — both strong practices.</w:t>
            </w:r>
          </w:p>
        </w:tc>
        <w:tc>
          <w:tcPr>
            <w:tcW w:type="dxa" w:w="3500"/>
            <w:tcBorders>
              <w:top w:val="single" w:color="CBD5E0" w:sz="4"/>
              <w:left w:val="single" w:color="CBD5E0" w:sz="4"/>
              <w:bottom w:val="single" w:color="CBD5E0" w:sz="4"/>
              <w:right w:val="single" w:color="CBD5E0" w:sz="4"/>
            </w:tcBorders>
            <w:vAlign w:val="top"/>
          </w:tcPr>
          <w:p>
            <w:pPr>
              <w:spacing w:after="40" w:before="60"/>
            </w:pPr>
            <w:r>
              <w:rPr>
                <w:rFonts w:ascii="Calibri" w:cs="Calibri" w:eastAsia="Calibri" w:hAnsi="Calibri"/>
                <w:color w:val="4A5568"/>
                <w:sz w:val="18"/>
                <w:szCs w:val="18"/>
              </w:rPr>
              <w:t xml:space="preserve">Volume caps, unsupported data formats, or performance constraints; browser/OS/integration compatibility gaps; known issues that will not be fixed at launch; and deliberate design trade-offs accepted in this release could be considered as additional structured fields.</w:t>
            </w:r>
          </w:p>
        </w:tc>
        <w:tc>
          <w:tcPr>
            <w:tcW w:type="dxa" w:w="4500"/>
            <w:tcBorders>
              <w:top w:val="single" w:color="CBD5E0" w:sz="4"/>
              <w:left w:val="single" w:color="CBD5E0" w:sz="4"/>
              <w:bottom w:val="single" w:color="CBD5E0" w:sz="4"/>
              <w:right w:val="single" w:color="CBD5E0" w:sz="4"/>
            </w:tcBorders>
            <w:vAlign w:val="top"/>
          </w:tcPr>
          <w:p>
            <w:pPr>
              <w:spacing w:after="40" w:before="60"/>
            </w:pPr>
            <w:r>
              <w:rPr>
                <w:rFonts w:ascii="Calibri" w:cs="Calibri" w:eastAsia="Calibri" w:hAnsi="Calibri"/>
                <w:color w:val="4A5568"/>
                <w:sz w:val="18"/>
                <w:szCs w:val="18"/>
              </w:rPr>
              <w:t xml:space="preserve">FAQ responses, RFP answers, and sales qualification guidance all require complete limitation detail. A complete limitations picture also reduces the risk of over-promising during sales conversations.</w:t>
            </w:r>
          </w:p>
        </w:tc>
      </w:tr>
      <w:tr>
        <w:tc>
          <w:tcPr>
            <w:tcW w:type="dxa" w:w="210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b/>
                <w:bCs/>
                <w:color w:val="1F3864"/>
                <w:sz w:val="18"/>
                <w:szCs w:val="18"/>
              </w:rPr>
              <w:t xml:space="preserve">Dependencies</w:t>
            </w:r>
          </w:p>
        </w:tc>
        <w:tc>
          <w:tcPr>
            <w:tcW w:type="dxa" w:w="1300"/>
            <w:tcBorders>
              <w:top w:val="single" w:color="CBD5E0" w:sz="4"/>
              <w:left w:val="single" w:color="CBD5E0" w:sz="4"/>
              <w:bottom w:val="single" w:color="CBD5E0" w:sz="4"/>
              <w:right w:val="single" w:color="CBD5E0" w:sz="4"/>
            </w:tcBorders>
            <w:shd w:fill="EFF6FF" w:val="clear"/>
            <w:vAlign w:val="center"/>
          </w:tcPr>
          <w:p>
            <w:pPr>
              <w:spacing w:after="60" w:before="60"/>
              <w:jc w:val="center"/>
            </w:pPr>
            <w:r>
              <w:rPr>
                <w:rFonts w:ascii="Calibri" w:cs="Calibri" w:eastAsia="Calibri" w:hAnsi="Calibri"/>
                <w:b/>
                <w:bCs/>
                <w:color w:val="1E40AF"/>
                <w:sz w:val="18"/>
                <w:szCs w:val="18"/>
              </w:rPr>
              <w:t xml:space="preserve">Opportunity</w:t>
            </w:r>
          </w:p>
        </w:tc>
        <w:tc>
          <w:tcPr>
            <w:tcW w:type="dxa" w:w="3000"/>
            <w:tcBorders>
              <w:top w:val="single" w:color="CBD5E0" w:sz="4"/>
              <w:left w:val="single" w:color="CBD5E0" w:sz="4"/>
              <w:bottom w:val="single" w:color="CBD5E0" w:sz="4"/>
              <w:right w:val="single" w:color="CBD5E0" w:sz="4"/>
            </w:tcBorders>
            <w:vAlign w:val="top"/>
          </w:tcPr>
          <w:p>
            <w:pPr>
              <w:spacing w:after="40" w:before="60"/>
            </w:pPr>
            <w:r>
              <w:rPr>
                <w:rFonts w:ascii="Calibri" w:cs="Calibri" w:eastAsia="Calibri" w:hAnsi="Calibri"/>
                <w:color w:val="4A5568"/>
                <w:sz w:val="18"/>
                <w:szCs w:val="18"/>
              </w:rPr>
              <w:t xml:space="preserve">Dependencies are sometimes referenced in the FAQ when relevant to understanding access or setup, but they are not a structured input field in the current skill.</w:t>
            </w:r>
          </w:p>
        </w:tc>
        <w:tc>
          <w:tcPr>
            <w:tcW w:type="dxa" w:w="3500"/>
            <w:tcBorders>
              <w:top w:val="single" w:color="CBD5E0" w:sz="4"/>
              <w:left w:val="single" w:color="CBD5E0" w:sz="4"/>
              <w:bottom w:val="single" w:color="CBD5E0" w:sz="4"/>
              <w:right w:val="single" w:color="CBD5E0" w:sz="4"/>
            </w:tcBorders>
            <w:vAlign w:val="top"/>
          </w:tcPr>
          <w:p>
            <w:pPr>
              <w:spacing w:after="40" w:before="60"/>
            </w:pPr>
            <w:r>
              <w:rPr>
                <w:rFonts w:ascii="Calibri" w:cs="Calibri" w:eastAsia="Calibri" w:hAnsi="Calibri"/>
                <w:color w:val="4A5568"/>
                <w:sz w:val="18"/>
                <w:szCs w:val="18"/>
              </w:rPr>
              <w:t xml:space="preserve">Required product modules, integrations, or user permissions that must be active first; required customer data format or configuration; minimum technical environment; and deployment model (Saras-managed vs. customer-managed) could be considered.</w:t>
            </w:r>
          </w:p>
        </w:tc>
        <w:tc>
          <w:tcPr>
            <w:tcW w:type="dxa" w:w="4500"/>
            <w:tcBorders>
              <w:top w:val="single" w:color="CBD5E0" w:sz="4"/>
              <w:left w:val="single" w:color="CBD5E0" w:sz="4"/>
              <w:bottom w:val="single" w:color="CBD5E0" w:sz="4"/>
              <w:right w:val="single" w:color="CBD5E0" w:sz="4"/>
            </w:tcBorders>
            <w:vAlign w:val="top"/>
          </w:tcPr>
          <w:p>
            <w:pPr>
              <w:spacing w:after="40" w:before="60"/>
            </w:pPr>
            <w:r>
              <w:rPr>
                <w:rFonts w:ascii="Calibri" w:cs="Calibri" w:eastAsia="Calibri" w:hAnsi="Calibri"/>
                <w:color w:val="4A5568"/>
                <w:sz w:val="18"/>
                <w:szCs w:val="18"/>
              </w:rPr>
              <w:t xml:space="preserve">Onboarding content, implementation guides, and sales qualification criteria all depend on knowing what must be in place before a customer can use the feature. This also informs which existing customers are immediately eligible vs. which require additional setup.</w:t>
            </w:r>
          </w:p>
        </w:tc>
      </w:tr>
      <w:tr>
        <w:tc>
          <w:tcPr>
            <w:gridSpan w:val="5"/>
            <w:tcBorders>
              <w:top w:val="single" w:color="CBD5E0" w:sz="4"/>
              <w:left w:val="single" w:color="CBD5E0" w:sz="4"/>
              <w:bottom w:val="single" w:color="CBD5E0" w:sz="4"/>
              <w:right w:val="single" w:color="CBD5E0" w:sz="4"/>
            </w:tcBorders>
            <w:shd w:fill="2E7D8C" w:val="clear"/>
          </w:tcPr>
          <w:p>
            <w:pPr>
              <w:spacing w:after="60" w:before="60"/>
            </w:pPr>
            <w:r>
              <w:rPr>
                <w:rFonts w:ascii="Calibri" w:cs="Calibri" w:eastAsia="Calibri" w:hAnsi="Calibri"/>
                <w:b/>
                <w:bCs/>
                <w:color w:val="FFFFFF"/>
                <w:sz w:val="18"/>
                <w:szCs w:val="18"/>
              </w:rPr>
              <w:t xml:space="preserve">4. Customer Evidence</w:t>
            </w:r>
          </w:p>
        </w:tc>
      </w:tr>
      <w:tr>
        <w:tc>
          <w:tcPr>
            <w:tcW w:type="dxa" w:w="210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b/>
                <w:bCs/>
                <w:color w:val="1F3864"/>
                <w:sz w:val="18"/>
                <w:szCs w:val="18"/>
              </w:rPr>
              <w:t xml:space="preserve">Customer Validation &amp; Early Adoption</w:t>
            </w:r>
          </w:p>
        </w:tc>
        <w:tc>
          <w:tcPr>
            <w:tcW w:type="dxa" w:w="1300"/>
            <w:tcBorders>
              <w:top w:val="single" w:color="CBD5E0" w:sz="4"/>
              <w:left w:val="single" w:color="CBD5E0" w:sz="4"/>
              <w:bottom w:val="single" w:color="CBD5E0" w:sz="4"/>
              <w:right w:val="single" w:color="CBD5E0" w:sz="4"/>
            </w:tcBorders>
            <w:shd w:fill="FFFBEB" w:val="clear"/>
            <w:vAlign w:val="center"/>
          </w:tcPr>
          <w:p>
            <w:pPr>
              <w:spacing w:after="60" w:before="60"/>
              <w:jc w:val="center"/>
            </w:pPr>
            <w:r>
              <w:rPr>
                <w:rFonts w:ascii="Calibri" w:cs="Calibri" w:eastAsia="Calibri" w:hAnsi="Calibri"/>
                <w:b/>
                <w:bCs/>
                <w:color w:val="92400E"/>
                <w:sz w:val="18"/>
                <w:szCs w:val="18"/>
              </w:rPr>
              <w:t xml:space="preserve">Partially Covered</w:t>
            </w:r>
          </w:p>
        </w:tc>
        <w:tc>
          <w:tcPr>
            <w:tcW w:type="dxa" w:w="3000"/>
            <w:tcBorders>
              <w:top w:val="single" w:color="CBD5E0" w:sz="4"/>
              <w:left w:val="single" w:color="CBD5E0" w:sz="4"/>
              <w:bottom w:val="single" w:color="CBD5E0" w:sz="4"/>
              <w:right w:val="single" w:color="CBD5E0" w:sz="4"/>
            </w:tcBorders>
            <w:vAlign w:val="top"/>
          </w:tcPr>
          <w:p>
            <w:pPr>
              <w:spacing w:after="40" w:before="60"/>
            </w:pPr>
            <w:r>
              <w:rPr>
                <w:rFonts w:ascii="Calibri" w:cs="Calibri" w:eastAsia="Calibri" w:hAnsi="Calibri"/>
                <w:color w:val="4A5568"/>
                <w:sz w:val="18"/>
                <w:szCs w:val="18"/>
              </w:rPr>
              <w:t xml:space="preserve">Customer quotes — written as if from real customers — are a required section in the press release. The worked example includes multiple specific, outcome-grounded customer voices. Pilot customer mentions appear in the FAQ.</w:t>
            </w:r>
          </w:p>
        </w:tc>
        <w:tc>
          <w:tcPr>
            <w:tcW w:type="dxa" w:w="3500"/>
            <w:tcBorders>
              <w:top w:val="single" w:color="CBD5E0" w:sz="4"/>
              <w:left w:val="single" w:color="CBD5E0" w:sz="4"/>
              <w:bottom w:val="single" w:color="CBD5E0" w:sz="4"/>
              <w:right w:val="single" w:color="CBD5E0" w:sz="4"/>
            </w:tcBorders>
            <w:vAlign w:val="top"/>
          </w:tcPr>
          <w:p>
            <w:pPr>
              <w:spacing w:after="40" w:before="60"/>
            </w:pPr>
            <w:r>
              <w:rPr>
                <w:rFonts w:ascii="Calibri" w:cs="Calibri" w:eastAsia="Calibri" w:hAnsi="Calibri"/>
                <w:color w:val="4A5568"/>
                <w:sz w:val="18"/>
                <w:szCs w:val="18"/>
              </w:rPr>
              <w:t xml:space="preserve">A brief structured note on production customers, beta/EAP participants, design partners, or internal validation used — and whether reference customers are available for press or analyst conversations — could provide additional context.</w:t>
            </w:r>
          </w:p>
        </w:tc>
        <w:tc>
          <w:tcPr>
            <w:tcW w:type="dxa" w:w="4500"/>
            <w:tcBorders>
              <w:top w:val="single" w:color="CBD5E0" w:sz="4"/>
              <w:left w:val="single" w:color="CBD5E0" w:sz="4"/>
              <w:bottom w:val="single" w:color="CBD5E0" w:sz="4"/>
              <w:right w:val="single" w:color="CBD5E0" w:sz="4"/>
            </w:tcBorders>
            <w:vAlign w:val="top"/>
          </w:tcPr>
          <w:p>
            <w:pPr>
              <w:spacing w:after="40" w:before="60"/>
            </w:pPr>
            <w:r>
              <w:rPr>
                <w:rFonts w:ascii="Calibri" w:cs="Calibri" w:eastAsia="Calibri" w:hAnsi="Calibri"/>
                <w:color w:val="4A5568"/>
                <w:sz w:val="18"/>
                <w:szCs w:val="18"/>
              </w:rPr>
              <w:t xml:space="preserve">Case studies, proof points, and outcome-based launch messaging require knowing what evidence exists and at what strength. Reference customer availability is directly relevant to press release and analyst briefing planning.</w:t>
            </w:r>
          </w:p>
        </w:tc>
      </w:tr>
      <w:tr>
        <w:tc>
          <w:tcPr>
            <w:tcW w:type="dxa" w:w="210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b/>
                <w:bCs/>
                <w:color w:val="1F3864"/>
                <w:sz w:val="18"/>
                <w:szCs w:val="18"/>
              </w:rPr>
              <w:t xml:space="preserve">Research &amp; Validation</w:t>
            </w:r>
          </w:p>
        </w:tc>
        <w:tc>
          <w:tcPr>
            <w:tcW w:type="dxa" w:w="1300"/>
            <w:tcBorders>
              <w:top w:val="single" w:color="CBD5E0" w:sz="4"/>
              <w:left w:val="single" w:color="CBD5E0" w:sz="4"/>
              <w:bottom w:val="single" w:color="CBD5E0" w:sz="4"/>
              <w:right w:val="single" w:color="CBD5E0" w:sz="4"/>
            </w:tcBorders>
            <w:shd w:fill="EFF6FF" w:val="clear"/>
            <w:vAlign w:val="center"/>
          </w:tcPr>
          <w:p>
            <w:pPr>
              <w:spacing w:after="60" w:before="60"/>
              <w:jc w:val="center"/>
            </w:pPr>
            <w:r>
              <w:rPr>
                <w:rFonts w:ascii="Calibri" w:cs="Calibri" w:eastAsia="Calibri" w:hAnsi="Calibri"/>
                <w:b/>
                <w:bCs/>
                <w:color w:val="1E40AF"/>
                <w:sz w:val="18"/>
                <w:szCs w:val="18"/>
              </w:rPr>
              <w:t xml:space="preserve">Opportunity</w:t>
            </w:r>
          </w:p>
        </w:tc>
        <w:tc>
          <w:tcPr>
            <w:tcW w:type="dxa" w:w="3000"/>
            <w:tcBorders>
              <w:top w:val="single" w:color="CBD5E0" w:sz="4"/>
              <w:left w:val="single" w:color="CBD5E0" w:sz="4"/>
              <w:bottom w:val="single" w:color="CBD5E0" w:sz="4"/>
              <w:right w:val="single" w:color="CBD5E0" w:sz="4"/>
            </w:tcBorders>
            <w:vAlign w:val="top"/>
          </w:tcPr>
          <w:p>
            <w:pPr>
              <w:spacing w:after="40" w:before="60"/>
            </w:pPr>
            <w:r>
              <w:rPr>
                <w:rFonts w:ascii="Calibri" w:cs="Calibri" w:eastAsia="Calibri" w:hAnsi="Calibri"/>
                <w:color w:val="4A5568"/>
                <w:sz w:val="18"/>
                <w:szCs w:val="18"/>
              </w:rPr>
              <w:t xml:space="preserve">The current skill requires every claim in the press release to be specific and verifiable — a strong quality standard. However, the source of that validation (customer interview, usage analytics, product assumption) is not currently captured.</w:t>
            </w:r>
          </w:p>
        </w:tc>
        <w:tc>
          <w:tcPr>
            <w:tcW w:type="dxa" w:w="3500"/>
            <w:tcBorders>
              <w:top w:val="single" w:color="CBD5E0" w:sz="4"/>
              <w:left w:val="single" w:color="CBD5E0" w:sz="4"/>
              <w:bottom w:val="single" w:color="CBD5E0" w:sz="4"/>
              <w:right w:val="single" w:color="CBD5E0" w:sz="4"/>
            </w:tcBorders>
            <w:vAlign w:val="top"/>
          </w:tcPr>
          <w:p>
            <w:pPr>
              <w:spacing w:after="40" w:before="60"/>
            </w:pPr>
            <w:r>
              <w:rPr>
                <w:rFonts w:ascii="Calibri" w:cs="Calibri" w:eastAsia="Calibri" w:hAnsi="Calibri"/>
                <w:color w:val="4A5568"/>
                <w:sz w:val="18"/>
                <w:szCs w:val="18"/>
              </w:rPr>
              <w:t xml:space="preserve">For each key claim (problem, persona, use cases, outcomes), a brief note on whether it is validated research or a product assumption — and a pointer to where supporting data lives — could be considered.</w:t>
            </w:r>
          </w:p>
        </w:tc>
        <w:tc>
          <w:tcPr>
            <w:tcW w:type="dxa" w:w="4500"/>
            <w:tcBorders>
              <w:top w:val="single" w:color="CBD5E0" w:sz="4"/>
              <w:left w:val="single" w:color="CBD5E0" w:sz="4"/>
              <w:bottom w:val="single" w:color="CBD5E0" w:sz="4"/>
              <w:right w:val="single" w:color="CBD5E0" w:sz="4"/>
            </w:tcBorders>
            <w:vAlign w:val="top"/>
          </w:tcPr>
          <w:p>
            <w:pPr>
              <w:spacing w:after="40" w:before="60"/>
            </w:pPr>
            <w:r>
              <w:rPr>
                <w:rFonts w:ascii="Calibri" w:cs="Calibri" w:eastAsia="Calibri" w:hAnsi="Calibri"/>
                <w:color w:val="4A5568"/>
                <w:sz w:val="18"/>
                <w:szCs w:val="18"/>
              </w:rPr>
              <w:t xml:space="preserve">This determines which claims PMM can assert confidently and which require qualification language. It also informs the credibility level of launch messaging and analyst briefing content.</w:t>
            </w:r>
          </w:p>
        </w:tc>
      </w:tr>
      <w:tr>
        <w:tc>
          <w:tcPr>
            <w:gridSpan w:val="5"/>
            <w:tcBorders>
              <w:top w:val="single" w:color="CBD5E0" w:sz="4"/>
              <w:left w:val="single" w:color="CBD5E0" w:sz="4"/>
              <w:bottom w:val="single" w:color="CBD5E0" w:sz="4"/>
              <w:right w:val="single" w:color="CBD5E0" w:sz="4"/>
            </w:tcBorders>
            <w:shd w:fill="2E7D8C" w:val="clear"/>
          </w:tcPr>
          <w:p>
            <w:pPr>
              <w:spacing w:after="60" w:before="60"/>
            </w:pPr>
            <w:r>
              <w:rPr>
                <w:rFonts w:ascii="Calibri" w:cs="Calibri" w:eastAsia="Calibri" w:hAnsi="Calibri"/>
                <w:b/>
                <w:bCs/>
                <w:color w:val="FFFFFF"/>
                <w:sz w:val="18"/>
                <w:szCs w:val="18"/>
              </w:rPr>
              <w:t xml:space="preserve">5. Operational Readiness</w:t>
            </w:r>
          </w:p>
        </w:tc>
      </w:tr>
      <w:tr>
        <w:tc>
          <w:tcPr>
            <w:tcW w:type="dxa" w:w="210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b/>
                <w:bCs/>
                <w:color w:val="1F3864"/>
                <w:sz w:val="18"/>
                <w:szCs w:val="18"/>
              </w:rPr>
              <w:t xml:space="preserve">Availability &amp; Rollout</w:t>
            </w:r>
          </w:p>
        </w:tc>
        <w:tc>
          <w:tcPr>
            <w:tcW w:type="dxa" w:w="1300"/>
            <w:tcBorders>
              <w:top w:val="single" w:color="CBD5E0" w:sz="4"/>
              <w:left w:val="single" w:color="CBD5E0" w:sz="4"/>
              <w:bottom w:val="single" w:color="CBD5E0" w:sz="4"/>
              <w:right w:val="single" w:color="CBD5E0" w:sz="4"/>
            </w:tcBorders>
            <w:shd w:fill="FFFBEB" w:val="clear"/>
            <w:vAlign w:val="center"/>
          </w:tcPr>
          <w:p>
            <w:pPr>
              <w:spacing w:after="60" w:before="60"/>
              <w:jc w:val="center"/>
            </w:pPr>
            <w:r>
              <w:rPr>
                <w:rFonts w:ascii="Calibri" w:cs="Calibri" w:eastAsia="Calibri" w:hAnsi="Calibri"/>
                <w:b/>
                <w:bCs/>
                <w:color w:val="92400E"/>
                <w:sz w:val="18"/>
                <w:szCs w:val="18"/>
              </w:rPr>
              <w:t xml:space="preserve">Partially Covered</w:t>
            </w:r>
          </w:p>
        </w:tc>
        <w:tc>
          <w:tcPr>
            <w:tcW w:type="dxa" w:w="3000"/>
            <w:tcBorders>
              <w:top w:val="single" w:color="CBD5E0" w:sz="4"/>
              <w:left w:val="single" w:color="CBD5E0" w:sz="4"/>
              <w:bottom w:val="single" w:color="CBD5E0" w:sz="4"/>
              <w:right w:val="single" w:color="CBD5E0" w:sz="4"/>
            </w:tcBorders>
            <w:vAlign w:val="top"/>
          </w:tcPr>
          <w:p>
            <w:pPr>
              <w:spacing w:after="40" w:before="60"/>
            </w:pPr>
            <w:r>
              <w:rPr>
                <w:rFonts w:ascii="Calibri" w:cs="Calibri" w:eastAsia="Calibri" w:hAnsi="Calibri"/>
                <w:color w:val="4A5568"/>
                <w:sz w:val="18"/>
                <w:szCs w:val="18"/>
              </w:rPr>
              <w:t xml:space="preserve">Rollout approach, access timing, and phasing are frequently addressed in the external FAQ. The worked example clearly describes pilot scope, wave structure, and how customers join the waitlist.</w:t>
            </w:r>
          </w:p>
        </w:tc>
        <w:tc>
          <w:tcPr>
            <w:tcW w:type="dxa" w:w="3500"/>
            <w:tcBorders>
              <w:top w:val="single" w:color="CBD5E0" w:sz="4"/>
              <w:left w:val="single" w:color="CBD5E0" w:sz="4"/>
              <w:bottom w:val="single" w:color="CBD5E0" w:sz="4"/>
              <w:right w:val="single" w:color="CBD5E0" w:sz="4"/>
            </w:tcBorders>
            <w:vAlign w:val="top"/>
          </w:tcPr>
          <w:p>
            <w:pPr>
              <w:spacing w:after="40" w:before="60"/>
            </w:pPr>
            <w:r>
              <w:rPr>
                <w:rFonts w:ascii="Calibri" w:cs="Calibri" w:eastAsia="Calibri" w:hAnsi="Calibri"/>
                <w:color w:val="4A5568"/>
                <w:sz w:val="18"/>
                <w:szCs w:val="18"/>
              </w:rPr>
              <w:t xml:space="preserve">Whether manual enablement is required and who performs it, and any geographic or regulatory availability restrictions, could be added as optional structured fields to ensure completeness.</w:t>
            </w:r>
          </w:p>
        </w:tc>
        <w:tc>
          <w:tcPr>
            <w:tcW w:type="dxa" w:w="4500"/>
            <w:tcBorders>
              <w:top w:val="single" w:color="CBD5E0" w:sz="4"/>
              <w:left w:val="single" w:color="CBD5E0" w:sz="4"/>
              <w:bottom w:val="single" w:color="CBD5E0" w:sz="4"/>
              <w:right w:val="single" w:color="CBD5E0" w:sz="4"/>
            </w:tcBorders>
            <w:vAlign w:val="top"/>
          </w:tcPr>
          <w:p>
            <w:pPr>
              <w:spacing w:after="40" w:before="60"/>
            </w:pPr>
            <w:r>
              <w:rPr>
                <w:rFonts w:ascii="Calibri" w:cs="Calibri" w:eastAsia="Calibri" w:hAnsi="Calibri"/>
                <w:color w:val="4A5568"/>
                <w:sz w:val="18"/>
                <w:szCs w:val="18"/>
              </w:rPr>
              <w:t xml:space="preserve">Customer announcements, release notes, and CS communications all require accurate rollout details. Geographic restrictions in particular are important for localised launch planning.</w:t>
            </w:r>
          </w:p>
        </w:tc>
      </w:tr>
      <w:tr>
        <w:tc>
          <w:tcPr>
            <w:tcW w:type="dxa" w:w="210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b/>
                <w:bCs/>
                <w:color w:val="1F3864"/>
                <w:sz w:val="18"/>
                <w:szCs w:val="18"/>
              </w:rPr>
              <w:t xml:space="preserve">Commercial Readiness</w:t>
            </w:r>
          </w:p>
        </w:tc>
        <w:tc>
          <w:tcPr>
            <w:tcW w:type="dxa" w:w="1300"/>
            <w:tcBorders>
              <w:top w:val="single" w:color="CBD5E0" w:sz="4"/>
              <w:left w:val="single" w:color="CBD5E0" w:sz="4"/>
              <w:bottom w:val="single" w:color="CBD5E0" w:sz="4"/>
              <w:right w:val="single" w:color="CBD5E0" w:sz="4"/>
            </w:tcBorders>
            <w:shd w:fill="EFF6FF" w:val="clear"/>
            <w:vAlign w:val="center"/>
          </w:tcPr>
          <w:p>
            <w:pPr>
              <w:spacing w:after="60" w:before="60"/>
              <w:jc w:val="center"/>
            </w:pPr>
            <w:r>
              <w:rPr>
                <w:rFonts w:ascii="Calibri" w:cs="Calibri" w:eastAsia="Calibri" w:hAnsi="Calibri"/>
                <w:b/>
                <w:bCs/>
                <w:color w:val="1E40AF"/>
                <w:sz w:val="18"/>
                <w:szCs w:val="18"/>
              </w:rPr>
              <w:t xml:space="preserve">Opportunity</w:t>
            </w:r>
          </w:p>
        </w:tc>
        <w:tc>
          <w:tcPr>
            <w:tcW w:type="dxa" w:w="3000"/>
            <w:tcBorders>
              <w:top w:val="single" w:color="CBD5E0" w:sz="4"/>
              <w:left w:val="single" w:color="CBD5E0" w:sz="4"/>
              <w:bottom w:val="single" w:color="CBD5E0" w:sz="4"/>
              <w:right w:val="single" w:color="CBD5E0" w:sz="4"/>
            </w:tcBorders>
            <w:vAlign w:val="top"/>
          </w:tcPr>
          <w:p>
            <w:pPr>
              <w:spacing w:after="40" w:before="60"/>
            </w:pPr>
            <w:r>
              <w:rPr>
                <w:rFonts w:ascii="Calibri" w:cs="Calibri" w:eastAsia="Calibri" w:hAnsi="Calibri"/>
                <w:color w:val="4A5568"/>
                <w:sz w:val="18"/>
                <w:szCs w:val="18"/>
              </w:rPr>
              <w:t xml:space="preserve">Pricing and packaging are outside the current skill's scope. The PR/FAQ format focuses on product narrative rather than commercial detail.</w:t>
            </w:r>
          </w:p>
        </w:tc>
        <w:tc>
          <w:tcPr>
            <w:tcW w:type="dxa" w:w="3500"/>
            <w:tcBorders>
              <w:top w:val="single" w:color="CBD5E0" w:sz="4"/>
              <w:left w:val="single" w:color="CBD5E0" w:sz="4"/>
              <w:bottom w:val="single" w:color="CBD5E0" w:sz="4"/>
              <w:right w:val="single" w:color="CBD5E0" w:sz="4"/>
            </w:tcBorders>
            <w:vAlign w:val="top"/>
          </w:tcPr>
          <w:p>
            <w:pPr>
              <w:spacing w:after="40" w:before="60"/>
            </w:pPr>
            <w:r>
              <w:rPr>
                <w:rFonts w:ascii="Calibri" w:cs="Calibri" w:eastAsia="Calibri" w:hAnsi="Calibri"/>
                <w:color w:val="4A5568"/>
                <w:sz w:val="18"/>
                <w:szCs w:val="18"/>
              </w:rPr>
              <w:t xml:space="preserve">A brief section — or a pointer to where this information lives — covering which pricing plans include the feature, roadmap scope within pricing, trial inclusion, upgrade paths, and business model could be considered.</w:t>
            </w:r>
          </w:p>
        </w:tc>
        <w:tc>
          <w:tcPr>
            <w:tcW w:type="dxa" w:w="4500"/>
            <w:tcBorders>
              <w:top w:val="single" w:color="CBD5E0" w:sz="4"/>
              <w:left w:val="single" w:color="CBD5E0" w:sz="4"/>
              <w:bottom w:val="single" w:color="CBD5E0" w:sz="4"/>
              <w:right w:val="single" w:color="CBD5E0" w:sz="4"/>
            </w:tcBorders>
            <w:vAlign w:val="top"/>
          </w:tcPr>
          <w:p>
            <w:pPr>
              <w:spacing w:after="40" w:before="60"/>
            </w:pPr>
            <w:r>
              <w:rPr>
                <w:rFonts w:ascii="Calibri" w:cs="Calibri" w:eastAsia="Calibri" w:hAnsi="Calibri"/>
                <w:color w:val="4A5568"/>
                <w:sz w:val="18"/>
                <w:szCs w:val="18"/>
              </w:rPr>
              <w:t xml:space="preserve">Pricing pages, packaging guides, product pages, sales enablement, customer FAQs, and launch communications all require this input. Without it, PMM may need to pursue this information through a separate channel before GTM work can begin.</w:t>
            </w:r>
          </w:p>
        </w:tc>
      </w:tr>
      <w:tr>
        <w:tc>
          <w:tcPr>
            <w:tcW w:type="dxa" w:w="210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b/>
                <w:bCs/>
                <w:color w:val="1F3864"/>
                <w:sz w:val="18"/>
                <w:szCs w:val="18"/>
              </w:rPr>
              <w:t xml:space="preserve">Operational Health</w:t>
            </w:r>
          </w:p>
        </w:tc>
        <w:tc>
          <w:tcPr>
            <w:tcW w:type="dxa" w:w="1300"/>
            <w:tcBorders>
              <w:top w:val="single" w:color="CBD5E0" w:sz="4"/>
              <w:left w:val="single" w:color="CBD5E0" w:sz="4"/>
              <w:bottom w:val="single" w:color="CBD5E0" w:sz="4"/>
              <w:right w:val="single" w:color="CBD5E0" w:sz="4"/>
            </w:tcBorders>
            <w:shd w:fill="EFF6FF" w:val="clear"/>
            <w:vAlign w:val="center"/>
          </w:tcPr>
          <w:p>
            <w:pPr>
              <w:spacing w:after="60" w:before="60"/>
              <w:jc w:val="center"/>
            </w:pPr>
            <w:r>
              <w:rPr>
                <w:rFonts w:ascii="Calibri" w:cs="Calibri" w:eastAsia="Calibri" w:hAnsi="Calibri"/>
                <w:b/>
                <w:bCs/>
                <w:color w:val="1E40AF"/>
                <w:sz w:val="18"/>
                <w:szCs w:val="18"/>
              </w:rPr>
              <w:t xml:space="preserve">Opportunity</w:t>
            </w:r>
          </w:p>
        </w:tc>
        <w:tc>
          <w:tcPr>
            <w:tcW w:type="dxa" w:w="3000"/>
            <w:tcBorders>
              <w:top w:val="single" w:color="CBD5E0" w:sz="4"/>
              <w:left w:val="single" w:color="CBD5E0" w:sz="4"/>
              <w:bottom w:val="single" w:color="CBD5E0" w:sz="4"/>
              <w:right w:val="single" w:color="CBD5E0" w:sz="4"/>
            </w:tcBorders>
            <w:vAlign w:val="top"/>
          </w:tcPr>
          <w:p>
            <w:pPr>
              <w:spacing w:after="40" w:before="60"/>
            </w:pPr>
            <w:r>
              <w:rPr>
                <w:rFonts w:ascii="Calibri" w:cs="Calibri" w:eastAsia="Calibri" w:hAnsi="Calibri"/>
                <w:color w:val="4A5568"/>
                <w:sz w:val="18"/>
                <w:szCs w:val="18"/>
              </w:rPr>
              <w:t xml:space="preserve">Operational monitoring and failure handling are outside the current PR/FAQ structure, which focuses on the customer-facing value narrative.</w:t>
            </w:r>
          </w:p>
        </w:tc>
        <w:tc>
          <w:tcPr>
            <w:tcW w:type="dxa" w:w="3500"/>
            <w:tcBorders>
              <w:top w:val="single" w:color="CBD5E0" w:sz="4"/>
              <w:left w:val="single" w:color="CBD5E0" w:sz="4"/>
              <w:bottom w:val="single" w:color="CBD5E0" w:sz="4"/>
              <w:right w:val="single" w:color="CBD5E0" w:sz="4"/>
            </w:tcBorders>
            <w:vAlign w:val="top"/>
          </w:tcPr>
          <w:p>
            <w:pPr>
              <w:spacing w:after="40" w:before="60"/>
            </w:pPr>
            <w:r>
              <w:rPr>
                <w:rFonts w:ascii="Calibri" w:cs="Calibri" w:eastAsia="Calibri" w:hAnsi="Calibri"/>
                <w:color w:val="4A5568"/>
                <w:sz w:val="18"/>
                <w:szCs w:val="18"/>
              </w:rPr>
              <w:t xml:space="preserve">Customer-visible failure scenarios, how failures are detected, and monitoring and escalation ownership could be considered as optional additions, particularly for Tier 1 launches.</w:t>
            </w:r>
          </w:p>
        </w:tc>
        <w:tc>
          <w:tcPr>
            <w:tcW w:type="dxa" w:w="4500"/>
            <w:tcBorders>
              <w:top w:val="single" w:color="CBD5E0" w:sz="4"/>
              <w:left w:val="single" w:color="CBD5E0" w:sz="4"/>
              <w:bottom w:val="single" w:color="CBD5E0" w:sz="4"/>
              <w:right w:val="single" w:color="CBD5E0" w:sz="4"/>
            </w:tcBorders>
            <w:vAlign w:val="top"/>
          </w:tcPr>
          <w:p>
            <w:pPr>
              <w:spacing w:after="40" w:before="60"/>
            </w:pPr>
            <w:r>
              <w:rPr>
                <w:rFonts w:ascii="Calibri" w:cs="Calibri" w:eastAsia="Calibri" w:hAnsi="Calibri"/>
                <w:color w:val="4A5568"/>
                <w:sz w:val="18"/>
                <w:szCs w:val="18"/>
              </w:rPr>
              <w:t xml:space="preserve">CS playbooks and internal launch readiness content require this detail. Knowing failure scenarios also helps PMM set appropriate expectations in customer-facing communications.</w:t>
            </w:r>
          </w:p>
        </w:tc>
      </w:tr>
      <w:tr>
        <w:tc>
          <w:tcPr>
            <w:tcW w:type="dxa" w:w="210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b/>
                <w:bCs/>
                <w:color w:val="1F3864"/>
                <w:sz w:val="18"/>
                <w:szCs w:val="18"/>
              </w:rPr>
              <w:t xml:space="preserve">Error Handling</w:t>
            </w:r>
          </w:p>
        </w:tc>
        <w:tc>
          <w:tcPr>
            <w:tcW w:type="dxa" w:w="1300"/>
            <w:tcBorders>
              <w:top w:val="single" w:color="CBD5E0" w:sz="4"/>
              <w:left w:val="single" w:color="CBD5E0" w:sz="4"/>
              <w:bottom w:val="single" w:color="CBD5E0" w:sz="4"/>
              <w:right w:val="single" w:color="CBD5E0" w:sz="4"/>
            </w:tcBorders>
            <w:shd w:fill="EFF6FF" w:val="clear"/>
            <w:vAlign w:val="center"/>
          </w:tcPr>
          <w:p>
            <w:pPr>
              <w:spacing w:after="60" w:before="60"/>
              <w:jc w:val="center"/>
            </w:pPr>
            <w:r>
              <w:rPr>
                <w:rFonts w:ascii="Calibri" w:cs="Calibri" w:eastAsia="Calibri" w:hAnsi="Calibri"/>
                <w:b/>
                <w:bCs/>
                <w:color w:val="1E40AF"/>
                <w:sz w:val="18"/>
                <w:szCs w:val="18"/>
              </w:rPr>
              <w:t xml:space="preserve">Opportunity</w:t>
            </w:r>
          </w:p>
        </w:tc>
        <w:tc>
          <w:tcPr>
            <w:tcW w:type="dxa" w:w="3000"/>
            <w:tcBorders>
              <w:top w:val="single" w:color="CBD5E0" w:sz="4"/>
              <w:left w:val="single" w:color="CBD5E0" w:sz="4"/>
              <w:bottom w:val="single" w:color="CBD5E0" w:sz="4"/>
              <w:right w:val="single" w:color="CBD5E0" w:sz="4"/>
            </w:tcBorders>
            <w:vAlign w:val="top"/>
          </w:tcPr>
          <w:p>
            <w:pPr>
              <w:spacing w:after="40" w:before="60"/>
            </w:pPr>
            <w:r>
              <w:rPr>
                <w:rFonts w:ascii="Calibri" w:cs="Calibri" w:eastAsia="Calibri" w:hAnsi="Calibri"/>
                <w:color w:val="4A5568"/>
                <w:sz w:val="18"/>
                <w:szCs w:val="18"/>
              </w:rPr>
              <w:t xml:space="preserve">Error states and recovery paths are not currently part of the PR/FAQ structure.</w:t>
            </w:r>
          </w:p>
        </w:tc>
        <w:tc>
          <w:tcPr>
            <w:tcW w:type="dxa" w:w="3500"/>
            <w:tcBorders>
              <w:top w:val="single" w:color="CBD5E0" w:sz="4"/>
              <w:left w:val="single" w:color="CBD5E0" w:sz="4"/>
              <w:bottom w:val="single" w:color="CBD5E0" w:sz="4"/>
              <w:right w:val="single" w:color="CBD5E0" w:sz="4"/>
            </w:tcBorders>
            <w:vAlign w:val="top"/>
          </w:tcPr>
          <w:p>
            <w:pPr>
              <w:spacing w:after="40" w:before="60"/>
            </w:pPr>
            <w:r>
              <w:rPr>
                <w:rFonts w:ascii="Calibri" w:cs="Calibri" w:eastAsia="Calibri" w:hAnsi="Calibri"/>
                <w:color w:val="4A5568"/>
                <w:sz w:val="18"/>
                <w:szCs w:val="18"/>
              </w:rPr>
              <w:t xml:space="preserve">The exact error message a user sees when the feature fails, whether the error is self-service or requires support, the recovery path if a workflow fails partway through, and the customer reporting path could be considered, particularly for complex or workflow-dependent features.</w:t>
            </w:r>
          </w:p>
        </w:tc>
        <w:tc>
          <w:tcPr>
            <w:tcW w:type="dxa" w:w="4500"/>
            <w:tcBorders>
              <w:top w:val="single" w:color="CBD5E0" w:sz="4"/>
              <w:left w:val="single" w:color="CBD5E0" w:sz="4"/>
              <w:bottom w:val="single" w:color="CBD5E0" w:sz="4"/>
              <w:right w:val="single" w:color="CBD5E0" w:sz="4"/>
            </w:tcBorders>
            <w:vAlign w:val="top"/>
          </w:tcPr>
          <w:p>
            <w:pPr>
              <w:spacing w:after="40" w:before="60"/>
            </w:pPr>
            <w:r>
              <w:rPr>
                <w:rFonts w:ascii="Calibri" w:cs="Calibri" w:eastAsia="Calibri" w:hAnsi="Calibri"/>
                <w:color w:val="4A5568"/>
                <w:sz w:val="18"/>
                <w:szCs w:val="18"/>
              </w:rPr>
              <w:t xml:space="preserve">Help content, support scripts, and CS onboarding materials are built from this detail. Clear error handling documentation also reduces inbound support volume post-launch.</w:t>
            </w:r>
          </w:p>
        </w:tc>
      </w:tr>
      <w:tr>
        <w:tc>
          <w:tcPr>
            <w:tcW w:type="dxa" w:w="210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b/>
                <w:bCs/>
                <w:color w:val="1F3864"/>
                <w:sz w:val="18"/>
                <w:szCs w:val="18"/>
              </w:rPr>
              <w:t xml:space="preserve">Escalation Path</w:t>
            </w:r>
          </w:p>
        </w:tc>
        <w:tc>
          <w:tcPr>
            <w:tcW w:type="dxa" w:w="1300"/>
            <w:tcBorders>
              <w:top w:val="single" w:color="CBD5E0" w:sz="4"/>
              <w:left w:val="single" w:color="CBD5E0" w:sz="4"/>
              <w:bottom w:val="single" w:color="CBD5E0" w:sz="4"/>
              <w:right w:val="single" w:color="CBD5E0" w:sz="4"/>
            </w:tcBorders>
            <w:shd w:fill="EFF6FF" w:val="clear"/>
            <w:vAlign w:val="center"/>
          </w:tcPr>
          <w:p>
            <w:pPr>
              <w:spacing w:after="60" w:before="60"/>
              <w:jc w:val="center"/>
            </w:pPr>
            <w:r>
              <w:rPr>
                <w:rFonts w:ascii="Calibri" w:cs="Calibri" w:eastAsia="Calibri" w:hAnsi="Calibri"/>
                <w:b/>
                <w:bCs/>
                <w:color w:val="1E40AF"/>
                <w:sz w:val="18"/>
                <w:szCs w:val="18"/>
              </w:rPr>
              <w:t xml:space="preserve">Opportunity</w:t>
            </w:r>
          </w:p>
        </w:tc>
        <w:tc>
          <w:tcPr>
            <w:tcW w:type="dxa" w:w="3000"/>
            <w:tcBorders>
              <w:top w:val="single" w:color="CBD5E0" w:sz="4"/>
              <w:left w:val="single" w:color="CBD5E0" w:sz="4"/>
              <w:bottom w:val="single" w:color="CBD5E0" w:sz="4"/>
              <w:right w:val="single" w:color="CBD5E0" w:sz="4"/>
            </w:tcBorders>
            <w:vAlign w:val="top"/>
          </w:tcPr>
          <w:p>
            <w:pPr>
              <w:spacing w:after="40" w:before="60"/>
            </w:pPr>
            <w:r>
              <w:rPr>
                <w:rFonts w:ascii="Calibri" w:cs="Calibri" w:eastAsia="Calibri" w:hAnsi="Calibri"/>
                <w:color w:val="4A5568"/>
                <w:sz w:val="18"/>
                <w:szCs w:val="18"/>
              </w:rPr>
              <w:t xml:space="preserve">Issue escalation and support routing are not currently captured in the PR/FAQ format.</w:t>
            </w:r>
          </w:p>
        </w:tc>
        <w:tc>
          <w:tcPr>
            <w:tcW w:type="dxa" w:w="3500"/>
            <w:tcBorders>
              <w:top w:val="single" w:color="CBD5E0" w:sz="4"/>
              <w:left w:val="single" w:color="CBD5E0" w:sz="4"/>
              <w:bottom w:val="single" w:color="CBD5E0" w:sz="4"/>
              <w:right w:val="single" w:color="CBD5E0" w:sz="4"/>
            </w:tcBorders>
            <w:vAlign w:val="top"/>
          </w:tcPr>
          <w:p>
            <w:pPr>
              <w:spacing w:after="40" w:before="60"/>
            </w:pPr>
            <w:r>
              <w:rPr>
                <w:rFonts w:ascii="Calibri" w:cs="Calibri" w:eastAsia="Calibri" w:hAnsi="Calibri"/>
                <w:color w:val="4A5568"/>
                <w:sz w:val="18"/>
                <w:szCs w:val="18"/>
              </w:rPr>
              <w:t xml:space="preserve">The customer issue reporting process, minimum information needed for a bug report, and the on-call contact for the launch period could be noted as optional inputs, especially for high-impact launches.</w:t>
            </w:r>
          </w:p>
        </w:tc>
        <w:tc>
          <w:tcPr>
            <w:tcW w:type="dxa" w:w="4500"/>
            <w:tcBorders>
              <w:top w:val="single" w:color="CBD5E0" w:sz="4"/>
              <w:left w:val="single" w:color="CBD5E0" w:sz="4"/>
              <w:bottom w:val="single" w:color="CBD5E0" w:sz="4"/>
              <w:right w:val="single" w:color="CBD5E0" w:sz="4"/>
            </w:tcBorders>
            <w:vAlign w:val="top"/>
          </w:tcPr>
          <w:p>
            <w:pPr>
              <w:spacing w:after="40" w:before="60"/>
            </w:pPr>
            <w:r>
              <w:rPr>
                <w:rFonts w:ascii="Calibri" w:cs="Calibri" w:eastAsia="Calibri" w:hAnsi="Calibri"/>
                <w:color w:val="4A5568"/>
                <w:sz w:val="18"/>
                <w:szCs w:val="18"/>
              </w:rPr>
              <w:t xml:space="preserve">CS playbooks and support team training depend on this information. Having it in the release note avoids a separate coordination step during launch week.</w:t>
            </w:r>
          </w:p>
        </w:tc>
      </w:tr>
      <w:tr>
        <w:tc>
          <w:tcPr>
            <w:gridSpan w:val="5"/>
            <w:tcBorders>
              <w:top w:val="single" w:color="CBD5E0" w:sz="4"/>
              <w:left w:val="single" w:color="CBD5E0" w:sz="4"/>
              <w:bottom w:val="single" w:color="CBD5E0" w:sz="4"/>
              <w:right w:val="single" w:color="CBD5E0" w:sz="4"/>
            </w:tcBorders>
            <w:shd w:fill="2E7D8C" w:val="clear"/>
          </w:tcPr>
          <w:p>
            <w:pPr>
              <w:spacing w:after="60" w:before="60"/>
            </w:pPr>
            <w:r>
              <w:rPr>
                <w:rFonts w:ascii="Calibri" w:cs="Calibri" w:eastAsia="Calibri" w:hAnsi="Calibri"/>
                <w:b/>
                <w:bCs/>
                <w:color w:val="FFFFFF"/>
                <w:sz w:val="18"/>
                <w:szCs w:val="18"/>
              </w:rPr>
              <w:t xml:space="preserve">6. Launch Assets</w:t>
            </w:r>
          </w:p>
        </w:tc>
      </w:tr>
      <w:tr>
        <w:tc>
          <w:tcPr>
            <w:tcW w:type="dxa" w:w="210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b/>
                <w:bCs/>
                <w:color w:val="1F3864"/>
                <w:sz w:val="18"/>
                <w:szCs w:val="18"/>
              </w:rPr>
              <w:t xml:space="preserve">Visual Assets</w:t>
            </w:r>
          </w:p>
        </w:tc>
        <w:tc>
          <w:tcPr>
            <w:tcW w:type="dxa" w:w="1300"/>
            <w:tcBorders>
              <w:top w:val="single" w:color="CBD5E0" w:sz="4"/>
              <w:left w:val="single" w:color="CBD5E0" w:sz="4"/>
              <w:bottom w:val="single" w:color="CBD5E0" w:sz="4"/>
              <w:right w:val="single" w:color="CBD5E0" w:sz="4"/>
            </w:tcBorders>
            <w:shd w:fill="EFF6FF" w:val="clear"/>
            <w:vAlign w:val="center"/>
          </w:tcPr>
          <w:p>
            <w:pPr>
              <w:spacing w:after="60" w:before="60"/>
              <w:jc w:val="center"/>
            </w:pPr>
            <w:r>
              <w:rPr>
                <w:rFonts w:ascii="Calibri" w:cs="Calibri" w:eastAsia="Calibri" w:hAnsi="Calibri"/>
                <w:b/>
                <w:bCs/>
                <w:color w:val="1E40AF"/>
                <w:sz w:val="18"/>
                <w:szCs w:val="18"/>
              </w:rPr>
              <w:t xml:space="preserve">Opportunity</w:t>
            </w:r>
          </w:p>
        </w:tc>
        <w:tc>
          <w:tcPr>
            <w:tcW w:type="dxa" w:w="3000"/>
            <w:tcBorders>
              <w:top w:val="single" w:color="CBD5E0" w:sz="4"/>
              <w:left w:val="single" w:color="CBD5E0" w:sz="4"/>
              <w:bottom w:val="single" w:color="CBD5E0" w:sz="4"/>
              <w:right w:val="single" w:color="CBD5E0" w:sz="4"/>
            </w:tcBorders>
            <w:vAlign w:val="top"/>
          </w:tcPr>
          <w:p>
            <w:pPr>
              <w:spacing w:after="40" w:before="60"/>
            </w:pPr>
            <w:r>
              <w:rPr>
                <w:rFonts w:ascii="Calibri" w:cs="Calibri" w:eastAsia="Calibri" w:hAnsi="Calibri"/>
                <w:color w:val="4A5568"/>
                <w:sz w:val="18"/>
                <w:szCs w:val="18"/>
              </w:rPr>
              <w:t xml:space="preserve">The current skill produces a text-based PR/FAQ document. Visual assets — screenshots, recordings, demo access — are not part of the current template.</w:t>
            </w:r>
          </w:p>
        </w:tc>
        <w:tc>
          <w:tcPr>
            <w:tcW w:type="dxa" w:w="3500"/>
            <w:tcBorders>
              <w:top w:val="single" w:color="CBD5E0" w:sz="4"/>
              <w:left w:val="single" w:color="CBD5E0" w:sz="4"/>
              <w:bottom w:val="single" w:color="CBD5E0" w:sz="4"/>
              <w:right w:val="single" w:color="CBD5E0" w:sz="4"/>
            </w:tcBorders>
            <w:vAlign w:val="top"/>
          </w:tcPr>
          <w:p>
            <w:pPr>
              <w:spacing w:after="40" w:before="60"/>
            </w:pPr>
            <w:r>
              <w:rPr>
                <w:rFonts w:ascii="Calibri" w:cs="Calibri" w:eastAsia="Calibri" w:hAnsi="Calibri"/>
                <w:color w:val="4A5568"/>
                <w:sz w:val="18"/>
                <w:szCs w:val="18"/>
              </w:rPr>
              <w:t xml:space="preserve">A brief section noting whether production screenshots or demo environment access is available, whether a walkthrough recording (Loom is sufficient) exists, and which UI areas are embargoed or not yet final could be considered.</w:t>
            </w:r>
          </w:p>
        </w:tc>
        <w:tc>
          <w:tcPr>
            <w:tcW w:type="dxa" w:w="4500"/>
            <w:tcBorders>
              <w:top w:val="single" w:color="CBD5E0" w:sz="4"/>
              <w:left w:val="single" w:color="CBD5E0" w:sz="4"/>
              <w:bottom w:val="single" w:color="CBD5E0" w:sz="4"/>
              <w:right w:val="single" w:color="CBD5E0" w:sz="4"/>
            </w:tcBorders>
            <w:vAlign w:val="top"/>
          </w:tcPr>
          <w:p>
            <w:pPr>
              <w:spacing w:after="40" w:before="60"/>
            </w:pPr>
            <w:r>
              <w:rPr>
                <w:rFonts w:ascii="Calibri" w:cs="Calibri" w:eastAsia="Calibri" w:hAnsi="Calibri"/>
                <w:color w:val="4A5568"/>
                <w:sz w:val="18"/>
                <w:szCs w:val="18"/>
              </w:rPr>
              <w:t xml:space="preserve">Blog posts, release notes, website updates, and sales collateral all require visual assets. Knowing their availability at handoff time helps PMM plan asset production timelines more accurately.</w:t>
            </w:r>
          </w:p>
        </w:tc>
      </w:tr>
      <w:tr>
        <w:tc>
          <w:tcPr>
            <w:tcW w:type="dxa" w:w="210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b/>
                <w:bCs/>
                <w:color w:val="1F3864"/>
                <w:sz w:val="18"/>
                <w:szCs w:val="18"/>
              </w:rPr>
              <w:t xml:space="preserve">Demo Environment</w:t>
            </w:r>
          </w:p>
        </w:tc>
        <w:tc>
          <w:tcPr>
            <w:tcW w:type="dxa" w:w="1300"/>
            <w:tcBorders>
              <w:top w:val="single" w:color="CBD5E0" w:sz="4"/>
              <w:left w:val="single" w:color="CBD5E0" w:sz="4"/>
              <w:bottom w:val="single" w:color="CBD5E0" w:sz="4"/>
              <w:right w:val="single" w:color="CBD5E0" w:sz="4"/>
            </w:tcBorders>
            <w:shd w:fill="EFF6FF" w:val="clear"/>
            <w:vAlign w:val="center"/>
          </w:tcPr>
          <w:p>
            <w:pPr>
              <w:spacing w:after="60" w:before="60"/>
              <w:jc w:val="center"/>
            </w:pPr>
            <w:r>
              <w:rPr>
                <w:rFonts w:ascii="Calibri" w:cs="Calibri" w:eastAsia="Calibri" w:hAnsi="Calibri"/>
                <w:b/>
                <w:bCs/>
                <w:color w:val="1E40AF"/>
                <w:sz w:val="18"/>
                <w:szCs w:val="18"/>
              </w:rPr>
              <w:t xml:space="preserve">Opportunity</w:t>
            </w:r>
          </w:p>
        </w:tc>
        <w:tc>
          <w:tcPr>
            <w:tcW w:type="dxa" w:w="3000"/>
            <w:tcBorders>
              <w:top w:val="single" w:color="CBD5E0" w:sz="4"/>
              <w:left w:val="single" w:color="CBD5E0" w:sz="4"/>
              <w:bottom w:val="single" w:color="CBD5E0" w:sz="4"/>
              <w:right w:val="single" w:color="CBD5E0" w:sz="4"/>
            </w:tcBorders>
            <w:vAlign w:val="top"/>
          </w:tcPr>
          <w:p>
            <w:pPr>
              <w:spacing w:after="40" w:before="60"/>
            </w:pPr>
            <w:r>
              <w:rPr>
                <w:rFonts w:ascii="Calibri" w:cs="Calibri" w:eastAsia="Calibri" w:hAnsi="Calibri"/>
                <w:color w:val="4A5568"/>
                <w:sz w:val="18"/>
                <w:szCs w:val="18"/>
              </w:rPr>
              <w:t xml:space="preserve">Demo environment availability is not currently a structured input in the skill.</w:t>
            </w:r>
          </w:p>
        </w:tc>
        <w:tc>
          <w:tcPr>
            <w:tcW w:type="dxa" w:w="3500"/>
            <w:tcBorders>
              <w:top w:val="single" w:color="CBD5E0" w:sz="4"/>
              <w:left w:val="single" w:color="CBD5E0" w:sz="4"/>
              <w:bottom w:val="single" w:color="CBD5E0" w:sz="4"/>
              <w:right w:val="single" w:color="CBD5E0" w:sz="4"/>
            </w:tcBorders>
            <w:vAlign w:val="top"/>
          </w:tcPr>
          <w:p>
            <w:pPr>
              <w:spacing w:after="40" w:before="60"/>
            </w:pPr>
            <w:r>
              <w:rPr>
                <w:rFonts w:ascii="Calibri" w:cs="Calibri" w:eastAsia="Calibri" w:hAnsi="Calibri"/>
                <w:color w:val="4A5568"/>
                <w:sz w:val="18"/>
                <w:szCs w:val="18"/>
              </w:rPr>
              <w:t xml:space="preserve">Whether a sandbox or demo environment exists, data or configuration steps needed to demo the feature, and how Sales Engineering requests access could be noted as optional fields.</w:t>
            </w:r>
          </w:p>
        </w:tc>
        <w:tc>
          <w:tcPr>
            <w:tcW w:type="dxa" w:w="4500"/>
            <w:tcBorders>
              <w:top w:val="single" w:color="CBD5E0" w:sz="4"/>
              <w:left w:val="single" w:color="CBD5E0" w:sz="4"/>
              <w:bottom w:val="single" w:color="CBD5E0" w:sz="4"/>
              <w:right w:val="single" w:color="CBD5E0" w:sz="4"/>
            </w:tcBorders>
            <w:vAlign w:val="top"/>
          </w:tcPr>
          <w:p>
            <w:pPr>
              <w:spacing w:after="40" w:before="60"/>
            </w:pPr>
            <w:r>
              <w:rPr>
                <w:rFonts w:ascii="Calibri" w:cs="Calibri" w:eastAsia="Calibri" w:hAnsi="Calibri"/>
                <w:color w:val="4A5568"/>
                <w:sz w:val="18"/>
                <w:szCs w:val="18"/>
              </w:rPr>
              <w:t xml:space="preserve">Sales demos, customer evaluations, and internal training all depend on demo environment access. Knowing this at handoff reduces back-and-forth between PMM, SE, and Product during launch preparation.</w:t>
            </w:r>
          </w:p>
        </w:tc>
      </w:tr>
      <w:tr>
        <w:tc>
          <w:tcPr>
            <w:tcW w:type="dxa" w:w="210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b/>
                <w:bCs/>
                <w:color w:val="1F3864"/>
                <w:sz w:val="18"/>
                <w:szCs w:val="18"/>
              </w:rPr>
              <w:t xml:space="preserve">Help Documentation</w:t>
            </w:r>
          </w:p>
        </w:tc>
        <w:tc>
          <w:tcPr>
            <w:tcW w:type="dxa" w:w="1300"/>
            <w:tcBorders>
              <w:top w:val="single" w:color="CBD5E0" w:sz="4"/>
              <w:left w:val="single" w:color="CBD5E0" w:sz="4"/>
              <w:bottom w:val="single" w:color="CBD5E0" w:sz="4"/>
              <w:right w:val="single" w:color="CBD5E0" w:sz="4"/>
            </w:tcBorders>
            <w:shd w:fill="EFF6FF" w:val="clear"/>
            <w:vAlign w:val="center"/>
          </w:tcPr>
          <w:p>
            <w:pPr>
              <w:spacing w:after="60" w:before="60"/>
              <w:jc w:val="center"/>
            </w:pPr>
            <w:r>
              <w:rPr>
                <w:rFonts w:ascii="Calibri" w:cs="Calibri" w:eastAsia="Calibri" w:hAnsi="Calibri"/>
                <w:b/>
                <w:bCs/>
                <w:color w:val="1E40AF"/>
                <w:sz w:val="18"/>
                <w:szCs w:val="18"/>
              </w:rPr>
              <w:t xml:space="preserve">Opportunity</w:t>
            </w:r>
          </w:p>
        </w:tc>
        <w:tc>
          <w:tcPr>
            <w:tcW w:type="dxa" w:w="3000"/>
            <w:tcBorders>
              <w:top w:val="single" w:color="CBD5E0" w:sz="4"/>
              <w:left w:val="single" w:color="CBD5E0" w:sz="4"/>
              <w:bottom w:val="single" w:color="CBD5E0" w:sz="4"/>
              <w:right w:val="single" w:color="CBD5E0" w:sz="4"/>
            </w:tcBorders>
            <w:vAlign w:val="top"/>
          </w:tcPr>
          <w:p>
            <w:pPr>
              <w:spacing w:after="40" w:before="60"/>
            </w:pPr>
            <w:r>
              <w:rPr>
                <w:rFonts w:ascii="Calibri" w:cs="Calibri" w:eastAsia="Calibri" w:hAnsi="Calibri"/>
                <w:color w:val="4A5568"/>
                <w:sz w:val="18"/>
                <w:szCs w:val="18"/>
              </w:rPr>
              <w:t xml:space="preserve">Help article or documentation status is not a structured input in the current skill, though it may be referenced in FAQ answers when relevant.</w:t>
            </w:r>
          </w:p>
        </w:tc>
        <w:tc>
          <w:tcPr>
            <w:tcW w:type="dxa" w:w="3500"/>
            <w:tcBorders>
              <w:top w:val="single" w:color="CBD5E0" w:sz="4"/>
              <w:left w:val="single" w:color="CBD5E0" w:sz="4"/>
              <w:bottom w:val="single" w:color="CBD5E0" w:sz="4"/>
              <w:right w:val="single" w:color="CBD5E0" w:sz="4"/>
            </w:tcBorders>
            <w:vAlign w:val="top"/>
          </w:tcPr>
          <w:p>
            <w:pPr>
              <w:spacing w:after="40" w:before="60"/>
            </w:pPr>
            <w:r>
              <w:rPr>
                <w:rFonts w:ascii="Calibri" w:cs="Calibri" w:eastAsia="Calibri" w:hAnsi="Calibri"/>
                <w:color w:val="4A5568"/>
                <w:sz w:val="18"/>
                <w:szCs w:val="18"/>
              </w:rPr>
              <w:t xml:space="preserve">Whether a help article or setup guide is published at launch — or the target publication date — and confirmation that it covers the end-to-end workflow, limitations, and troubleshooting, could be considered as a simple structured addition.</w:t>
            </w:r>
          </w:p>
        </w:tc>
        <w:tc>
          <w:tcPr>
            <w:tcW w:type="dxa" w:w="4500"/>
            <w:tcBorders>
              <w:top w:val="single" w:color="CBD5E0" w:sz="4"/>
              <w:left w:val="single" w:color="CBD5E0" w:sz="4"/>
              <w:bottom w:val="single" w:color="CBD5E0" w:sz="4"/>
              <w:right w:val="single" w:color="CBD5E0" w:sz="4"/>
            </w:tcBorders>
            <w:vAlign w:val="top"/>
          </w:tcPr>
          <w:p>
            <w:pPr>
              <w:spacing w:after="40" w:before="60"/>
            </w:pPr>
            <w:r>
              <w:rPr>
                <w:rFonts w:ascii="Calibri" w:cs="Calibri" w:eastAsia="Calibri" w:hAnsi="Calibri"/>
                <w:color w:val="4A5568"/>
                <w:sz w:val="18"/>
                <w:szCs w:val="18"/>
              </w:rPr>
              <w:t xml:space="preserve">Release emails that link to published help content, onboarding guides, and CS communications all depend on knowing when documentation will be available. This is one of the most frequently requested inputs from PMM at launch time.</w:t>
            </w:r>
          </w:p>
        </w:tc>
      </w:tr>
      <w:tr>
        <w:tc>
          <w:tcPr>
            <w:tcW w:type="dxa" w:w="210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b/>
                <w:bCs/>
                <w:color w:val="1F3864"/>
                <w:sz w:val="18"/>
                <w:szCs w:val="18"/>
              </w:rPr>
              <w:t xml:space="preserve">Migration &amp; Deprecation</w:t>
            </w:r>
          </w:p>
        </w:tc>
        <w:tc>
          <w:tcPr>
            <w:tcW w:type="dxa" w:w="1300"/>
            <w:tcBorders>
              <w:top w:val="single" w:color="CBD5E0" w:sz="4"/>
              <w:left w:val="single" w:color="CBD5E0" w:sz="4"/>
              <w:bottom w:val="single" w:color="CBD5E0" w:sz="4"/>
              <w:right w:val="single" w:color="CBD5E0" w:sz="4"/>
            </w:tcBorders>
            <w:shd w:fill="EFF6FF" w:val="clear"/>
            <w:vAlign w:val="center"/>
          </w:tcPr>
          <w:p>
            <w:pPr>
              <w:spacing w:after="60" w:before="60"/>
              <w:jc w:val="center"/>
            </w:pPr>
            <w:r>
              <w:rPr>
                <w:rFonts w:ascii="Calibri" w:cs="Calibri" w:eastAsia="Calibri" w:hAnsi="Calibri"/>
                <w:b/>
                <w:bCs/>
                <w:color w:val="1E40AF"/>
                <w:sz w:val="18"/>
                <w:szCs w:val="18"/>
              </w:rPr>
              <w:t xml:space="preserve">Opportunity</w:t>
            </w:r>
          </w:p>
        </w:tc>
        <w:tc>
          <w:tcPr>
            <w:tcW w:type="dxa" w:w="3000"/>
            <w:tcBorders>
              <w:top w:val="single" w:color="CBD5E0" w:sz="4"/>
              <w:left w:val="single" w:color="CBD5E0" w:sz="4"/>
              <w:bottom w:val="single" w:color="CBD5E0" w:sz="4"/>
              <w:right w:val="single" w:color="CBD5E0" w:sz="4"/>
            </w:tcBorders>
            <w:vAlign w:val="top"/>
          </w:tcPr>
          <w:p>
            <w:pPr>
              <w:spacing w:after="40" w:before="60"/>
            </w:pPr>
            <w:r>
              <w:rPr>
                <w:rFonts w:ascii="Calibri" w:cs="Calibri" w:eastAsia="Calibri" w:hAnsi="Calibri"/>
                <w:color w:val="4A5568"/>
                <w:sz w:val="18"/>
                <w:szCs w:val="18"/>
              </w:rPr>
              <w:t xml:space="preserve">Migration or deprecation context is not a current structured input, though the internal FAQ "what we are not doing" may touch on replacement of existing functionality.</w:t>
            </w:r>
          </w:p>
        </w:tc>
        <w:tc>
          <w:tcPr>
            <w:tcW w:type="dxa" w:w="3500"/>
            <w:tcBorders>
              <w:top w:val="single" w:color="CBD5E0" w:sz="4"/>
              <w:left w:val="single" w:color="CBD5E0" w:sz="4"/>
              <w:bottom w:val="single" w:color="CBD5E0" w:sz="4"/>
              <w:right w:val="single" w:color="CBD5E0" w:sz="4"/>
            </w:tcBorders>
            <w:vAlign w:val="top"/>
          </w:tcPr>
          <w:p>
            <w:pPr>
              <w:spacing w:after="40" w:before="60"/>
            </w:pPr>
            <w:r>
              <w:rPr>
                <w:rFonts w:ascii="Calibri" w:cs="Calibri" w:eastAsia="Calibri" w:hAnsi="Calibri"/>
                <w:color w:val="4A5568"/>
                <w:sz w:val="18"/>
                <w:szCs w:val="18"/>
              </w:rPr>
              <w:t xml:space="preserve">When applicable: which existing feature or workflow this replaces, the action customers need to take to migrate and the deadline, and how customers will be notified (channel, timeline, sender) could be considered.</w:t>
            </w:r>
          </w:p>
        </w:tc>
        <w:tc>
          <w:tcPr>
            <w:tcW w:type="dxa" w:w="4500"/>
            <w:tcBorders>
              <w:top w:val="single" w:color="CBD5E0" w:sz="4"/>
              <w:left w:val="single" w:color="CBD5E0" w:sz="4"/>
              <w:bottom w:val="single" w:color="CBD5E0" w:sz="4"/>
              <w:right w:val="single" w:color="CBD5E0" w:sz="4"/>
            </w:tcBorders>
            <w:vAlign w:val="top"/>
          </w:tcPr>
          <w:p>
            <w:pPr>
              <w:spacing w:after="40" w:before="60"/>
            </w:pPr>
            <w:r>
              <w:rPr>
                <w:rFonts w:ascii="Calibri" w:cs="Calibri" w:eastAsia="Calibri" w:hAnsi="Calibri"/>
                <w:color w:val="4A5568"/>
                <w:sz w:val="18"/>
                <w:szCs w:val="18"/>
              </w:rPr>
              <w:t xml:space="preserve">Customer migration communications and transition FAQs require this detail. For deprecations, the absence of a clear customer notification plan at handoff can create significant downstream coordination challenges.</w:t>
            </w:r>
          </w:p>
        </w:tc>
      </w:tr>
      <w:tr>
        <w:tc>
          <w:tcPr>
            <w:gridSpan w:val="5"/>
            <w:tcBorders>
              <w:top w:val="single" w:color="CBD5E0" w:sz="4"/>
              <w:left w:val="single" w:color="CBD5E0" w:sz="4"/>
              <w:bottom w:val="single" w:color="CBD5E0" w:sz="4"/>
              <w:right w:val="single" w:color="CBD5E0" w:sz="4"/>
            </w:tcBorders>
            <w:shd w:fill="2E7D8C" w:val="clear"/>
          </w:tcPr>
          <w:p>
            <w:pPr>
              <w:spacing w:after="60" w:before="60"/>
            </w:pPr>
            <w:r>
              <w:rPr>
                <w:rFonts w:ascii="Calibri" w:cs="Calibri" w:eastAsia="Calibri" w:hAnsi="Calibri"/>
                <w:b/>
                <w:bCs/>
                <w:color w:val="FFFFFF"/>
                <w:sz w:val="18"/>
                <w:szCs w:val="18"/>
              </w:rPr>
              <w:t xml:space="preserve">7. Roadmap</w:t>
            </w:r>
          </w:p>
        </w:tc>
      </w:tr>
      <w:tr>
        <w:tc>
          <w:tcPr>
            <w:tcW w:type="dxa" w:w="210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b/>
                <w:bCs/>
                <w:color w:val="1F3864"/>
                <w:sz w:val="18"/>
                <w:szCs w:val="18"/>
              </w:rPr>
              <w:t xml:space="preserve">Planned Roadmap &amp; Confidentiality</w:t>
            </w:r>
          </w:p>
        </w:tc>
        <w:tc>
          <w:tcPr>
            <w:tcW w:type="dxa" w:w="1300"/>
            <w:tcBorders>
              <w:top w:val="single" w:color="CBD5E0" w:sz="4"/>
              <w:left w:val="single" w:color="CBD5E0" w:sz="4"/>
              <w:bottom w:val="single" w:color="CBD5E0" w:sz="4"/>
              <w:right w:val="single" w:color="CBD5E0" w:sz="4"/>
            </w:tcBorders>
            <w:shd w:fill="FFFBEB" w:val="clear"/>
            <w:vAlign w:val="center"/>
          </w:tcPr>
          <w:p>
            <w:pPr>
              <w:spacing w:after="60" w:before="60"/>
              <w:jc w:val="center"/>
            </w:pPr>
            <w:r>
              <w:rPr>
                <w:rFonts w:ascii="Calibri" w:cs="Calibri" w:eastAsia="Calibri" w:hAnsi="Calibri"/>
                <w:b/>
                <w:bCs/>
                <w:color w:val="92400E"/>
                <w:sz w:val="18"/>
                <w:szCs w:val="18"/>
              </w:rPr>
              <w:t xml:space="preserve">Partially Covered</w:t>
            </w:r>
          </w:p>
        </w:tc>
        <w:tc>
          <w:tcPr>
            <w:tcW w:type="dxa" w:w="3000"/>
            <w:tcBorders>
              <w:top w:val="single" w:color="CBD5E0" w:sz="4"/>
              <w:left w:val="single" w:color="CBD5E0" w:sz="4"/>
              <w:bottom w:val="single" w:color="CBD5E0" w:sz="4"/>
              <w:right w:val="single" w:color="CBD5E0" w:sz="4"/>
            </w:tcBorders>
            <w:vAlign w:val="top"/>
          </w:tcPr>
          <w:p>
            <w:pPr>
              <w:spacing w:after="40" w:before="60"/>
            </w:pPr>
            <w:r>
              <w:rPr>
                <w:rFonts w:ascii="Calibri" w:cs="Calibri" w:eastAsia="Calibri" w:hAnsi="Calibri"/>
                <w:color w:val="4A5568"/>
                <w:sz w:val="18"/>
                <w:szCs w:val="18"/>
              </w:rPr>
              <w:t xml:space="preserve">The internal FAQ "what we are explicitly not doing" is one of four required questions and typically addresses descoped items and near-term direction — a valuable and candid section. The worked example demonstrates this well.</w:t>
            </w:r>
          </w:p>
        </w:tc>
        <w:tc>
          <w:tcPr>
            <w:tcW w:type="dxa" w:w="3500"/>
            <w:tcBorders>
              <w:top w:val="single" w:color="CBD5E0" w:sz="4"/>
              <w:left w:val="single" w:color="CBD5E0" w:sz="4"/>
              <w:bottom w:val="single" w:color="CBD5E0" w:sz="4"/>
              <w:right w:val="single" w:color="CBD5E0" w:sz="4"/>
            </w:tcBorders>
            <w:vAlign w:val="top"/>
          </w:tcPr>
          <w:p>
            <w:pPr>
              <w:spacing w:after="40" w:before="60"/>
            </w:pPr>
            <w:r>
              <w:rPr>
                <w:rFonts w:ascii="Calibri" w:cs="Calibri" w:eastAsia="Calibri" w:hAnsi="Calibri"/>
                <w:color w:val="4A5568"/>
                <w:sz w:val="18"/>
                <w:szCs w:val="18"/>
              </w:rPr>
              <w:t xml:space="preserve">The high-confidence roadmap for the next six months, explicit guidance on what can be shared externally vs. what is confidential, and any named account commitments or contractual roadmap obligations PMM should be aware of could provide additional structure.</w:t>
            </w:r>
          </w:p>
        </w:tc>
        <w:tc>
          <w:tcPr>
            <w:tcW w:type="dxa" w:w="4500"/>
            <w:tcBorders>
              <w:top w:val="single" w:color="CBD5E0" w:sz="4"/>
              <w:left w:val="single" w:color="CBD5E0" w:sz="4"/>
              <w:bottom w:val="single" w:color="CBD5E0" w:sz="4"/>
              <w:right w:val="single" w:color="CBD5E0" w:sz="4"/>
            </w:tcBorders>
            <w:vAlign w:val="top"/>
          </w:tcPr>
          <w:p>
            <w:pPr>
              <w:spacing w:after="40" w:before="60"/>
            </w:pPr>
            <w:r>
              <w:rPr>
                <w:rFonts w:ascii="Calibri" w:cs="Calibri" w:eastAsia="Calibri" w:hAnsi="Calibri"/>
                <w:color w:val="4A5568"/>
                <w:sz w:val="18"/>
                <w:szCs w:val="18"/>
              </w:rPr>
              <w:t xml:space="preserve">Approved roadmap messaging, renewal conversations, and QBR materials all require a clear confidentiality tier. Without it, PMM and Sales may inadvertently share information that should remain internal.</w:t>
            </w:r>
          </w:p>
        </w:tc>
      </w:tr>
    </w:tbl>
    <w:p>
      <w:pPr>
        <w:pageBreakBefore/>
      </w:pPr>
    </w:p>
    <w:p>
      <w:pPr>
        <w:pStyle w:val="Heading1"/>
        <w:pBdr>
          <w:bottom w:val="single" w:color="2E7D8C" w:sz="6" w:space="4"/>
        </w:pBdr>
        <w:spacing w:after="160" w:before="360"/>
      </w:pPr>
      <w:r>
        <w:rPr>
          <w:rFonts w:ascii="Calibri" w:cs="Calibri" w:eastAsia="Calibri" w:hAnsi="Calibri"/>
          <w:b/>
          <w:bCs/>
          <w:color w:val="1F3864"/>
          <w:sz w:val="28"/>
          <w:szCs w:val="28"/>
        </w:rPr>
        <w:t xml:space="preserve">Recommendations</w:t>
      </w:r>
    </w:p>
    <w:p>
      <w:pPr>
        <w:spacing w:after="120"/>
      </w:pPr>
      <w:r>
        <w:rPr>
          <w:rFonts w:ascii="Calibri" w:cs="Calibri" w:eastAsia="Calibri" w:hAnsi="Calibri"/>
          <w:sz w:val="20"/>
          <w:szCs w:val="20"/>
        </w:rPr>
        <w:t xml:space="preserve">The following recommendations are grouped by priority based on their likely impact on PMM's ability to begin GTM work and on the ease of implementation within the current skill structure. All are offered as suggestions for discussion — the right implementation approach depends on team preference and workflow.</w:t>
      </w:r>
    </w:p>
    <w:p>
      <w:pPr>
        <w:pStyle w:val="Heading2"/>
        <w:spacing w:after="120" w:before="280"/>
      </w:pPr>
      <w:r>
        <w:rPr>
          <w:rFonts w:ascii="Calibri" w:cs="Calibri" w:eastAsia="Calibri" w:hAnsi="Calibri"/>
          <w:b/>
          <w:bCs/>
          <w:color w:val="2E7D8C"/>
          <w:sz w:val="24"/>
          <w:szCs w:val="24"/>
        </w:rPr>
        <w:t xml:space="preserve">High Priority</w:t>
      </w:r>
    </w:p>
    <w:p>
      <w:pPr>
        <w:spacing w:after="60" w:before="160"/>
        <w:ind w:left="360"/>
      </w:pPr>
      <w:r>
        <w:rPr>
          <w:rFonts w:ascii="Calibri" w:cs="Calibri" w:eastAsia="Calibri" w:hAnsi="Calibri"/>
          <w:b/>
          <w:bCs/>
          <w:color w:val="92400E"/>
          <w:sz w:val="20"/>
          <w:szCs w:val="20"/>
        </w:rPr>
        <w:t xml:space="preserve">1.  </w:t>
      </w:r>
      <w:r>
        <w:rPr>
          <w:rFonts w:ascii="Calibri" w:cs="Calibri" w:eastAsia="Calibri" w:hAnsi="Calibri"/>
          <w:b/>
          <w:bCs/>
          <w:color w:val="92400E"/>
          <w:sz w:val="20"/>
          <w:szCs w:val="20"/>
        </w:rPr>
        <w:t xml:space="preserve">Add a structured "Current Usage &amp; Release Status" input</w:t>
      </w:r>
    </w:p>
    <w:p>
      <w:pPr>
        <w:spacing w:after="120"/>
        <w:ind w:left="720"/>
      </w:pPr>
      <w:r>
        <w:rPr>
          <w:rFonts w:ascii="Calibri" w:cs="Calibri" w:eastAsia="Calibri" w:hAnsi="Calibri"/>
          <w:color w:val="4A5568"/>
          <w:sz w:val="20"/>
          <w:szCs w:val="20"/>
        </w:rPr>
        <w:t xml:space="preserve">A brief field capturing GA/Beta/Internal status and approximate customer count at launch could be considered as a required pre-generation input, alongside target customer type. This single addition unlocks accurate customer announcement segmentation without adding significant authoring effort.</w:t>
      </w:r>
    </w:p>
    <w:p>
      <w:pPr>
        <w:spacing w:after="60" w:before="160"/>
        <w:ind w:left="360"/>
      </w:pPr>
      <w:r>
        <w:rPr>
          <w:rFonts w:ascii="Calibri" w:cs="Calibri" w:eastAsia="Calibri" w:hAnsi="Calibri"/>
          <w:b/>
          <w:bCs/>
          <w:color w:val="92400E"/>
          <w:sz w:val="20"/>
          <w:szCs w:val="20"/>
        </w:rPr>
        <w:t xml:space="preserve">2.  </w:t>
      </w:r>
      <w:r>
        <w:rPr>
          <w:rFonts w:ascii="Calibri" w:cs="Calibri" w:eastAsia="Calibri" w:hAnsi="Calibri"/>
          <w:b/>
          <w:bCs/>
          <w:color w:val="92400E"/>
          <w:sz w:val="20"/>
          <w:szCs w:val="20"/>
        </w:rPr>
        <w:t xml:space="preserve">Include a "Visual Assets &amp; Documentation" readiness note</w:t>
      </w:r>
    </w:p>
    <w:p>
      <w:pPr>
        <w:spacing w:after="120"/>
        <w:ind w:left="720"/>
      </w:pPr>
      <w:r>
        <w:rPr>
          <w:rFonts w:ascii="Calibri" w:cs="Calibri" w:eastAsia="Calibri" w:hAnsi="Calibri"/>
          <w:color w:val="4A5568"/>
          <w:sz w:val="20"/>
          <w:szCs w:val="20"/>
        </w:rPr>
        <w:t xml:space="preserve">A short checklist — screenshot or demo access available, Loom walkthrough recorded, help article published or target date set — could be considered as an optional closing section in the PR/FAQ. This is consistently the most-requested information from PMM at launch time and is quick for Product to complete.</w:t>
      </w:r>
    </w:p>
    <w:p>
      <w:pPr>
        <w:spacing w:after="60" w:before="160"/>
        <w:ind w:left="360"/>
      </w:pPr>
      <w:r>
        <w:rPr>
          <w:rFonts w:ascii="Calibri" w:cs="Calibri" w:eastAsia="Calibri" w:hAnsi="Calibri"/>
          <w:b/>
          <w:bCs/>
          <w:color w:val="92400E"/>
          <w:sz w:val="20"/>
          <w:szCs w:val="20"/>
        </w:rPr>
        <w:t xml:space="preserve">3.  </w:t>
      </w:r>
      <w:r>
        <w:rPr>
          <w:rFonts w:ascii="Calibri" w:cs="Calibri" w:eastAsia="Calibri" w:hAnsi="Calibri"/>
          <w:b/>
          <w:bCs/>
          <w:color w:val="92400E"/>
          <w:sz w:val="20"/>
          <w:szCs w:val="20"/>
        </w:rPr>
        <w:t xml:space="preserve">Capture dependencies and deployment model</w:t>
      </w:r>
    </w:p>
    <w:p>
      <w:pPr>
        <w:spacing w:after="120"/>
        <w:ind w:left="720"/>
      </w:pPr>
      <w:r>
        <w:rPr>
          <w:rFonts w:ascii="Calibri" w:cs="Calibri" w:eastAsia="Calibri" w:hAnsi="Calibri"/>
          <w:color w:val="4A5568"/>
          <w:sz w:val="20"/>
          <w:szCs w:val="20"/>
        </w:rPr>
        <w:t xml:space="preserve">For features that require specific modules, integrations, or customer configuration to function, a brief dependencies section could help PMM and CS avoid onboarding content gaps. This may further support implementation guides and sales qualification, particularly for Tier 1 and Tier 2 launches.</w:t>
      </w:r>
    </w:p>
    <w:p>
      <w:pPr>
        <w:spacing w:after="60" w:before="160"/>
        <w:ind w:left="360"/>
      </w:pPr>
      <w:r>
        <w:rPr>
          <w:rFonts w:ascii="Calibri" w:cs="Calibri" w:eastAsia="Calibri" w:hAnsi="Calibri"/>
          <w:b/>
          <w:bCs/>
          <w:color w:val="92400E"/>
          <w:sz w:val="20"/>
          <w:szCs w:val="20"/>
        </w:rPr>
        <w:t xml:space="preserve">4.  </w:t>
      </w:r>
      <w:r>
        <w:rPr>
          <w:rFonts w:ascii="Calibri" w:cs="Calibri" w:eastAsia="Calibri" w:hAnsi="Calibri"/>
          <w:b/>
          <w:bCs/>
          <w:color w:val="92400E"/>
          <w:sz w:val="20"/>
          <w:szCs w:val="20"/>
        </w:rPr>
        <w:t xml:space="preserve">Add a commercial readiness pointer</w:t>
      </w:r>
    </w:p>
    <w:p>
      <w:pPr>
        <w:spacing w:after="120"/>
        <w:ind w:left="720"/>
      </w:pPr>
      <w:r>
        <w:rPr>
          <w:rFonts w:ascii="Calibri" w:cs="Calibri" w:eastAsia="Calibri" w:hAnsi="Calibri"/>
          <w:color w:val="4A5568"/>
          <w:sz w:val="20"/>
          <w:szCs w:val="20"/>
        </w:rPr>
        <w:t xml:space="preserve">Even a brief note — "pricing details are in [location]" or "this feature is included in [plan] at GA" — could help PMM locate commercial context without a separate follow-up request. This may improve downstream GTM planning for pricing pages, customer FAQs, and launch communications.</w:t>
      </w:r>
    </w:p>
    <w:p>
      <w:pPr>
        <w:pStyle w:val="Heading2"/>
        <w:spacing w:after="120" w:before="280"/>
      </w:pPr>
      <w:r>
        <w:rPr>
          <w:rFonts w:ascii="Calibri" w:cs="Calibri" w:eastAsia="Calibri" w:hAnsi="Calibri"/>
          <w:b/>
          <w:bCs/>
          <w:color w:val="2E7D8C"/>
          <w:sz w:val="24"/>
          <w:szCs w:val="24"/>
        </w:rPr>
        <w:t xml:space="preserve">Medium Priority</w:t>
      </w:r>
    </w:p>
    <w:p>
      <w:pPr>
        <w:spacing w:after="60" w:before="160"/>
        <w:ind w:left="360"/>
      </w:pPr>
      <w:r>
        <w:rPr>
          <w:rFonts w:ascii="Calibri" w:cs="Calibri" w:eastAsia="Calibri" w:hAnsi="Calibri"/>
          <w:b/>
          <w:bCs/>
          <w:color w:val="1E40AF"/>
          <w:sz w:val="20"/>
          <w:szCs w:val="20"/>
        </w:rPr>
        <w:t xml:space="preserve">1.  </w:t>
      </w:r>
      <w:r>
        <w:rPr>
          <w:rFonts w:ascii="Calibri" w:cs="Calibri" w:eastAsia="Calibri" w:hAnsi="Calibri"/>
          <w:b/>
          <w:bCs/>
          <w:color w:val="1E40AF"/>
          <w:sz w:val="20"/>
          <w:szCs w:val="20"/>
        </w:rPr>
        <w:t xml:space="preserve">Expand ICP detail in the target customer input</w:t>
      </w:r>
    </w:p>
    <w:p>
      <w:pPr>
        <w:spacing w:after="120"/>
        <w:ind w:left="720"/>
      </w:pPr>
      <w:r>
        <w:rPr>
          <w:rFonts w:ascii="Calibri" w:cs="Calibri" w:eastAsia="Calibri" w:hAnsi="Calibri"/>
          <w:color w:val="4A5568"/>
          <w:sz w:val="20"/>
          <w:szCs w:val="20"/>
        </w:rPr>
        <w:t xml:space="preserve">Alongside customer type, three to five strong-fit signals and three to five anti-patterns could be considered as optional structured inputs. These directly populate ABM lists and sales qualification criteria and are often known by Product at the time of writing.</w:t>
      </w:r>
    </w:p>
    <w:p>
      <w:pPr>
        <w:spacing w:after="60" w:before="160"/>
        <w:ind w:left="360"/>
      </w:pPr>
      <w:r>
        <w:rPr>
          <w:rFonts w:ascii="Calibri" w:cs="Calibri" w:eastAsia="Calibri" w:hAnsi="Calibri"/>
          <w:b/>
          <w:bCs/>
          <w:color w:val="1E40AF"/>
          <w:sz w:val="20"/>
          <w:szCs w:val="20"/>
        </w:rPr>
        <w:t xml:space="preserve">2.  </w:t>
      </w:r>
      <w:r>
        <w:rPr>
          <w:rFonts w:ascii="Calibri" w:cs="Calibri" w:eastAsia="Calibri" w:hAnsi="Calibri"/>
          <w:b/>
          <w:bCs/>
          <w:color w:val="1E40AF"/>
          <w:sz w:val="20"/>
          <w:szCs w:val="20"/>
        </w:rPr>
        <w:t xml:space="preserve">Distinguish validated claims from product assumptions</w:t>
      </w:r>
    </w:p>
    <w:p>
      <w:pPr>
        <w:spacing w:after="120"/>
        <w:ind w:left="720"/>
      </w:pPr>
      <w:r>
        <w:rPr>
          <w:rFonts w:ascii="Calibri" w:cs="Calibri" w:eastAsia="Calibri" w:hAnsi="Calibri"/>
          <w:color w:val="4A5568"/>
          <w:sz w:val="20"/>
          <w:szCs w:val="20"/>
        </w:rPr>
        <w:t xml:space="preserve">A brief annotation — such as "[Validated: customer interview]" or "[Assumption: to be validated post-launch]" — on key claims in the internal FAQ could help PMM assess messaging confidence without requiring a separate research brief.</w:t>
      </w:r>
    </w:p>
    <w:p>
      <w:pPr>
        <w:spacing w:after="60" w:before="160"/>
        <w:ind w:left="360"/>
      </w:pPr>
      <w:r>
        <w:rPr>
          <w:rFonts w:ascii="Calibri" w:cs="Calibri" w:eastAsia="Calibri" w:hAnsi="Calibri"/>
          <w:b/>
          <w:bCs/>
          <w:color w:val="1E40AF"/>
          <w:sz w:val="20"/>
          <w:szCs w:val="20"/>
        </w:rPr>
        <w:t xml:space="preserve">3.  </w:t>
      </w:r>
      <w:r>
        <w:rPr>
          <w:rFonts w:ascii="Calibri" w:cs="Calibri" w:eastAsia="Calibri" w:hAnsi="Calibri"/>
          <w:b/>
          <w:bCs/>
          <w:color w:val="1E40AF"/>
          <w:sz w:val="20"/>
          <w:szCs w:val="20"/>
        </w:rPr>
        <w:t xml:space="preserve">Structure success metrics as a named input</w:t>
      </w:r>
    </w:p>
    <w:p>
      <w:pPr>
        <w:spacing w:after="120"/>
        <w:ind w:left="720"/>
      </w:pPr>
      <w:r>
        <w:rPr>
          <w:rFonts w:ascii="Calibri" w:cs="Calibri" w:eastAsia="Calibri" w:hAnsi="Calibri"/>
          <w:color w:val="4A5568"/>
          <w:sz w:val="20"/>
          <w:szCs w:val="20"/>
        </w:rPr>
        <w:t xml:space="preserve">The 30/60/90-day metrics Product intends to track, with a pointer to the relevant dashboard or report, could be considered as a lightweight structured field. This would allow PMM to align launch reporting and customer success tracking from day one.</w:t>
      </w:r>
    </w:p>
    <w:p>
      <w:pPr>
        <w:spacing w:after="60" w:before="160"/>
        <w:ind w:left="360"/>
      </w:pPr>
      <w:r>
        <w:rPr>
          <w:rFonts w:ascii="Calibri" w:cs="Calibri" w:eastAsia="Calibri" w:hAnsi="Calibri"/>
          <w:b/>
          <w:bCs/>
          <w:color w:val="1E40AF"/>
          <w:sz w:val="20"/>
          <w:szCs w:val="20"/>
        </w:rPr>
        <w:t xml:space="preserve">4.  </w:t>
      </w:r>
      <w:r>
        <w:rPr>
          <w:rFonts w:ascii="Calibri" w:cs="Calibri" w:eastAsia="Calibri" w:hAnsi="Calibri"/>
          <w:b/>
          <w:bCs/>
          <w:color w:val="1E40AF"/>
          <w:sz w:val="20"/>
          <w:szCs w:val="20"/>
        </w:rPr>
        <w:t xml:space="preserve">Add Kano model classification to business objective</w:t>
      </w:r>
    </w:p>
    <w:p>
      <w:pPr>
        <w:spacing w:after="120"/>
        <w:ind w:left="720"/>
      </w:pPr>
      <w:r>
        <w:rPr>
          <w:rFonts w:ascii="Calibri" w:cs="Calibri" w:eastAsia="Calibri" w:hAnsi="Calibri"/>
          <w:color w:val="4A5568"/>
          <w:sz w:val="20"/>
          <w:szCs w:val="20"/>
        </w:rPr>
        <w:t xml:space="preserve">A one-line Kano classification (Must-have, Performance, Delighter, Indifferent, Reverse) with a brief rationale could be added to the internal FAQ context. This provides PMM with immediate insight into how prominently to position the feature in launch communications.</w:t>
      </w:r>
    </w:p>
    <w:p>
      <w:pPr>
        <w:pStyle w:val="Heading2"/>
        <w:spacing w:after="120" w:before="280"/>
      </w:pPr>
      <w:r>
        <w:rPr>
          <w:rFonts w:ascii="Calibri" w:cs="Calibri" w:eastAsia="Calibri" w:hAnsi="Calibri"/>
          <w:b/>
          <w:bCs/>
          <w:color w:val="2E7D8C"/>
          <w:sz w:val="24"/>
          <w:szCs w:val="24"/>
        </w:rPr>
        <w:t xml:space="preserve">Nice to Have</w:t>
      </w:r>
    </w:p>
    <w:p>
      <w:pPr>
        <w:spacing w:after="60" w:before="160"/>
        <w:ind w:left="360"/>
      </w:pPr>
      <w:r>
        <w:rPr>
          <w:rFonts w:ascii="Calibri" w:cs="Calibri" w:eastAsia="Calibri" w:hAnsi="Calibri"/>
          <w:b/>
          <w:bCs/>
          <w:color w:val="4A5568"/>
          <w:sz w:val="20"/>
          <w:szCs w:val="20"/>
        </w:rPr>
        <w:t xml:space="preserve">1.  </w:t>
      </w:r>
      <w:r>
        <w:rPr>
          <w:rFonts w:ascii="Calibri" w:cs="Calibri" w:eastAsia="Calibri" w:hAnsi="Calibri"/>
          <w:b/>
          <w:bCs/>
          <w:color w:val="4A5568"/>
          <w:sz w:val="20"/>
          <w:szCs w:val="20"/>
        </w:rPr>
        <w:t xml:space="preserve">Reference end-to-end workflow documentation</w:t>
      </w:r>
    </w:p>
    <w:p>
      <w:pPr>
        <w:spacing w:after="120"/>
        <w:ind w:left="720"/>
      </w:pPr>
      <w:r>
        <w:rPr>
          <w:rFonts w:ascii="Calibri" w:cs="Calibri" w:eastAsia="Calibri" w:hAnsi="Calibri"/>
          <w:color w:val="4A5568"/>
          <w:sz w:val="20"/>
          <w:szCs w:val="20"/>
        </w:rPr>
        <w:t xml:space="preserve">A pointer to existing workflow documentation (link to Loom, Confluence page, or diagram) could be considered as an optional field. PMM and documentation teams already seek this information; surfacing it in the release note reduces coordination time.</w:t>
      </w:r>
    </w:p>
    <w:p>
      <w:pPr>
        <w:spacing w:after="60" w:before="160"/>
        <w:ind w:left="360"/>
      </w:pPr>
      <w:r>
        <w:rPr>
          <w:rFonts w:ascii="Calibri" w:cs="Calibri" w:eastAsia="Calibri" w:hAnsi="Calibri"/>
          <w:b/>
          <w:bCs/>
          <w:color w:val="4A5568"/>
          <w:sz w:val="20"/>
          <w:szCs w:val="20"/>
        </w:rPr>
        <w:t xml:space="preserve">2.  </w:t>
      </w:r>
      <w:r>
        <w:rPr>
          <w:rFonts w:ascii="Calibri" w:cs="Calibri" w:eastAsia="Calibri" w:hAnsi="Calibri"/>
          <w:b/>
          <w:bCs/>
          <w:color w:val="4A5568"/>
          <w:sz w:val="20"/>
          <w:szCs w:val="20"/>
        </w:rPr>
        <w:t xml:space="preserve">Add an escalation path note for high-impact launches</w:t>
      </w:r>
    </w:p>
    <w:p>
      <w:pPr>
        <w:spacing w:after="120"/>
        <w:ind w:left="720"/>
      </w:pPr>
      <w:r>
        <w:rPr>
          <w:rFonts w:ascii="Calibri" w:cs="Calibri" w:eastAsia="Calibri" w:hAnsi="Calibri"/>
          <w:color w:val="4A5568"/>
          <w:sz w:val="20"/>
          <w:szCs w:val="20"/>
        </w:rPr>
        <w:t xml:space="preserve">For Tier 1 launches, a brief note on the customer issue reporting path and the on-call contact for the first 30 days could be considered. This supports CS playbook preparation and reduces ad-hoc coordination during launch week.</w:t>
      </w:r>
    </w:p>
    <w:p>
      <w:pPr>
        <w:spacing w:after="60" w:before="160"/>
        <w:ind w:left="360"/>
      </w:pPr>
      <w:r>
        <w:rPr>
          <w:rFonts w:ascii="Calibri" w:cs="Calibri" w:eastAsia="Calibri" w:hAnsi="Calibri"/>
          <w:b/>
          <w:bCs/>
          <w:color w:val="4A5568"/>
          <w:sz w:val="20"/>
          <w:szCs w:val="20"/>
        </w:rPr>
        <w:t xml:space="preserve">3.  </w:t>
      </w:r>
      <w:r>
        <w:rPr>
          <w:rFonts w:ascii="Calibri" w:cs="Calibri" w:eastAsia="Calibri" w:hAnsi="Calibri"/>
          <w:b/>
          <w:bCs/>
          <w:color w:val="4A5568"/>
          <w:sz w:val="20"/>
          <w:szCs w:val="20"/>
        </w:rPr>
        <w:t xml:space="preserve">Include a roadmap confidentiality tier</w:t>
      </w:r>
    </w:p>
    <w:p>
      <w:pPr>
        <w:spacing w:after="120"/>
        <w:ind w:left="720"/>
      </w:pPr>
      <w:r>
        <w:rPr>
          <w:rFonts w:ascii="Calibri" w:cs="Calibri" w:eastAsia="Calibri" w:hAnsi="Calibri"/>
          <w:color w:val="4A5568"/>
          <w:sz w:val="20"/>
          <w:szCs w:val="20"/>
        </w:rPr>
        <w:t xml:space="preserve">A simple classification — "approved for external use," "internal use only," or "embargoed until [date]" — on roadmap items mentioned in the internal FAQ could provide PMM and Sales with clear guidance without additional follow-up.</w:t>
      </w:r>
    </w:p>
    <w:p>
      <w:pPr>
        <w:spacing w:after="60" w:before="160"/>
        <w:ind w:left="360"/>
      </w:pPr>
      <w:r>
        <w:rPr>
          <w:rFonts w:ascii="Calibri" w:cs="Calibri" w:eastAsia="Calibri" w:hAnsi="Calibri"/>
          <w:b/>
          <w:bCs/>
          <w:color w:val="4A5568"/>
          <w:sz w:val="20"/>
          <w:szCs w:val="20"/>
        </w:rPr>
        <w:t xml:space="preserve">4.  </w:t>
      </w:r>
      <w:r>
        <w:rPr>
          <w:rFonts w:ascii="Calibri" w:cs="Calibri" w:eastAsia="Calibri" w:hAnsi="Calibri"/>
          <w:b/>
          <w:bCs/>
          <w:color w:val="4A5568"/>
          <w:sz w:val="20"/>
          <w:szCs w:val="20"/>
        </w:rPr>
        <w:t xml:space="preserve">Note migration or deprecation context when applicable</w:t>
      </w:r>
    </w:p>
    <w:p>
      <w:pPr>
        <w:spacing w:after="120"/>
        <w:ind w:left="720"/>
      </w:pPr>
      <w:r>
        <w:rPr>
          <w:rFonts w:ascii="Calibri" w:cs="Calibri" w:eastAsia="Calibri" w:hAnsi="Calibri"/>
          <w:color w:val="4A5568"/>
          <w:sz w:val="20"/>
          <w:szCs w:val="20"/>
        </w:rPr>
        <w:t xml:space="preserve">When a feature replaces an existing workflow, a brief conditional note on the migration action and notification plan could help PMM prepare customer transition communications in advance rather than reactively.</w:t>
      </w:r>
    </w:p>
    <w:p>
      <w:pPr>
        <w:spacing w:before="400"/>
      </w:pPr>
    </w:p>
    <w:p>
      <w:pPr>
        <w:spacing w:after="80" w:before="200"/>
      </w:pPr>
      <w:r>
        <w:rPr>
          <w:rFonts w:ascii="Calibri" w:cs="Calibri" w:eastAsia="Calibri" w:hAnsi="Calibri"/>
          <w:b/>
          <w:bCs/>
          <w:color w:val="1F3864"/>
          <w:sz w:val="22"/>
          <w:szCs w:val="22"/>
        </w:rPr>
        <w:t xml:space="preserve">About This Document</w:t>
      </w:r>
    </w:p>
    <w:p>
      <w:pPr>
        <w:spacing w:after="120"/>
      </w:pPr>
      <w:r>
        <w:rPr>
          <w:rFonts w:ascii="Calibri" w:cs="Calibri" w:eastAsia="Calibri" w:hAnsi="Calibri"/>
          <w:sz w:val="20"/>
          <w:szCs w:val="20"/>
        </w:rPr>
        <w:t xml:space="preserve">This document was prepared as a collaborative internal proposal. It is intended to facilitate a constructive discussion about how the Release Notes Skill can continue to evolve alongside the PMM framework — not as an audit or a requirement. The Release Notes Skill reflects deliberate design choices and has demonstrably produced high-quality output. Any changes should be weighed against the authoring experience for Product teams.</w:t>
      </w:r>
    </w:p>
    <w:p>
      <w:pPr>
        <w:spacing w:after="120"/>
      </w:pPr>
      <w:r>
        <w:rPr>
          <w:rFonts w:ascii="Calibri" w:cs="Calibri" w:eastAsia="Calibri" w:hAnsi="Calibri"/>
          <w:sz w:val="20"/>
          <w:szCs w:val="20"/>
        </w:rPr>
        <w:t xml:space="preserve">Framework reference: </w:t>
      </w:r>
      <w:r>
        <w:rPr>
          <w:rFonts w:ascii="Calibri" w:cs="Calibri" w:eastAsia="Calibri" w:hAnsi="Calibri"/>
          <w:b/>
          <w:bCs/>
          <w:sz w:val="20"/>
          <w:szCs w:val="20"/>
        </w:rPr>
        <w:t xml:space="preserve">Product Information Requirements for Product Marketing, v1.4</w:t>
      </w:r>
      <w:r>
        <w:rPr>
          <w:rFonts w:ascii="Calibri" w:cs="Calibri" w:eastAsia="Calibri" w:hAnsi="Calibri"/>
          <w:sz w:val="20"/>
          <w:szCs w:val="20"/>
        </w:rPr>
        <w:t xml:space="preserve">  ·  Skill reference: </w:t>
      </w:r>
      <w:r>
        <w:rPr>
          <w:rFonts w:ascii="Calibri" w:cs="Calibri" w:eastAsia="Calibri" w:hAnsi="Calibri"/>
          <w:b/>
          <w:bCs/>
          <w:sz w:val="20"/>
          <w:szCs w:val="20"/>
        </w:rPr>
        <w:t xml:space="preserve">Release Notes PR/FAQ Writer (SKILL.md)</w:t>
      </w:r>
    </w:p>
    <w:sectPr>
      <w:pgSz w:w="12240" w:h="158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Release Notes Skill — PMM Alignment Review</dc:title>
  <dc:creator>Saras Analytics</dc:creator>
  <dc:description>Comparison of the Release Notes PR/FAQ Skill against PMM Information Requirements v1.4</dc:description>
  <cp:lastModifiedBy>Un-named</cp:lastModifiedBy>
  <cp:revision>1</cp:revision>
  <dcterms:created xsi:type="dcterms:W3CDTF">2026-07-30T03:49:15.032Z</dcterms:created>
  <dcterms:modified xsi:type="dcterms:W3CDTF">2026-07-30T03:49:15.033Z</dcterms:modified>
</cp:coreProperties>
</file>

<file path=docProps/custom.xml><?xml version="1.0" encoding="utf-8"?>
<Properties xmlns="http://schemas.openxmlformats.org/officeDocument/2006/custom-properties" xmlns:vt="http://schemas.openxmlformats.org/officeDocument/2006/docPropsVTypes"/>
</file>