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pPr>
    </w:p>
    <w:p>
      <w:pPr>
        <w:spacing w:after="80"/>
        <w:jc w:val="center"/>
      </w:pPr>
      <w:r>
        <w:rPr>
          <w:rFonts w:ascii="Calibri" w:cs="Calibri" w:eastAsia="Calibri" w:hAnsi="Calibri"/>
          <w:b/>
          <w:bCs/>
          <w:color w:val="1F3864"/>
          <w:sz w:val="52"/>
          <w:szCs w:val="52"/>
        </w:rPr>
        <w:t xml:space="preserve">Release Notes Skill</w:t>
      </w:r>
    </w:p>
    <w:p>
      <w:pPr>
        <w:spacing w:after="80"/>
        <w:jc w:val="center"/>
      </w:pPr>
      <w:r>
        <w:rPr>
          <w:rFonts w:ascii="Calibri" w:cs="Calibri" w:eastAsia="Calibri" w:hAnsi="Calibri"/>
          <w:color w:val="2E7D8C"/>
          <w:sz w:val="36"/>
          <w:szCs w:val="36"/>
        </w:rPr>
        <w:t xml:space="preserve">PMM Information Requirements Alignment</w:t>
      </w:r>
    </w:p>
    <w:p>
      <w:pPr>
        <w:spacing w:after="560"/>
        <w:jc w:val="center"/>
      </w:pPr>
      <w:r>
        <w:rPr>
          <w:rFonts w:ascii="Calibri" w:cs="Calibri" w:eastAsia="Calibri" w:hAnsi="Calibri"/>
          <w:i/>
          <w:iCs/>
          <w:color w:val="4A5568"/>
          <w:sz w:val="24"/>
          <w:szCs w:val="24"/>
        </w:rPr>
        <w:t xml:space="preserve">A Collaborative Review for Discussion</w:t>
      </w:r>
    </w:p>
    <w:p>
      <w:pPr>
        <w:spacing w:after="960"/>
        <w:jc w:val="center"/>
      </w:pPr>
      <w:r>
        <w:rPr>
          <w:rFonts w:ascii="Calibri" w:cs="Calibri" w:eastAsia="Calibri" w:hAnsi="Calibri"/>
          <w:color w:val="4A5568"/>
          <w:sz w:val="18"/>
          <w:szCs w:val="18"/>
        </w:rPr>
        <w:t xml:space="preserve">July 2025  ·  Framework: PMM Information Requirements v1.4  ·  Skill: Release Notes PR/FAQ Writer</w:t>
      </w:r>
    </w:p>
    <w:p>
      <w:pPr>
        <w:spacing w:after="100"/>
        <w:jc w:val="center"/>
      </w:pPr>
      <w:r>
        <w:rPr>
          <w:rFonts w:ascii="Calibri" w:cs="Calibri" w:eastAsia="Calibri" w:hAnsi="Calibri"/>
          <w:b/>
          <w:bCs/>
          <w:color w:val="1F3864"/>
          <w:sz w:val="20"/>
          <w:szCs w:val="20"/>
        </w:rPr>
        <w:t xml:space="preserve">Coverage Key</w:t>
      </w:r>
    </w:p>
    <w:tbl>
      <w:tblPr>
        <w:tblW w:type="dxa" w:w="13968"/>
        <w:tblBorders>
          <w:top w:val="single" w:color="auto" w:sz="4"/>
          <w:left w:val="single" w:color="auto" w:sz="4"/>
          <w:bottom w:val="single" w:color="auto" w:sz="4"/>
          <w:right w:val="single" w:color="auto" w:sz="4"/>
          <w:insideH w:val="single" w:color="auto" w:sz="4"/>
          <w:insideV w:val="single" w:color="auto" w:sz="4"/>
        </w:tblBorders>
      </w:tblPr>
      <w:tblGrid>
        <w:gridCol w:w="4656"/>
        <w:gridCol w:w="4656"/>
        <w:gridCol w:w="4656"/>
      </w:tblGrid>
      <w:tr>
        <w:tc>
          <w:tcPr>
            <w:tcW w:type="dxa" w:w="4656"/>
            <w:tcBorders>
              <w:top w:val="single" w:color="CBD5E0" w:sz="4"/>
              <w:left w:val="single" w:color="CBD5E0" w:sz="4"/>
              <w:bottom w:val="single" w:color="CBD5E0" w:sz="4"/>
              <w:right w:val="single" w:color="CBD5E0" w:sz="4"/>
            </w:tcBorders>
            <w:shd w:fill="EAF5EE" w:val="clear"/>
          </w:tcPr>
          <w:p>
            <w:pPr>
              <w:spacing w:after="80" w:before="80"/>
              <w:jc w:val="center"/>
            </w:pPr>
            <w:r>
              <w:rPr>
                <w:rFonts w:ascii="Calibri" w:cs="Calibri" w:eastAsia="Calibri" w:hAnsi="Calibri"/>
                <w:b/>
                <w:bCs/>
                <w:color w:val="276749"/>
                <w:sz w:val="18"/>
                <w:szCs w:val="18"/>
              </w:rPr>
              <w:t xml:space="preserve">Well Covered</w:t>
            </w:r>
          </w:p>
        </w:tc>
        <w:tc>
          <w:tcPr>
            <w:tcW w:type="dxa" w:w="4656"/>
            <w:tcBorders>
              <w:top w:val="single" w:color="CBD5E0" w:sz="4"/>
              <w:left w:val="single" w:color="CBD5E0" w:sz="4"/>
              <w:bottom w:val="single" w:color="CBD5E0" w:sz="4"/>
              <w:right w:val="single" w:color="CBD5E0" w:sz="4"/>
            </w:tcBorders>
            <w:shd w:fill="FFFBEB" w:val="clear"/>
          </w:tcPr>
          <w:p>
            <w:pPr>
              <w:spacing w:after="80" w:before="80"/>
              <w:jc w:val="center"/>
            </w:pPr>
            <w:r>
              <w:rPr>
                <w:rFonts w:ascii="Calibri" w:cs="Calibri" w:eastAsia="Calibri" w:hAnsi="Calibri"/>
                <w:b/>
                <w:bCs/>
                <w:color w:val="92400E"/>
                <w:sz w:val="18"/>
                <w:szCs w:val="18"/>
              </w:rPr>
              <w:t xml:space="preserve">Partially Covered</w:t>
            </w:r>
          </w:p>
        </w:tc>
        <w:tc>
          <w:tcPr>
            <w:tcW w:type="dxa" w:w="4656"/>
            <w:tcBorders>
              <w:top w:val="single" w:color="CBD5E0" w:sz="4"/>
              <w:left w:val="single" w:color="CBD5E0" w:sz="4"/>
              <w:bottom w:val="single" w:color="CBD5E0" w:sz="4"/>
              <w:right w:val="single" w:color="CBD5E0" w:sz="4"/>
            </w:tcBorders>
            <w:shd w:fill="EFF6FF" w:val="clear"/>
          </w:tcPr>
          <w:p>
            <w:pPr>
              <w:spacing w:after="80" w:before="80"/>
              <w:jc w:val="center"/>
            </w:pPr>
            <w:r>
              <w:rPr>
                <w:rFonts w:ascii="Calibri" w:cs="Calibri" w:eastAsia="Calibri" w:hAnsi="Calibri"/>
                <w:b/>
                <w:bCs/>
                <w:color w:val="1E40AF"/>
                <w:sz w:val="18"/>
                <w:szCs w:val="18"/>
              </w:rPr>
              <w:t xml:space="preserve">Not Currently Captured</w:t>
            </w:r>
          </w:p>
        </w:tc>
      </w:tr>
    </w:tbl>
    <w:p>
      <w:pPr>
        <w:spacing w:after="60" w:before="140"/>
      </w:pPr>
    </w:p>
    <w:p>
      <w:pPr>
        <w:spacing w:after="40"/>
        <w:jc w:val="center"/>
      </w:pPr>
      <w:r>
        <w:rPr>
          <w:rFonts w:ascii="Calibri" w:cs="Calibri" w:eastAsia="Calibri" w:hAnsi="Calibri"/>
          <w:b/>
          <w:bCs/>
          <w:color w:val="4A5568"/>
          <w:sz w:val="18"/>
          <w:szCs w:val="18"/>
        </w:rPr>
        <w:t xml:space="preserve">Tier Key:  </w:t>
      </w:r>
      <w:r>
        <w:rPr>
          <w:rFonts w:ascii="Calibri" w:cs="Calibri" w:eastAsia="Calibri" w:hAnsi="Calibri"/>
          <w:i/>
          <w:iCs/>
          <w:color w:val="276749"/>
          <w:sz w:val="18"/>
          <w:szCs w:val="18"/>
        </w:rPr>
        <w:t xml:space="preserve">Core</w:t>
      </w:r>
      <w:r>
        <w:rPr>
          <w:rFonts w:ascii="Calibri" w:cs="Calibri" w:eastAsia="Calibri" w:hAnsi="Calibri"/>
          <w:color w:val="4A5568"/>
          <w:sz w:val="18"/>
          <w:szCs w:val="18"/>
        </w:rPr>
        <w:t xml:space="preserve">  ·  </w:t>
      </w:r>
      <w:r>
        <w:rPr>
          <w:rFonts w:ascii="Calibri" w:cs="Calibri" w:eastAsia="Calibri" w:hAnsi="Calibri"/>
          <w:i/>
          <w:iCs/>
          <w:color w:val="4A5568"/>
          <w:sz w:val="18"/>
          <w:szCs w:val="18"/>
        </w:rPr>
        <w:t xml:space="preserve">Scenario / Higher Tiers</w:t>
      </w:r>
    </w:p>
    <w:p>
      <w:pPr>
        <w:spacing w:after="0"/>
        <w:jc w:val="center"/>
      </w:pPr>
      <w:r>
        <w:rPr>
          <w:rFonts w:ascii="Calibri" w:cs="Calibri" w:eastAsia="Calibri" w:hAnsi="Calibri"/>
          <w:i/>
          <w:iCs/>
          <w:color w:val="4A5568"/>
          <w:sz w:val="17"/>
          <w:szCs w:val="17"/>
        </w:rPr>
        <w:t xml:space="preserve">Core represents information Product Marketing typically requires for most launches. Scenario / Higher Tiers represents information that becomes important for Tier 1, Tier 2, or specific launch scenarios.</w:t>
      </w:r>
    </w:p>
    <w:p>
      <w:pPr>
        <w:pageBreakBefore/>
      </w:pPr>
    </w:p>
    <w:p>
      <w:pPr>
        <w:pStyle w:val="Heading1"/>
        <w:pBdr>
          <w:bottom w:val="single" w:color="2E7D8C" w:sz="6" w:space="4"/>
        </w:pBdr>
        <w:spacing w:after="160" w:before="360"/>
      </w:pPr>
      <w:r>
        <w:rPr>
          <w:rFonts w:ascii="Calibri" w:cs="Calibri" w:eastAsia="Calibri" w:hAnsi="Calibri"/>
          <w:b/>
          <w:bCs/>
          <w:color w:val="1F3864"/>
          <w:sz w:val="30"/>
          <w:szCs w:val="30"/>
        </w:rPr>
        <w:t xml:space="preserve">Executive Summary</w:t>
      </w:r>
    </w:p>
    <w:p>
      <w:pPr>
        <w:spacing w:after="140"/>
      </w:pPr>
      <w:r>
        <w:rPr>
          <w:rFonts w:ascii="Calibri" w:cs="Calibri" w:eastAsia="Calibri" w:hAnsi="Calibri"/>
          <w:sz w:val="20"/>
          <w:szCs w:val="20"/>
        </w:rPr>
        <w:t xml:space="preserve">The Release Notes Skill — which structures product launches as Amazon-style PR/FAQs — provides a strong foundation for communicating product value. This document is intended to support a collaborative conversation about how Product Marketing's information needs are currently met and where additional context </w:t>
      </w:r>
      <w:r>
        <w:rPr>
          <w:rFonts w:ascii="Calibri" w:cs="Calibri" w:eastAsia="Calibri" w:hAnsi="Calibri"/>
          <w:i/>
          <w:iCs/>
          <w:sz w:val="20"/>
          <w:szCs w:val="20"/>
        </w:rPr>
        <w:t xml:space="preserve">may</w:t>
      </w:r>
      <w:r>
        <w:rPr>
          <w:rFonts w:ascii="Calibri" w:cs="Calibri" w:eastAsia="Calibri" w:hAnsi="Calibri"/>
          <w:sz w:val="20"/>
          <w:szCs w:val="20"/>
        </w:rPr>
        <w:t xml:space="preserve"> improve cross-functional collaboration.</w:t>
      </w:r>
    </w:p>
    <w:p>
      <w:pPr>
        <w:spacing w:after="140"/>
      </w:pPr>
      <w:r>
        <w:rPr>
          <w:rFonts w:ascii="Calibri" w:cs="Calibri" w:eastAsia="Calibri" w:hAnsi="Calibri"/>
          <w:sz w:val="20"/>
          <w:szCs w:val="20"/>
        </w:rPr>
        <w:t xml:space="preserve">The PMM Information Requirements framework (v1.4) defines the information Product Marketing requests from the Product team before GTM work begins. This review maps each requirement against the current Release Notes Skill to identify what is already well covered, what is partially addressed, and where information is not currently captured.</w:t>
      </w:r>
    </w:p>
    <w:p>
      <w:pPr>
        <w:spacing w:after="140"/>
      </w:pPr>
      <w:r>
        <w:rPr>
          <w:rFonts w:ascii="Calibri" w:cs="Calibri" w:eastAsia="Calibri" w:hAnsi="Calibri"/>
          <w:sz w:val="20"/>
          <w:szCs w:val="20"/>
        </w:rPr>
        <w:t xml:space="preserve">This review is </w:t>
      </w:r>
      <w:r>
        <w:rPr>
          <w:rFonts w:ascii="Calibri" w:cs="Calibri" w:eastAsia="Calibri" w:hAnsi="Calibri"/>
          <w:b/>
          <w:bCs/>
          <w:sz w:val="20"/>
          <w:szCs w:val="20"/>
        </w:rPr>
        <w:t xml:space="preserve">implementation-agnostic</w:t>
      </w:r>
      <w:r>
        <w:rPr>
          <w:rFonts w:ascii="Calibri" w:cs="Calibri" w:eastAsia="Calibri" w:hAnsi="Calibri"/>
          <w:sz w:val="20"/>
          <w:szCs w:val="20"/>
        </w:rPr>
        <w:t xml:space="preserve">. It identifies where information is not currently captured by the skill — not where it should be added. Information identified here may ultimately be addressed through the Release Notes Skill, a PRD, a Shift Left document, a launch checklist, or another existing Product workflow. The appropriate source is a decision for the team to make based on existing workflows and authoring experience.</w:t>
      </w:r>
    </w:p>
    <w:p>
      <w:pPr>
        <w:spacing w:after="140"/>
      </w:pPr>
      <w:r>
        <w:rPr>
          <w:rFonts w:ascii="Calibri" w:cs="Calibri" w:eastAsia="Calibri" w:hAnsi="Calibri"/>
          <w:sz w:val="20"/>
          <w:szCs w:val="20"/>
        </w:rPr>
        <w:t xml:space="preserve">Many of the information requirements identified below do not require additional writing. In a large number of cases, a reference or link to existing documentation — a Confluence page, a PRD, or a Loom recording — would be sufficient to improve downstream collaboration without creating meaningful authoring burden for Product teams.</w:t>
      </w:r>
    </w:p>
    <w:p>
      <w:pPr>
        <w:spacing w:after="100" w:before="160"/>
      </w:pPr>
    </w:p>
    <w:tbl>
      <w:tblPr>
        <w:tblW w:type="dxa" w:w="13968"/>
        <w:tblBorders>
          <w:top w:val="single" w:color="auto" w:sz="4"/>
          <w:left w:val="single" w:color="auto" w:sz="4"/>
          <w:bottom w:val="single" w:color="auto" w:sz="4"/>
          <w:right w:val="single" w:color="auto" w:sz="4"/>
          <w:insideH w:val="single" w:color="auto" w:sz="4"/>
          <w:insideV w:val="single" w:color="auto" w:sz="4"/>
        </w:tblBorders>
      </w:tblPr>
      <w:tblGrid>
        <w:gridCol w:w="3492"/>
        <w:gridCol w:w="3492"/>
        <w:gridCol w:w="3492"/>
        <w:gridCol w:w="3492"/>
      </w:tblGrid>
      <w:tr>
        <w:tc>
          <w:tcPr>
            <w:tcW w:type="dxa" w:w="3492"/>
            <w:tcBorders>
              <w:top w:val="single" w:color="CBD5E0" w:sz="4"/>
              <w:left w:val="single" w:color="CBD5E0" w:sz="4"/>
              <w:bottom w:val="single" w:color="CBD5E0" w:sz="4"/>
              <w:right w:val="single" w:color="CBD5E0" w:sz="4"/>
            </w:tcBorders>
            <w:shd w:fill="F7F8FA" w:val="clear"/>
            <w:vAlign w:val="center"/>
          </w:tcPr>
          <w:p>
            <w:pPr>
              <w:jc w:val="center"/>
            </w:pPr>
            <w:r>
              <w:rPr>
                <w:rFonts w:ascii="Calibri" w:cs="Calibri" w:eastAsia="Calibri" w:hAnsi="Calibri"/>
                <w:b/>
                <w:bCs/>
                <w:color w:val="1F3864"/>
                <w:sz w:val="56"/>
                <w:szCs w:val="56"/>
              </w:rPr>
              <w:t xml:space="preserve">23</w:t>
            </w:r>
          </w:p>
          <w:p>
            <w:pPr>
              <w:spacing w:after="80"/>
              <w:jc w:val="center"/>
            </w:pPr>
            <w:r>
              <w:rPr>
                <w:rFonts w:ascii="Calibri" w:cs="Calibri" w:eastAsia="Calibri" w:hAnsi="Calibri"/>
                <w:color w:val="4A5568"/>
                <w:sz w:val="16"/>
                <w:szCs w:val="16"/>
              </w:rPr>
              <w:t xml:space="preserve">Total Requirements</w:t>
            </w:r>
          </w:p>
        </w:tc>
        <w:tc>
          <w:tcPr>
            <w:tcW w:type="dxa" w:w="3492"/>
            <w:tcBorders>
              <w:top w:val="single" w:color="CBD5E0" w:sz="4"/>
              <w:left w:val="single" w:color="CBD5E0" w:sz="4"/>
              <w:bottom w:val="single" w:color="CBD5E0" w:sz="4"/>
              <w:right w:val="single" w:color="CBD5E0" w:sz="4"/>
            </w:tcBorders>
            <w:shd w:fill="EAF5EE" w:val="clear"/>
            <w:vAlign w:val="center"/>
          </w:tcPr>
          <w:p>
            <w:pPr>
              <w:jc w:val="center"/>
            </w:pPr>
            <w:r>
              <w:rPr>
                <w:rFonts w:ascii="Calibri" w:cs="Calibri" w:eastAsia="Calibri" w:hAnsi="Calibri"/>
                <w:b/>
                <w:bCs/>
                <w:color w:val="276749"/>
                <w:sz w:val="56"/>
                <w:szCs w:val="56"/>
              </w:rPr>
              <w:t xml:space="preserve">1</w:t>
            </w:r>
          </w:p>
          <w:p>
            <w:pPr>
              <w:spacing w:after="80"/>
              <w:jc w:val="center"/>
            </w:pPr>
            <w:r>
              <w:rPr>
                <w:rFonts w:ascii="Calibri" w:cs="Calibri" w:eastAsia="Calibri" w:hAnsi="Calibri"/>
                <w:b/>
                <w:bCs/>
                <w:color w:val="276749"/>
                <w:sz w:val="16"/>
                <w:szCs w:val="16"/>
              </w:rPr>
              <w:t xml:space="preserve">Well Covered</w:t>
            </w:r>
          </w:p>
        </w:tc>
        <w:tc>
          <w:tcPr>
            <w:tcW w:type="dxa" w:w="3492"/>
            <w:tcBorders>
              <w:top w:val="single" w:color="CBD5E0" w:sz="4"/>
              <w:left w:val="single" w:color="CBD5E0" w:sz="4"/>
              <w:bottom w:val="single" w:color="CBD5E0" w:sz="4"/>
              <w:right w:val="single" w:color="CBD5E0" w:sz="4"/>
            </w:tcBorders>
            <w:shd w:fill="FFFBEB" w:val="clear"/>
            <w:vAlign w:val="center"/>
          </w:tcPr>
          <w:p>
            <w:pPr>
              <w:jc w:val="center"/>
            </w:pPr>
            <w:r>
              <w:rPr>
                <w:rFonts w:ascii="Calibri" w:cs="Calibri" w:eastAsia="Calibri" w:hAnsi="Calibri"/>
                <w:b/>
                <w:bCs/>
                <w:color w:val="92400E"/>
                <w:sz w:val="56"/>
                <w:szCs w:val="56"/>
              </w:rPr>
              <w:t xml:space="preserve">11</w:t>
            </w:r>
          </w:p>
          <w:p>
            <w:pPr>
              <w:spacing w:after="80"/>
              <w:jc w:val="center"/>
            </w:pPr>
            <w:r>
              <w:rPr>
                <w:rFonts w:ascii="Calibri" w:cs="Calibri" w:eastAsia="Calibri" w:hAnsi="Calibri"/>
                <w:b/>
                <w:bCs/>
                <w:color w:val="92400E"/>
                <w:sz w:val="16"/>
                <w:szCs w:val="16"/>
              </w:rPr>
              <w:t xml:space="preserve">Partially Covered</w:t>
            </w:r>
          </w:p>
        </w:tc>
        <w:tc>
          <w:tcPr>
            <w:tcW w:type="dxa" w:w="3492"/>
            <w:tcBorders>
              <w:top w:val="single" w:color="CBD5E0" w:sz="4"/>
              <w:left w:val="single" w:color="CBD5E0" w:sz="4"/>
              <w:bottom w:val="single" w:color="CBD5E0" w:sz="4"/>
              <w:right w:val="single" w:color="CBD5E0" w:sz="4"/>
            </w:tcBorders>
            <w:shd w:fill="EFF6FF" w:val="clear"/>
            <w:vAlign w:val="center"/>
          </w:tcPr>
          <w:p>
            <w:pPr>
              <w:jc w:val="center"/>
            </w:pPr>
            <w:r>
              <w:rPr>
                <w:rFonts w:ascii="Calibri" w:cs="Calibri" w:eastAsia="Calibri" w:hAnsi="Calibri"/>
                <w:b/>
                <w:bCs/>
                <w:color w:val="1E40AF"/>
                <w:sz w:val="56"/>
                <w:szCs w:val="56"/>
              </w:rPr>
              <w:t xml:space="preserve">11</w:t>
            </w:r>
          </w:p>
          <w:p>
            <w:pPr>
              <w:spacing w:after="80"/>
              <w:jc w:val="center"/>
            </w:pPr>
            <w:r>
              <w:rPr>
                <w:rFonts w:ascii="Calibri" w:cs="Calibri" w:eastAsia="Calibri" w:hAnsi="Calibri"/>
                <w:b/>
                <w:bCs/>
                <w:color w:val="1E40AF"/>
                <w:sz w:val="16"/>
                <w:szCs w:val="16"/>
              </w:rPr>
              <w:t xml:space="preserve">Not Currently Captured</w:t>
            </w:r>
          </w:p>
        </w:tc>
      </w:tr>
    </w:tbl>
    <w:p>
      <w:pPr>
        <w:pageBreakBefore/>
      </w:pPr>
    </w:p>
    <w:p>
      <w:pPr>
        <w:pStyle w:val="Heading1"/>
        <w:pBdr>
          <w:bottom w:val="single" w:color="2E7D8C" w:sz="6" w:space="4"/>
        </w:pBdr>
        <w:spacing w:after="160" w:before="360"/>
      </w:pPr>
      <w:r>
        <w:rPr>
          <w:rFonts w:ascii="Calibri" w:cs="Calibri" w:eastAsia="Calibri" w:hAnsi="Calibri"/>
          <w:b/>
          <w:bCs/>
          <w:color w:val="1F3864"/>
          <w:sz w:val="30"/>
          <w:szCs w:val="30"/>
        </w:rPr>
        <w:t xml:space="preserve">Comparison Table</w:t>
      </w:r>
    </w:p>
    <w:p>
      <w:pPr>
        <w:spacing w:after="140"/>
      </w:pPr>
      <w:r>
        <w:rPr>
          <w:rFonts w:ascii="Calibri" w:cs="Calibri" w:eastAsia="Calibri" w:hAnsi="Calibri"/>
          <w:sz w:val="20"/>
          <w:szCs w:val="20"/>
        </w:rPr>
        <w:t xml:space="preserve">Each PMM Information Requirement is mapped below against the current Release Notes Skill. Where information is not currently captured by the skill, the table describes what that information is, notes that it may already exist in another Product artifact, and explains why it is useful for downstream GTM planning.</w:t>
      </w:r>
    </w:p>
    <w:tbl>
      <w:tblPr>
        <w:tblW w:type="dxa" w:w="13968"/>
        <w:tblBorders>
          <w:top w:val="single" w:color="auto" w:sz="4"/>
          <w:left w:val="single" w:color="auto" w:sz="4"/>
          <w:bottom w:val="single" w:color="auto" w:sz="4"/>
          <w:right w:val="single" w:color="auto" w:sz="4"/>
          <w:insideH w:val="single" w:color="auto" w:sz="4"/>
          <w:insideV w:val="single" w:color="auto" w:sz="4"/>
        </w:tblBorders>
      </w:tblPr>
      <w:tblGrid>
        <w:gridCol w:w="1700"/>
        <w:gridCol w:w="1268"/>
        <w:gridCol w:w="3200"/>
        <w:gridCol w:w="3600"/>
        <w:gridCol w:w="4200"/>
      </w:tblGrid>
      <w:tr>
        <w:trPr>
          <w:tblHeader/>
        </w:trPr>
        <w:tc>
          <w:tcPr>
            <w:tcW w:type="dxa" w:w="1700"/>
            <w:tcBorders>
              <w:top w:val="single" w:color="1F3864" w:sz="4"/>
              <w:left w:val="single" w:color="1F3864" w:sz="4"/>
              <w:bottom w:val="single" w:color="1F3864" w:sz="4"/>
              <w:right w:val="single" w:color="1F3864" w:sz="4"/>
            </w:tcBorders>
            <w:shd w:fill="1F3864" w:val="clear"/>
            <w:vAlign w:val="center"/>
          </w:tcPr>
          <w:p>
            <w:pPr>
              <w:spacing w:after="100" w:before="100"/>
            </w:pPr>
            <w:r>
              <w:rPr>
                <w:rFonts w:ascii="Calibri" w:cs="Calibri" w:eastAsia="Calibri" w:hAnsi="Calibri"/>
                <w:b/>
                <w:bCs/>
                <w:color w:val="FFFFFF"/>
                <w:sz w:val="18"/>
                <w:szCs w:val="18"/>
              </w:rPr>
              <w:t xml:space="preserve">PMM Requirement</w:t>
            </w:r>
          </w:p>
        </w:tc>
        <w:tc>
          <w:tcPr>
            <w:tcW w:type="dxa" w:w="1268"/>
            <w:tcBorders>
              <w:top w:val="single" w:color="1F3864" w:sz="4"/>
              <w:left w:val="single" w:color="1F3864" w:sz="4"/>
              <w:bottom w:val="single" w:color="1F3864" w:sz="4"/>
              <w:right w:val="single" w:color="1F3864" w:sz="4"/>
            </w:tcBorders>
            <w:shd w:fill="1F3864" w:val="clear"/>
            <w:vAlign w:val="center"/>
          </w:tcPr>
          <w:p>
            <w:pPr>
              <w:spacing w:after="100" w:before="100"/>
            </w:pPr>
            <w:r>
              <w:rPr>
                <w:rFonts w:ascii="Calibri" w:cs="Calibri" w:eastAsia="Calibri" w:hAnsi="Calibri"/>
                <w:b/>
                <w:bCs/>
                <w:color w:val="FFFFFF"/>
                <w:sz w:val="18"/>
                <w:szCs w:val="18"/>
              </w:rPr>
              <w:t xml:space="preserve">Coverage</w:t>
            </w:r>
          </w:p>
        </w:tc>
        <w:tc>
          <w:tcPr>
            <w:tcW w:type="dxa" w:w="3200"/>
            <w:tcBorders>
              <w:top w:val="single" w:color="1F3864" w:sz="4"/>
              <w:left w:val="single" w:color="1F3864" w:sz="4"/>
              <w:bottom w:val="single" w:color="1F3864" w:sz="4"/>
              <w:right w:val="single" w:color="1F3864" w:sz="4"/>
            </w:tcBorders>
            <w:shd w:fill="1F3864" w:val="clear"/>
            <w:vAlign w:val="center"/>
          </w:tcPr>
          <w:p>
            <w:pPr>
              <w:spacing w:after="100" w:before="100"/>
            </w:pPr>
            <w:r>
              <w:rPr>
                <w:rFonts w:ascii="Calibri" w:cs="Calibri" w:eastAsia="Calibri" w:hAnsi="Calibri"/>
                <w:b/>
                <w:bCs/>
                <w:color w:val="FFFFFF"/>
                <w:sz w:val="18"/>
                <w:szCs w:val="18"/>
              </w:rPr>
              <w:t xml:space="preserve">What the Skill Currently Provides</w:t>
            </w:r>
          </w:p>
        </w:tc>
        <w:tc>
          <w:tcPr>
            <w:tcW w:type="dxa" w:w="3600"/>
            <w:tcBorders>
              <w:top w:val="single" w:color="1F3864" w:sz="4"/>
              <w:left w:val="single" w:color="1F3864" w:sz="4"/>
              <w:bottom w:val="single" w:color="1F3864" w:sz="4"/>
              <w:right w:val="single" w:color="1F3864" w:sz="4"/>
            </w:tcBorders>
            <w:shd w:fill="1F3864" w:val="clear"/>
            <w:vAlign w:val="center"/>
          </w:tcPr>
          <w:p>
            <w:pPr>
              <w:spacing w:after="100" w:before="100"/>
            </w:pPr>
            <w:r>
              <w:rPr>
                <w:rFonts w:ascii="Calibri" w:cs="Calibri" w:eastAsia="Calibri" w:hAnsi="Calibri"/>
                <w:b/>
                <w:bCs/>
                <w:color w:val="FFFFFF"/>
                <w:sz w:val="18"/>
                <w:szCs w:val="18"/>
              </w:rPr>
              <w:t xml:space="preserve">What Is Not Currently Captured</w:t>
            </w:r>
          </w:p>
        </w:tc>
        <w:tc>
          <w:tcPr>
            <w:tcW w:type="dxa" w:w="4200"/>
            <w:tcBorders>
              <w:top w:val="single" w:color="1F3864" w:sz="4"/>
              <w:left w:val="single" w:color="1F3864" w:sz="4"/>
              <w:bottom w:val="single" w:color="1F3864" w:sz="4"/>
              <w:right w:val="single" w:color="1F3864" w:sz="4"/>
            </w:tcBorders>
            <w:shd w:fill="1F3864" w:val="clear"/>
            <w:vAlign w:val="center"/>
          </w:tcPr>
          <w:p>
            <w:pPr>
              <w:spacing w:after="100" w:before="100"/>
            </w:pPr>
            <w:r>
              <w:rPr>
                <w:rFonts w:ascii="Calibri" w:cs="Calibri" w:eastAsia="Calibri" w:hAnsi="Calibri"/>
                <w:b/>
                <w:bCs/>
                <w:color w:val="FFFFFF"/>
                <w:sz w:val="18"/>
                <w:szCs w:val="18"/>
              </w:rPr>
              <w:t xml:space="preserve">Why This Helps Product Marketing</w:t>
            </w:r>
          </w:p>
        </w:tc>
      </w:tr>
      <w:tr>
        <w:tc>
          <w:tcPr>
            <w:gridSpan w:val="5"/>
            <w:tcBorders>
              <w:top w:val="single" w:color="2E7D8C" w:sz="4"/>
              <w:left w:val="single" w:color="2E7D8C" w:sz="4"/>
              <w:bottom w:val="single" w:color="2E7D8C" w:sz="4"/>
              <w:right w:val="single" w:color="2E7D8C" w:sz="4"/>
            </w:tcBorders>
            <w:shd w:fill="2E7D8C" w:val="clear"/>
          </w:tcPr>
          <w:p>
            <w:pPr>
              <w:spacing w:after="100" w:before="100"/>
            </w:pPr>
            <w:r>
              <w:rPr>
                <w:rFonts w:ascii="Calibri" w:cs="Calibri" w:eastAsia="Calibri" w:hAnsi="Calibri"/>
                <w:b/>
                <w:bCs/>
                <w:color w:val="FFFFFF"/>
                <w:sz w:val="18"/>
                <w:szCs w:val="18"/>
              </w:rPr>
              <w:t xml:space="preserve">1. Business Context</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Customer Problem &amp; Context</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problem paragraph captures customer pain in the customer's voice — a deliberate and effective structural choice. The skill prohibits unsubstantiated claims, reinforcing specificity throughout.</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specific workaround customers use today, the market trigger making the problem relevant now, and the business cost of inaction are not currently captured by the skill and may already exist in another Product artifact such as a PRD or Shift Left document.</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workaround and market trigger directly feed the launch narrative and campaign messaging. The cost of inaction helps PMM prioritise urgency in communications and supports analyst briefing preparation.</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Business Objective</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Business value is communicated through the opening paragraph and leader quote. The internal FAQ addresses "why now" and strategic positioning.</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A Kano model classification (Must-have, Performance, Delighter) with brief rationale, the specific business outcome targeted, and the strategic pillar the feature supports are not currently captured by the skill and may already exist in another Product artifact.</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Kano framing directly determines launch priority, messaging emphasis, and campaign investment. The strategic pillar connection is needed for executive communications, analyst briefings, and QBR slide content.</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Success Metrics</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internal FAQ ("how do we know it's working") includes qualitative outcome indicators. The worked example demonstrates outcome-level metrics.</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30/60/90-day post-launch metrics with the specific dashboard or report where they live are not currently captured by the skill and may already exist in a product tracker or reporting document.</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Launch success reporting, post-launch reviews, and executive updates all benefit from knowing which signals Product will monitor and where to find them before launch.</w:t>
            </w:r>
          </w:p>
        </w:tc>
      </w:tr>
      <w:tr>
        <w:tc>
          <w:tcPr>
            <w:gridSpan w:val="5"/>
            <w:tcBorders>
              <w:top w:val="single" w:color="2E7D8C" w:sz="4"/>
              <w:left w:val="single" w:color="2E7D8C" w:sz="4"/>
              <w:bottom w:val="single" w:color="2E7D8C" w:sz="4"/>
              <w:right w:val="single" w:color="2E7D8C" w:sz="4"/>
            </w:tcBorders>
            <w:shd w:fill="2E7D8C" w:val="clear"/>
          </w:tcPr>
          <w:p>
            <w:pPr>
              <w:spacing w:after="100" w:before="100"/>
            </w:pPr>
            <w:r>
              <w:rPr>
                <w:rFonts w:ascii="Calibri" w:cs="Calibri" w:eastAsia="Calibri" w:hAnsi="Calibri"/>
                <w:b/>
                <w:bCs/>
                <w:color w:val="FFFFFF"/>
                <w:sz w:val="18"/>
                <w:szCs w:val="18"/>
              </w:rPr>
              <w:t xml:space="preserve">2. Target Customer</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Ideal Customer Profile &amp; Adoption Signals</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Target customer type (internal technical, internal business, or end consumer) is a required input before generation begins — a useful gate that calibrates the language register throughout.</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Company size, target verticals, required technology stack, strong-fit signals, anti-patterns, and geographic or regulatory restrictions are not currently captured by the skill and may already exist in another Product artifact such as a Shift Left document or ICP resource.</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Fit signals and anti-patterns define ABM lists, territory scope, and sales qualification criteria. Anti-patterns help Sales disqualify poor-fit opportunities without escalating to Product.</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User Profiles</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Customer type is captured at a category level and used to calibrate language throughout the PR/FAQ — a deliberate and useful approach.</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primary user's job title, department, and specific task; secondary stakeholders who approve or benefit; and non-target users are not currently captured by the skill and may already exist in a persona card or Shift Left document.</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Persona-based messaging, campaign targeting, and multi-threaded account communications all require this level of specificity. Secondary stakeholder profiles are particularly useful for enterprise and CS communications.</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Current Usage</w:t>
            </w:r>
          </w:p>
          <w:p>
            <w:pPr>
              <w:spacing w:after="100" w:before="0"/>
            </w:pPr>
            <w:r>
              <w:rPr>
                <w:rFonts w:ascii="Calibri" w:cs="Calibri" w:eastAsia="Calibri" w:hAnsi="Calibri"/>
                <w:i/>
                <w:iCs/>
                <w:color w:val="4A5568"/>
                <w:sz w:val="16"/>
                <w:szCs w:val="16"/>
              </w:rPr>
              <w:t xml:space="preserve">Scenario / Higher Tiers</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Release status (GA, Beta, pilot) is sometimes mentioned in the FAQ when relevant to understanding access, but it is not a structured input.</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Release status, approximate customer or account count, and segment adoption are not currently captured by the skill and may already exist in another Product artifact or launch status document.</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This information segments launch communications — a GA announcement differs from a beta invitation. It also supports adoption tracking and CS communications planning.</w:t>
            </w:r>
          </w:p>
        </w:tc>
      </w:tr>
      <w:tr>
        <w:tc>
          <w:tcPr>
            <w:gridSpan w:val="5"/>
            <w:tcBorders>
              <w:top w:val="single" w:color="2E7D8C" w:sz="4"/>
              <w:left w:val="single" w:color="2E7D8C" w:sz="4"/>
              <w:bottom w:val="single" w:color="2E7D8C" w:sz="4"/>
              <w:right w:val="single" w:color="2E7D8C" w:sz="4"/>
            </w:tcBorders>
            <w:shd w:fill="2E7D8C" w:val="clear"/>
          </w:tcPr>
          <w:p>
            <w:pPr>
              <w:spacing w:after="100" w:before="100"/>
            </w:pPr>
            <w:r>
              <w:rPr>
                <w:rFonts w:ascii="Calibri" w:cs="Calibri" w:eastAsia="Calibri" w:hAnsi="Calibri"/>
                <w:b/>
                <w:bCs/>
                <w:color w:val="FFFFFF"/>
                <w:sz w:val="18"/>
                <w:szCs w:val="18"/>
              </w:rPr>
              <w:t xml:space="preserve">3. Feature Definition</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Feature Overview</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EAF5EE" w:val="clear"/>
            <w:vAlign w:val="center"/>
          </w:tcPr>
          <w:p>
            <w:pPr>
              <w:spacing w:after="100" w:before="100"/>
              <w:jc w:val="center"/>
            </w:pPr>
            <w:r>
              <w:rPr>
                <w:rFonts w:ascii="Calibri" w:cs="Calibri" w:eastAsia="Calibri" w:hAnsi="Calibri"/>
                <w:b/>
                <w:bCs/>
                <w:color w:val="276749"/>
                <w:sz w:val="17"/>
                <w:szCs w:val="17"/>
              </w:rPr>
              <w:t xml:space="preserve">Well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opening paragraph and solution paragraph together address what the feature does, who it is for, and why it matters. The claim-specificity rules provide strong quality control for downstream asset creation.</w:t>
            </w:r>
          </w:p>
        </w:tc>
        <w:tc>
          <w:tcPr>
            <w:tcW w:type="dxa" w:w="3600"/>
            <w:tcBorders>
              <w:top w:val="single" w:color="CBD5E0" w:sz="4"/>
              <w:left w:val="single" w:color="CBD5E0" w:sz="4"/>
              <w:bottom w:val="single" w:color="CBD5E0" w:sz="4"/>
              <w:right w:val="single" w:color="CBD5E0" w:sz="4"/>
            </w:tcBorders>
            <w:shd w:fill="EAF5EE" w:val="clear"/>
            <w:vAlign w:val="top"/>
          </w:tcPr>
          <w:p>
            <w:pPr>
              <w:spacing w:after="100" w:before="100"/>
            </w:pPr>
            <w:r>
              <w:rPr>
                <w:rFonts w:ascii="Calibri" w:cs="Calibri" w:eastAsia="Calibri" w:hAnsi="Calibri"/>
                <w:color w:val="4A5568"/>
                <w:sz w:val="18"/>
                <w:szCs w:val="18"/>
              </w:rPr>
              <w:t xml:space="preserve">This requirement is well served by the current skill structure. No additional information is needed here.</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One-pagers, website copy, release emails, and sales decks draw directly from this section.</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End-to-End Workflow</w:t>
            </w:r>
          </w:p>
          <w:p>
            <w:pPr>
              <w:spacing w:after="100" w:before="0"/>
            </w:pPr>
            <w:r>
              <w:rPr>
                <w:rFonts w:ascii="Calibri" w:cs="Calibri" w:eastAsia="Calibri" w:hAnsi="Calibri"/>
                <w:i/>
                <w:iCs/>
                <w:color w:val="4A5568"/>
                <w:sz w:val="16"/>
                <w:szCs w:val="16"/>
              </w:rPr>
              <w:t xml:space="preserve">Scenario / Higher Tiers</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solution paragraph describes how the product works at a conceptual level. The worked example demonstrates clear narrative flow through the workflow.</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Trigger conditions, the end state when the workflow completes, and a reference to workflow documentation are not currently captured by the skill and may already exist in another Product artifact such as a Confluence page, Loom recording, or diagram.</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Demo scripts, help content, and training materials — including IQ champions onboarding — are built from workflow detail. A reference to existing documentation reduces the effort of tracking it down separately.</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Capabilities &amp; Use Cases</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Capabilities and use cases appear naturally in the solution paragraph and external FAQs. The worked example demonstrates specific, grounded capability descriptions.</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A structured capability list, three to five named use cases (persona, task, outcome), and explicit non-use cases are not currently captured by the skill and may already exist in a Shift Left document or product brief.</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Battlecards, one-pagers, and use-case-specific sales content are built from this detail. Non-use cases support sales qualification and RFP responses, helping avoid misfits early in the sales cycle.</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Known Limitations</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external FAQ "what is not included" and the internal FAQ "what we are explicitly not doing" address scope and deliberate product choices — both effective practices.</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Volume caps, compatibility gaps, known issues not fixed at launch, and deliberate design trade-offs are not currently captured by the skill and may already exist in engineering documentation.</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Complete limitation detail is required for FAQ responses, RFP answers, and sales qualification. It also reduces the risk of over-promising during sales conversations.</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Dependencies</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Dependencies are occasionally referenced in the FAQ when relevant to understanding access or setup, but they are not a structured input.</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Required product modules, integrations, user permissions, data format requirements, minimum technical environment, and deployment model (Saras-managed vs. customer-managed) are not currently captured by the skill and may already exist in an existing technical specification.</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Onboarding content, implementation guides, and sales qualification criteria all depend on knowing what must be in place before a customer can use the feature. This also identifies which existing customers are immediately eligible.</w:t>
            </w:r>
          </w:p>
        </w:tc>
      </w:tr>
      <w:tr>
        <w:tc>
          <w:tcPr>
            <w:gridSpan w:val="5"/>
            <w:tcBorders>
              <w:top w:val="single" w:color="2E7D8C" w:sz="4"/>
              <w:left w:val="single" w:color="2E7D8C" w:sz="4"/>
              <w:bottom w:val="single" w:color="2E7D8C" w:sz="4"/>
              <w:right w:val="single" w:color="2E7D8C" w:sz="4"/>
            </w:tcBorders>
            <w:shd w:fill="2E7D8C" w:val="clear"/>
          </w:tcPr>
          <w:p>
            <w:pPr>
              <w:spacing w:after="100" w:before="100"/>
            </w:pPr>
            <w:r>
              <w:rPr>
                <w:rFonts w:ascii="Calibri" w:cs="Calibri" w:eastAsia="Calibri" w:hAnsi="Calibri"/>
                <w:b/>
                <w:bCs/>
                <w:color w:val="FFFFFF"/>
                <w:sz w:val="18"/>
                <w:szCs w:val="18"/>
              </w:rPr>
              <w:t xml:space="preserve">4. Customer Evidence</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Customer Validation &amp; Early Adoption</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Customer quotes are a required section, and the worked example includes multiple outcome-grounded customer voices. Pilot customer mentions appear in the FAQ.</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Structured notes on whether production customers, beta participants, or design partners exist — and whether reference customers are available — are not currently captured by the skill and may already exist in another Product artifact.</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Case studies, proof points, and outcome-based launch messaging depend on knowing what evidence exists and at what strength. Reference customer availability is directly relevant to press release and analyst briefing planning.</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Research &amp; Validation</w:t>
            </w:r>
          </w:p>
          <w:p>
            <w:pPr>
              <w:spacing w:after="100" w:before="0"/>
            </w:pPr>
            <w:r>
              <w:rPr>
                <w:rFonts w:ascii="Calibri" w:cs="Calibri" w:eastAsia="Calibri" w:hAnsi="Calibri"/>
                <w:i/>
                <w:iCs/>
                <w:color w:val="4A5568"/>
                <w:sz w:val="16"/>
                <w:szCs w:val="16"/>
              </w:rPr>
              <w:t xml:space="preserve">Scenario / Higher Tiers</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skill requires every claim in the press release to be specific and verifiable. However, the source of that validation is not currently captured.</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For each key claim, a note on whether it is validated research or a product assumption — and a pointer to supporting data — is not currently captured by the skill and may already exist in a research brief or interview summary.</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This determines which claims PMM can assert confidently and which require qualification language. It informs messaging credibility and analyst briefing content.</w:t>
            </w:r>
          </w:p>
        </w:tc>
      </w:tr>
      <w:tr>
        <w:tc>
          <w:tcPr>
            <w:gridSpan w:val="5"/>
            <w:tcBorders>
              <w:top w:val="single" w:color="2E7D8C" w:sz="4"/>
              <w:left w:val="single" w:color="2E7D8C" w:sz="4"/>
              <w:bottom w:val="single" w:color="2E7D8C" w:sz="4"/>
              <w:right w:val="single" w:color="2E7D8C" w:sz="4"/>
            </w:tcBorders>
            <w:shd w:fill="2E7D8C" w:val="clear"/>
          </w:tcPr>
          <w:p>
            <w:pPr>
              <w:spacing w:after="100" w:before="100"/>
            </w:pPr>
            <w:r>
              <w:rPr>
                <w:rFonts w:ascii="Calibri" w:cs="Calibri" w:eastAsia="Calibri" w:hAnsi="Calibri"/>
                <w:b/>
                <w:bCs/>
                <w:color w:val="FFFFFF"/>
                <w:sz w:val="18"/>
                <w:szCs w:val="18"/>
              </w:rPr>
              <w:t xml:space="preserve">5. Operational Readiness</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Availability &amp; Rollout</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Rollout approach, access timing, and phasing are frequently addressed in the external FAQ. The worked example clearly describes pilot scope and wave structure.</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Whether manual enablement is required and who performs it, and any geographic or regulatory restrictions, are not currently captured by the skill and may already exist in a rollout or launch readiness plan.</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Customer announcements, release notes, and CS communications require accurate rollout detail. Geographic restrictions are important for localised launch planning.</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Commercial Readiness</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Pricing and packaging are outside the current PR/FAQ scope, which focuses on product narrative.</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Pricing plan inclusion, business model, roadmap scope within pricing, trial inclusion, and upgrade paths are not currently captured by the skill and may already exist in a pricing document or product brief.</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Pricing pages, packaging guides, product pages, sales enablement, and launch communications all require this context. Without it, PMM typically needs a separate follow-up before GTM work can begin.</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Operational Health</w:t>
            </w:r>
          </w:p>
          <w:p>
            <w:pPr>
              <w:spacing w:after="100" w:before="0"/>
            </w:pPr>
            <w:r>
              <w:rPr>
                <w:rFonts w:ascii="Calibri" w:cs="Calibri" w:eastAsia="Calibri" w:hAnsi="Calibri"/>
                <w:i/>
                <w:iCs/>
                <w:color w:val="4A5568"/>
                <w:sz w:val="16"/>
                <w:szCs w:val="16"/>
              </w:rPr>
              <w:t xml:space="preserve">Scenario / Higher Tiers</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Operational monitoring is outside the current PR/FAQ structure, which focuses on the customer-facing value narrative.</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Customer-visible failure scenarios, how failures are detected, and monitoring and escalation ownership are not currently captured by the skill and may already exist in a delivery or engineering document.</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CS playbooks and internal launch readiness content require this detail. Knowing failure scenarios also helps PMM set appropriate expectations in customer-facing communications.</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Error Handling</w:t>
            </w:r>
          </w:p>
          <w:p>
            <w:pPr>
              <w:spacing w:after="100" w:before="0"/>
            </w:pPr>
            <w:r>
              <w:rPr>
                <w:rFonts w:ascii="Calibri" w:cs="Calibri" w:eastAsia="Calibri" w:hAnsi="Calibri"/>
                <w:i/>
                <w:iCs/>
                <w:color w:val="4A5568"/>
                <w:sz w:val="16"/>
                <w:szCs w:val="16"/>
              </w:rPr>
              <w:t xml:space="preserve">Scenario / Higher Tiers</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Error states and recovery paths are not part of the current PR/FAQ structure.</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error message a user sees when the feature fails, whether the error is self-service or requires support, the recovery path, and the customer reporting channel are not currently captured by the skill and may already exist in engineering documentation.</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Help content, support scripts, and CS onboarding materials are built from this detail. Clear error handling documentation reduces inbound support volume post-launch.</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Escalation Path</w:t>
            </w:r>
          </w:p>
          <w:p>
            <w:pPr>
              <w:spacing w:after="100" w:before="0"/>
            </w:pPr>
            <w:r>
              <w:rPr>
                <w:rFonts w:ascii="Calibri" w:cs="Calibri" w:eastAsia="Calibri" w:hAnsi="Calibri"/>
                <w:i/>
                <w:iCs/>
                <w:color w:val="4A5568"/>
                <w:sz w:val="16"/>
                <w:szCs w:val="16"/>
              </w:rPr>
              <w:t xml:space="preserve">Scenario / Higher Tiers</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Issue escalation and support routing are not currently captured in the PR/FAQ format.</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customer issue reporting process, minimum information needed for a bug report, and the on-call contact for the launch period are not currently captured by the skill and may already exist in an escalation runbook.</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CS playbook preparation and support team training depend on this information. Having it available at handoff avoids a separate coordination step during launch week.</w:t>
            </w:r>
          </w:p>
        </w:tc>
      </w:tr>
      <w:tr>
        <w:tc>
          <w:tcPr>
            <w:gridSpan w:val="5"/>
            <w:tcBorders>
              <w:top w:val="single" w:color="2E7D8C" w:sz="4"/>
              <w:left w:val="single" w:color="2E7D8C" w:sz="4"/>
              <w:bottom w:val="single" w:color="2E7D8C" w:sz="4"/>
              <w:right w:val="single" w:color="2E7D8C" w:sz="4"/>
            </w:tcBorders>
            <w:shd w:fill="2E7D8C" w:val="clear"/>
          </w:tcPr>
          <w:p>
            <w:pPr>
              <w:spacing w:after="100" w:before="100"/>
            </w:pPr>
            <w:r>
              <w:rPr>
                <w:rFonts w:ascii="Calibri" w:cs="Calibri" w:eastAsia="Calibri" w:hAnsi="Calibri"/>
                <w:b/>
                <w:bCs/>
                <w:color w:val="FFFFFF"/>
                <w:sz w:val="18"/>
                <w:szCs w:val="18"/>
              </w:rPr>
              <w:t xml:space="preserve">6. Launch Assets</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Visual Assets</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skill produces a text-based PR/FAQ. Visual assets — screenshots, recordings, demo access — are not part of the current template.</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Whether production screenshots or demo environment access is available, whether a walkthrough recording exists, and which UI areas are embargoed are not currently captured by the skill and may already exist as assets in another location.</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Blog posts, release notes, website updates, and sales collateral all require visual assets. Knowing their availability at handoff helps PMM plan asset production timelines accurately.</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Demo Environment</w:t>
            </w:r>
          </w:p>
          <w:p>
            <w:pPr>
              <w:spacing w:after="100" w:before="0"/>
            </w:pPr>
            <w:r>
              <w:rPr>
                <w:rFonts w:ascii="Calibri" w:cs="Calibri" w:eastAsia="Calibri" w:hAnsi="Calibri"/>
                <w:i/>
                <w:iCs/>
                <w:color w:val="4A5568"/>
                <w:sz w:val="16"/>
                <w:szCs w:val="16"/>
              </w:rPr>
              <w:t xml:space="preserve">Scenario / Higher Tiers</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Demo environment availability is not a structured input in the current skill.</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Whether a sandbox or demo environment exists, what configuration is needed to demo the feature, and how Sales Engineering requests access are not currently captured by the skill and may already exist in SE documentation.</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Sales demos, customer evaluations, and internal training all depend on demo environment access. Knowing this at handoff reduces back-and-forth between PMM, SE, and Product during launch preparation.</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Help Documentation</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Help article or documentation status is not a structured input, though it may be referenced in FAQ answers when relevant.</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Whether a help article is published at launch — or the target publication date — is not currently captured by the skill and may already exist in a documentation plan or content calendar.</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Release emails, onboarding guides, and CS communications depend on knowing when documentation will be available. This is one of the most consistently requested inputs from PMM at launch time.</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Migration &amp; Deprecation</w:t>
            </w:r>
          </w:p>
          <w:p>
            <w:pPr>
              <w:spacing w:after="100" w:before="0"/>
            </w:pPr>
            <w:r>
              <w:rPr>
                <w:rFonts w:ascii="Calibri" w:cs="Calibri" w:eastAsia="Calibri" w:hAnsi="Calibri"/>
                <w:i/>
                <w:iCs/>
                <w:color w:val="4A5568"/>
                <w:sz w:val="16"/>
                <w:szCs w:val="16"/>
              </w:rPr>
              <w:t xml:space="preserve">Scenario / Higher Tiers</w:t>
            </w:r>
          </w:p>
        </w:tc>
        <w:tc>
          <w:tcPr>
            <w:tcW w:type="dxa" w:w="1268"/>
            <w:tcBorders>
              <w:top w:val="single" w:color="CBD5E0" w:sz="4"/>
              <w:left w:val="single" w:color="CBD5E0" w:sz="4"/>
              <w:bottom w:val="single" w:color="CBD5E0" w:sz="4"/>
              <w:right w:val="single" w:color="CBD5E0" w:sz="4"/>
            </w:tcBorders>
            <w:shd w:fill="EFF6FF" w:val="clear"/>
            <w:vAlign w:val="center"/>
          </w:tcPr>
          <w:p>
            <w:pPr>
              <w:spacing w:after="100" w:before="100"/>
              <w:jc w:val="center"/>
            </w:pPr>
            <w:r>
              <w:rPr>
                <w:rFonts w:ascii="Calibri" w:cs="Calibri" w:eastAsia="Calibri" w:hAnsi="Calibri"/>
                <w:b/>
                <w:bCs/>
                <w:color w:val="1E40AF"/>
                <w:sz w:val="17"/>
                <w:szCs w:val="17"/>
              </w:rPr>
              <w:t xml:space="preserve">Not Currently Captured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Migration or deprecation context is not a current structured input, though the internal FAQ may reference replacement of existing functionality.</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When applicable, which existing feature this replaces, the migration action required of customers, and the notification plan are not currently captured by the skill and may already exist in a communications or migration plan.</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Customer migration communications and transition FAQs require this detail. For deprecations, the absence of a notification plan at handoff creates downstream coordination challenges.</w:t>
            </w:r>
          </w:p>
        </w:tc>
      </w:tr>
      <w:tr>
        <w:tc>
          <w:tcPr>
            <w:gridSpan w:val="5"/>
            <w:tcBorders>
              <w:top w:val="single" w:color="2E7D8C" w:sz="4"/>
              <w:left w:val="single" w:color="2E7D8C" w:sz="4"/>
              <w:bottom w:val="single" w:color="2E7D8C" w:sz="4"/>
              <w:right w:val="single" w:color="2E7D8C" w:sz="4"/>
            </w:tcBorders>
            <w:shd w:fill="2E7D8C" w:val="clear"/>
          </w:tcPr>
          <w:p>
            <w:pPr>
              <w:spacing w:after="100" w:before="100"/>
            </w:pPr>
            <w:r>
              <w:rPr>
                <w:rFonts w:ascii="Calibri" w:cs="Calibri" w:eastAsia="Calibri" w:hAnsi="Calibri"/>
                <w:b/>
                <w:bCs/>
                <w:color w:val="FFFFFF"/>
                <w:sz w:val="18"/>
                <w:szCs w:val="18"/>
              </w:rPr>
              <w:t xml:space="preserve">7. Roadmap</w:t>
            </w:r>
          </w:p>
        </w:tc>
      </w:tr>
      <w:tr>
        <w:tc>
          <w:tcPr>
            <w:tcW w:type="dxa" w:w="1700"/>
            <w:tcBorders>
              <w:top w:val="single" w:color="CBD5E0" w:sz="4"/>
              <w:left w:val="single" w:color="CBD5E0" w:sz="4"/>
              <w:bottom w:val="single" w:color="CBD5E0" w:sz="4"/>
              <w:right w:val="single" w:color="CBD5E0" w:sz="4"/>
            </w:tcBorders>
            <w:shd w:fill="F7F8FA" w:val="clear"/>
            <w:vAlign w:val="top"/>
          </w:tcPr>
          <w:p>
            <w:pPr>
              <w:spacing w:after="40" w:before="100"/>
            </w:pPr>
            <w:r>
              <w:rPr>
                <w:rFonts w:ascii="Calibri" w:cs="Calibri" w:eastAsia="Calibri" w:hAnsi="Calibri"/>
                <w:b/>
                <w:bCs/>
                <w:color w:val="1F3864"/>
                <w:sz w:val="18"/>
                <w:szCs w:val="18"/>
              </w:rPr>
              <w:t xml:space="preserve">Planned Roadmap &amp; Confidentiality</w:t>
            </w:r>
          </w:p>
          <w:p>
            <w:pPr>
              <w:spacing w:after="100" w:before="0"/>
            </w:pPr>
            <w:r>
              <w:rPr>
                <w:rFonts w:ascii="Calibri" w:cs="Calibri" w:eastAsia="Calibri" w:hAnsi="Calibri"/>
                <w:i/>
                <w:iCs/>
                <w:color w:val="276749"/>
                <w:sz w:val="16"/>
                <w:szCs w:val="16"/>
              </w:rPr>
              <w:t xml:space="preserve">Core</w:t>
            </w:r>
          </w:p>
        </w:tc>
        <w:tc>
          <w:tcPr>
            <w:tcW w:type="dxa" w:w="1268"/>
            <w:tcBorders>
              <w:top w:val="single" w:color="CBD5E0" w:sz="4"/>
              <w:left w:val="single" w:color="CBD5E0" w:sz="4"/>
              <w:bottom w:val="single" w:color="CBD5E0" w:sz="4"/>
              <w:right w:val="single" w:color="CBD5E0" w:sz="4"/>
            </w:tcBorders>
            <w:shd w:fill="FFFBEB" w:val="clear"/>
            <w:vAlign w:val="center"/>
          </w:tcPr>
          <w:p>
            <w:pPr>
              <w:spacing w:after="100" w:before="100"/>
              <w:jc w:val="center"/>
            </w:pPr>
            <w:r>
              <w:rPr>
                <w:rFonts w:ascii="Calibri" w:cs="Calibri" w:eastAsia="Calibri" w:hAnsi="Calibri"/>
                <w:b/>
                <w:bCs/>
                <w:color w:val="92400E"/>
                <w:sz w:val="17"/>
                <w:szCs w:val="17"/>
              </w:rPr>
              <w:t xml:space="preserve">Partially Covered</w:t>
            </w:r>
          </w:p>
        </w:tc>
        <w:tc>
          <w:tcPr>
            <w:tcW w:type="dxa" w:w="3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The internal FAQ "what we are explicitly not doing" addresses descoped items and near-term direction — a candid and valuable section. The worked example demonstrates this well.</w:t>
            </w:r>
          </w:p>
        </w:tc>
        <w:tc>
          <w:tcPr>
            <w:tcW w:type="dxa" w:w="36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A confidentiality classification for each roadmap item (approved for external use, internal only, or embargoed until a specific date) and any named account commitments PMM should be aware of are not currently captured by the skill and may already exist in an approved roadmap or customer commitment tracker.</w:t>
            </w:r>
          </w:p>
        </w:tc>
        <w:tc>
          <w:tcPr>
            <w:tcW w:type="dxa" w:w="4200"/>
            <w:tcBorders>
              <w:top w:val="single" w:color="CBD5E0" w:sz="4"/>
              <w:left w:val="single" w:color="CBD5E0" w:sz="4"/>
              <w:bottom w:val="single" w:color="CBD5E0" w:sz="4"/>
              <w:right w:val="single" w:color="CBD5E0" w:sz="4"/>
            </w:tcBorders>
            <w:vAlign w:val="top"/>
          </w:tcPr>
          <w:p>
            <w:pPr>
              <w:spacing w:after="100" w:before="100"/>
            </w:pPr>
            <w:r>
              <w:rPr>
                <w:rFonts w:ascii="Calibri" w:cs="Calibri" w:eastAsia="Calibri" w:hAnsi="Calibri"/>
                <w:color w:val="4A5568"/>
                <w:sz w:val="18"/>
                <w:szCs w:val="18"/>
              </w:rPr>
              <w:t xml:space="preserve">Approved roadmap messaging, renewal conversations, and QBR materials require a clear confidentiality tier. Without it, PMM and Sales may inadvertently share information that should remain internal.</w:t>
            </w:r>
          </w:p>
        </w:tc>
      </w:tr>
    </w:tbl>
    <w:p>
      <w:pPr>
        <w:pageBreakBefore/>
      </w:pPr>
    </w:p>
    <w:p>
      <w:pPr>
        <w:pStyle w:val="Heading1"/>
        <w:pBdr>
          <w:bottom w:val="single" w:color="2E7D8C" w:sz="6" w:space="4"/>
        </w:pBdr>
        <w:spacing w:after="160" w:before="360"/>
      </w:pPr>
      <w:r>
        <w:rPr>
          <w:rFonts w:ascii="Calibri" w:cs="Calibri" w:eastAsia="Calibri" w:hAnsi="Calibri"/>
          <w:b/>
          <w:bCs/>
          <w:color w:val="1F3864"/>
          <w:sz w:val="30"/>
          <w:szCs w:val="30"/>
        </w:rPr>
        <w:t xml:space="preserve">Recommendations</w:t>
      </w:r>
    </w:p>
    <w:p>
      <w:pPr>
        <w:spacing w:after="140"/>
      </w:pPr>
      <w:r>
        <w:rPr>
          <w:rFonts w:ascii="Calibri" w:cs="Calibri" w:eastAsia="Calibri" w:hAnsi="Calibri"/>
          <w:sz w:val="20"/>
          <w:szCs w:val="20"/>
        </w:rPr>
        <w:t xml:space="preserve">The following recommendations are grouped by likely impact on PMM's ability to begin GTM planning. They are framed as improvements to information availability — not as mandatory additions to the Release Notes template. The appropriate place for each piece of information should be determined based on team workflows.</w:t>
      </w:r>
    </w:p>
    <w:p>
      <w:pPr>
        <w:spacing w:after="140"/>
      </w:pPr>
      <w:r>
        <w:rPr>
          <w:rFonts w:ascii="Calibri" w:cs="Calibri" w:eastAsia="Calibri" w:hAnsi="Calibri"/>
          <w:sz w:val="20"/>
          <w:szCs w:val="20"/>
        </w:rPr>
        <w:t xml:space="preserve">Where possible, recommendations can be addressed through a reference or link to existing documentation rather than new authoring.</w:t>
      </w:r>
    </w:p>
    <w:p>
      <w:pPr>
        <w:pStyle w:val="Heading2"/>
        <w:spacing w:after="100" w:before="280"/>
      </w:pPr>
      <w:r>
        <w:rPr>
          <w:rFonts w:ascii="Calibri" w:cs="Calibri" w:eastAsia="Calibri" w:hAnsi="Calibri"/>
          <w:b/>
          <w:bCs/>
          <w:color w:val="2E7D8C"/>
          <w:sz w:val="24"/>
          <w:szCs w:val="24"/>
        </w:rPr>
        <w:t xml:space="preserve">High Priority</w:t>
      </w:r>
    </w:p>
    <w:p>
      <w:pPr>
        <w:spacing w:after="60" w:before="160"/>
        <w:ind w:left="360"/>
      </w:pPr>
      <w:r>
        <w:rPr>
          <w:rFonts w:ascii="Calibri" w:cs="Calibri" w:eastAsia="Calibri" w:hAnsi="Calibri"/>
          <w:b/>
          <w:bCs/>
          <w:color w:val="92400E"/>
          <w:sz w:val="20"/>
          <w:szCs w:val="20"/>
        </w:rPr>
        <w:t xml:space="preserve">1.  </w:t>
      </w:r>
      <w:r>
        <w:rPr>
          <w:rFonts w:ascii="Calibri" w:cs="Calibri" w:eastAsia="Calibri" w:hAnsi="Calibri"/>
          <w:b/>
          <w:bCs/>
          <w:color w:val="92400E"/>
          <w:sz w:val="20"/>
          <w:szCs w:val="20"/>
        </w:rPr>
        <w:t xml:space="preserve">Identify a source for commercial readiness information</w:t>
      </w:r>
    </w:p>
    <w:p>
      <w:pPr>
        <w:spacing w:after="120"/>
        <w:ind w:left="720"/>
      </w:pPr>
      <w:r>
        <w:rPr>
          <w:rFonts w:ascii="Calibri" w:cs="Calibri" w:eastAsia="Calibri" w:hAnsi="Calibri"/>
          <w:color w:val="4A5568"/>
          <w:sz w:val="20"/>
          <w:szCs w:val="20"/>
        </w:rPr>
        <w:t xml:space="preserve">Pricing plan inclusion, business model, and trial scope are consistently requested by PMM before GTM work begins. Whether this information lives in the Release Notes Skill, a pricing document, or another Product artifact, identifying where it can be reliably found at launch time would reduce the most common pre-launch follow-up.</w:t>
      </w:r>
    </w:p>
    <w:p>
      <w:pPr>
        <w:spacing w:after="60" w:before="160"/>
        <w:ind w:left="360"/>
      </w:pPr>
      <w:r>
        <w:rPr>
          <w:rFonts w:ascii="Calibri" w:cs="Calibri" w:eastAsia="Calibri" w:hAnsi="Calibri"/>
          <w:b/>
          <w:bCs/>
          <w:color w:val="92400E"/>
          <w:sz w:val="20"/>
          <w:szCs w:val="20"/>
        </w:rPr>
        <w:t xml:space="preserve">2.  </w:t>
      </w:r>
      <w:r>
        <w:rPr>
          <w:rFonts w:ascii="Calibri" w:cs="Calibri" w:eastAsia="Calibri" w:hAnsi="Calibri"/>
          <w:b/>
          <w:bCs/>
          <w:color w:val="92400E"/>
          <w:sz w:val="20"/>
          <w:szCs w:val="20"/>
        </w:rPr>
        <w:t xml:space="preserve">Establish a visual assets and documentation readiness signal</w:t>
      </w:r>
    </w:p>
    <w:p>
      <w:pPr>
        <w:spacing w:after="120"/>
        <w:ind w:left="720"/>
      </w:pPr>
      <w:r>
        <w:rPr>
          <w:rFonts w:ascii="Calibri" w:cs="Calibri" w:eastAsia="Calibri" w:hAnsi="Calibri"/>
          <w:color w:val="4A5568"/>
          <w:sz w:val="20"/>
          <w:szCs w:val="20"/>
        </w:rPr>
        <w:t xml:space="preserve">Screenshot availability, Loom recording status, and help article publication date are among the most frequently requested inputs at launch time. A brief status note — or a pointer to where these assets live — would address this without requiring additional writing from Product.</w:t>
      </w:r>
    </w:p>
    <w:p>
      <w:pPr>
        <w:spacing w:after="60" w:before="160"/>
        <w:ind w:left="360"/>
      </w:pPr>
      <w:r>
        <w:rPr>
          <w:rFonts w:ascii="Calibri" w:cs="Calibri" w:eastAsia="Calibri" w:hAnsi="Calibri"/>
          <w:b/>
          <w:bCs/>
          <w:color w:val="92400E"/>
          <w:sz w:val="20"/>
          <w:szCs w:val="20"/>
        </w:rPr>
        <w:t xml:space="preserve">3.  </w:t>
      </w:r>
      <w:r>
        <w:rPr>
          <w:rFonts w:ascii="Calibri" w:cs="Calibri" w:eastAsia="Calibri" w:hAnsi="Calibri"/>
          <w:b/>
          <w:bCs/>
          <w:color w:val="92400E"/>
          <w:sz w:val="20"/>
          <w:szCs w:val="20"/>
        </w:rPr>
        <w:t xml:space="preserve">Ensure dependencies and deployment model are accessible</w:t>
      </w:r>
    </w:p>
    <w:p>
      <w:pPr>
        <w:spacing w:after="120"/>
        <w:ind w:left="720"/>
      </w:pPr>
      <w:r>
        <w:rPr>
          <w:rFonts w:ascii="Calibri" w:cs="Calibri" w:eastAsia="Calibri" w:hAnsi="Calibri"/>
          <w:color w:val="4A5568"/>
          <w:sz w:val="20"/>
          <w:szCs w:val="20"/>
        </w:rPr>
        <w:t xml:space="preserve">For features requiring specific modules, integrations, or customer configuration, knowing the dependencies and deployment model at handoff helps PMM and CS avoid onboarding content gaps. A reference to existing technical documentation would be sufficient — no separate authoring required.</w:t>
      </w:r>
    </w:p>
    <w:p>
      <w:pPr>
        <w:spacing w:after="60" w:before="160"/>
        <w:ind w:left="360"/>
      </w:pPr>
      <w:r>
        <w:rPr>
          <w:rFonts w:ascii="Calibri" w:cs="Calibri" w:eastAsia="Calibri" w:hAnsi="Calibri"/>
          <w:b/>
          <w:bCs/>
          <w:color w:val="92400E"/>
          <w:sz w:val="20"/>
          <w:szCs w:val="20"/>
        </w:rPr>
        <w:t xml:space="preserve">4.  </w:t>
      </w:r>
      <w:r>
        <w:rPr>
          <w:rFonts w:ascii="Calibri" w:cs="Calibri" w:eastAsia="Calibri" w:hAnsi="Calibri"/>
          <w:b/>
          <w:bCs/>
          <w:color w:val="92400E"/>
          <w:sz w:val="20"/>
          <w:szCs w:val="20"/>
        </w:rPr>
        <w:t xml:space="preserve">Ensure Kano model classification is accessible to PMM</w:t>
      </w:r>
    </w:p>
    <w:p>
      <w:pPr>
        <w:spacing w:after="80"/>
        <w:ind w:left="720"/>
      </w:pPr>
      <w:r>
        <w:rPr>
          <w:rFonts w:ascii="Calibri" w:cs="Calibri" w:eastAsia="Calibri" w:hAnsi="Calibri"/>
          <w:color w:val="4A5568"/>
          <w:sz w:val="20"/>
          <w:szCs w:val="20"/>
        </w:rPr>
        <w:t xml:space="preserve">The Kano classification — whether a feature is a Must-have, Performance driver, or Delighter — directly determines launch priority, messaging emphasis, campaign investment, analyst positioning, and executive communications. A Must-have framing calls for a different level of urgency and communication reach than a Delighter; without this signal, PMM may over- or under-invest in launch preparation relative to the feature's strategic weight.</w:t>
      </w:r>
    </w:p>
    <w:p>
      <w:pPr>
        <w:spacing w:after="120"/>
        <w:ind w:left="720"/>
      </w:pPr>
      <w:r>
        <w:rPr>
          <w:rFonts w:ascii="Calibri" w:cs="Calibri" w:eastAsia="Calibri" w:hAnsi="Calibri"/>
          <w:color w:val="4A5568"/>
          <w:sz w:val="20"/>
          <w:szCs w:val="20"/>
        </w:rPr>
        <w:t xml:space="preserve">The Kano classification does not need to live inside the Release Notes Skill. The objective is simply to ensure this information exists somewhere in the Product workflow and is accessible to PMM before GTM work begins — whether that is a PRD, a Shift Left brief, or another Product artifact.</w:t>
      </w:r>
    </w:p>
    <w:p>
      <w:pPr>
        <w:pStyle w:val="Heading2"/>
        <w:spacing w:after="100" w:before="280"/>
      </w:pPr>
      <w:r>
        <w:rPr>
          <w:rFonts w:ascii="Calibri" w:cs="Calibri" w:eastAsia="Calibri" w:hAnsi="Calibri"/>
          <w:b/>
          <w:bCs/>
          <w:color w:val="2E7D8C"/>
          <w:sz w:val="24"/>
          <w:szCs w:val="24"/>
        </w:rPr>
        <w:t xml:space="preserve">Medium Priority</w:t>
      </w:r>
    </w:p>
    <w:p>
      <w:pPr>
        <w:spacing w:after="60" w:before="160"/>
        <w:ind w:left="360"/>
      </w:pPr>
      <w:r>
        <w:rPr>
          <w:rFonts w:ascii="Calibri" w:cs="Calibri" w:eastAsia="Calibri" w:hAnsi="Calibri"/>
          <w:b/>
          <w:bCs/>
          <w:color w:val="1E40AF"/>
          <w:sz w:val="20"/>
          <w:szCs w:val="20"/>
        </w:rPr>
        <w:t xml:space="preserve">1.  </w:t>
      </w:r>
      <w:r>
        <w:rPr>
          <w:rFonts w:ascii="Calibri" w:cs="Calibri" w:eastAsia="Calibri" w:hAnsi="Calibri"/>
          <w:b/>
          <w:bCs/>
          <w:color w:val="1E40AF"/>
          <w:sz w:val="20"/>
          <w:szCs w:val="20"/>
        </w:rPr>
        <w:t xml:space="preserve">Clarify roadmap confidentiality tiers</w:t>
      </w:r>
    </w:p>
    <w:p>
      <w:pPr>
        <w:spacing w:after="120"/>
        <w:ind w:left="720"/>
      </w:pPr>
      <w:r>
        <w:rPr>
          <w:rFonts w:ascii="Calibri" w:cs="Calibri" w:eastAsia="Calibri" w:hAnsi="Calibri"/>
          <w:color w:val="4A5568"/>
          <w:sz w:val="20"/>
          <w:szCs w:val="20"/>
        </w:rPr>
        <w:t xml:space="preserve">For each roadmap item referenced in a handoff, a simple classification — approved for external use, internal only, or embargoed until a specific date — would give PMM and Sales clear guidance without requiring a follow-up conversation. This becomes important whenever roadmap information is being shared with customers or analysts.</w:t>
      </w:r>
    </w:p>
    <w:p>
      <w:pPr>
        <w:spacing w:after="60" w:before="160"/>
        <w:ind w:left="360"/>
      </w:pPr>
      <w:r>
        <w:rPr>
          <w:rFonts w:ascii="Calibri" w:cs="Calibri" w:eastAsia="Calibri" w:hAnsi="Calibri"/>
          <w:b/>
          <w:bCs/>
          <w:color w:val="1E40AF"/>
          <w:sz w:val="20"/>
          <w:szCs w:val="20"/>
        </w:rPr>
        <w:t xml:space="preserve">2.  </w:t>
      </w:r>
      <w:r>
        <w:rPr>
          <w:rFonts w:ascii="Calibri" w:cs="Calibri" w:eastAsia="Calibri" w:hAnsi="Calibri"/>
          <w:b/>
          <w:bCs/>
          <w:color w:val="1E40AF"/>
          <w:sz w:val="20"/>
          <w:szCs w:val="20"/>
        </w:rPr>
        <w:t xml:space="preserve">Expand ICP inputs with fit signals and anti-patterns</w:t>
      </w:r>
    </w:p>
    <w:p>
      <w:pPr>
        <w:spacing w:after="120"/>
        <w:ind w:left="720"/>
      </w:pPr>
      <w:r>
        <w:rPr>
          <w:rFonts w:ascii="Calibri" w:cs="Calibri" w:eastAsia="Calibri" w:hAnsi="Calibri"/>
          <w:color w:val="4A5568"/>
          <w:sz w:val="20"/>
          <w:szCs w:val="20"/>
        </w:rPr>
        <w:t xml:space="preserve">Alongside customer type, three to five strong-fit signals and three to five anti-patterns populate ABM lists and sales qualification criteria. These are often known by Product at the time of writing and may already exist in an ICP document that can be referenced.</w:t>
      </w:r>
    </w:p>
    <w:p>
      <w:pPr>
        <w:spacing w:after="60" w:before="160"/>
        <w:ind w:left="360"/>
      </w:pPr>
      <w:r>
        <w:rPr>
          <w:rFonts w:ascii="Calibri" w:cs="Calibri" w:eastAsia="Calibri" w:hAnsi="Calibri"/>
          <w:b/>
          <w:bCs/>
          <w:color w:val="1E40AF"/>
          <w:sz w:val="20"/>
          <w:szCs w:val="20"/>
        </w:rPr>
        <w:t xml:space="preserve">3.  </w:t>
      </w:r>
      <w:r>
        <w:rPr>
          <w:rFonts w:ascii="Calibri" w:cs="Calibri" w:eastAsia="Calibri" w:hAnsi="Calibri"/>
          <w:b/>
          <w:bCs/>
          <w:color w:val="1E40AF"/>
          <w:sz w:val="20"/>
          <w:szCs w:val="20"/>
        </w:rPr>
        <w:t xml:space="preserve">Ensure 30/60/90-day success metrics are accessible to PMM</w:t>
      </w:r>
    </w:p>
    <w:p>
      <w:pPr>
        <w:spacing w:after="120"/>
        <w:ind w:left="720"/>
      </w:pPr>
      <w:r>
        <w:rPr>
          <w:rFonts w:ascii="Calibri" w:cs="Calibri" w:eastAsia="Calibri" w:hAnsi="Calibri"/>
          <w:color w:val="4A5568"/>
          <w:sz w:val="20"/>
          <w:szCs w:val="20"/>
        </w:rPr>
        <w:t xml:space="preserve">The metrics Product intends to track post-launch, with a pointer to the relevant dashboard or report, allow PMM to align launch reporting from day one. This can be a link to an existing tracker rather than new content.</w:t>
      </w:r>
    </w:p>
    <w:p>
      <w:pPr>
        <w:spacing w:after="60" w:before="160"/>
        <w:ind w:left="360"/>
      </w:pPr>
      <w:r>
        <w:rPr>
          <w:rFonts w:ascii="Calibri" w:cs="Calibri" w:eastAsia="Calibri" w:hAnsi="Calibri"/>
          <w:b/>
          <w:bCs/>
          <w:color w:val="1E40AF"/>
          <w:sz w:val="20"/>
          <w:szCs w:val="20"/>
        </w:rPr>
        <w:t xml:space="preserve">4.  </w:t>
      </w:r>
      <w:r>
        <w:rPr>
          <w:rFonts w:ascii="Calibri" w:cs="Calibri" w:eastAsia="Calibri" w:hAnsi="Calibri"/>
          <w:b/>
          <w:bCs/>
          <w:color w:val="1E40AF"/>
          <w:sz w:val="20"/>
          <w:szCs w:val="20"/>
        </w:rPr>
        <w:t xml:space="preserve">Distinguish validated claims from product assumptions</w:t>
      </w:r>
    </w:p>
    <w:p>
      <w:pPr>
        <w:spacing w:after="120"/>
        <w:ind w:left="720"/>
      </w:pPr>
      <w:r>
        <w:rPr>
          <w:rFonts w:ascii="Calibri" w:cs="Calibri" w:eastAsia="Calibri" w:hAnsi="Calibri"/>
          <w:color w:val="4A5568"/>
          <w:sz w:val="20"/>
          <w:szCs w:val="20"/>
        </w:rPr>
        <w:t xml:space="preserve">A brief annotation on key claims — indicating whether each is based on validated research or a product assumption — helps PMM assess messaging confidence without a separate research brief. This is particularly valuable for Tier 1 launches.</w:t>
      </w:r>
    </w:p>
    <w:p>
      <w:pPr>
        <w:pStyle w:val="Heading2"/>
        <w:spacing w:after="100" w:before="280"/>
      </w:pPr>
      <w:r>
        <w:rPr>
          <w:rFonts w:ascii="Calibri" w:cs="Calibri" w:eastAsia="Calibri" w:hAnsi="Calibri"/>
          <w:b/>
          <w:bCs/>
          <w:color w:val="2E7D8C"/>
          <w:sz w:val="24"/>
          <w:szCs w:val="24"/>
        </w:rPr>
        <w:t xml:space="preserve">Nice to Have</w:t>
      </w:r>
    </w:p>
    <w:p>
      <w:pPr>
        <w:spacing w:after="60" w:before="160"/>
        <w:ind w:left="360"/>
      </w:pPr>
      <w:r>
        <w:rPr>
          <w:rFonts w:ascii="Calibri" w:cs="Calibri" w:eastAsia="Calibri" w:hAnsi="Calibri"/>
          <w:b/>
          <w:bCs/>
          <w:color w:val="4A5568"/>
          <w:sz w:val="20"/>
          <w:szCs w:val="20"/>
        </w:rPr>
        <w:t xml:space="preserve">1.  </w:t>
      </w:r>
      <w:r>
        <w:rPr>
          <w:rFonts w:ascii="Calibri" w:cs="Calibri" w:eastAsia="Calibri" w:hAnsi="Calibri"/>
          <w:b/>
          <w:bCs/>
          <w:color w:val="4A5568"/>
          <w:sz w:val="20"/>
          <w:szCs w:val="20"/>
        </w:rPr>
        <w:t xml:space="preserve">Reference end-to-end workflow documentation</w:t>
      </w:r>
    </w:p>
    <w:p>
      <w:pPr>
        <w:spacing w:after="120"/>
        <w:ind w:left="720"/>
      </w:pPr>
      <w:r>
        <w:rPr>
          <w:rFonts w:ascii="Calibri" w:cs="Calibri" w:eastAsia="Calibri" w:hAnsi="Calibri"/>
          <w:color w:val="4A5568"/>
          <w:sz w:val="20"/>
          <w:szCs w:val="20"/>
        </w:rPr>
        <w:t xml:space="preserve">A link to existing workflow documentation (Confluence, Loom, or diagram) would reduce the effort of tracking it down separately for demo scripts, help content, and training materials. No additional writing is required if documentation already exists.</w:t>
      </w:r>
    </w:p>
    <w:p>
      <w:pPr>
        <w:spacing w:after="60" w:before="160"/>
        <w:ind w:left="360"/>
      </w:pPr>
      <w:r>
        <w:rPr>
          <w:rFonts w:ascii="Calibri" w:cs="Calibri" w:eastAsia="Calibri" w:hAnsi="Calibri"/>
          <w:b/>
          <w:bCs/>
          <w:color w:val="4A5568"/>
          <w:sz w:val="20"/>
          <w:szCs w:val="20"/>
        </w:rPr>
        <w:t xml:space="preserve">2.  </w:t>
      </w:r>
      <w:r>
        <w:rPr>
          <w:rFonts w:ascii="Calibri" w:cs="Calibri" w:eastAsia="Calibri" w:hAnsi="Calibri"/>
          <w:b/>
          <w:bCs/>
          <w:color w:val="4A5568"/>
          <w:sz w:val="20"/>
          <w:szCs w:val="20"/>
        </w:rPr>
        <w:t xml:space="preserve">Note release status and current usage for higher-tier launches</w:t>
      </w:r>
    </w:p>
    <w:p>
      <w:pPr>
        <w:spacing w:after="120"/>
        <w:ind w:left="720"/>
      </w:pPr>
      <w:r>
        <w:rPr>
          <w:rFonts w:ascii="Calibri" w:cs="Calibri" w:eastAsia="Calibri" w:hAnsi="Calibri"/>
          <w:color w:val="4A5568"/>
          <w:sz w:val="20"/>
          <w:szCs w:val="20"/>
        </w:rPr>
        <w:t xml:space="preserve">GA, Beta, or pilot status along with approximate customer count helps segment launch communications. This can be a brief factual note and is typically already known at the time of writing.</w:t>
      </w:r>
    </w:p>
    <w:p>
      <w:pPr>
        <w:spacing w:after="60" w:before="160"/>
        <w:ind w:left="360"/>
      </w:pPr>
      <w:r>
        <w:rPr>
          <w:rFonts w:ascii="Calibri" w:cs="Calibri" w:eastAsia="Calibri" w:hAnsi="Calibri"/>
          <w:b/>
          <w:bCs/>
          <w:color w:val="4A5568"/>
          <w:sz w:val="20"/>
          <w:szCs w:val="20"/>
        </w:rPr>
        <w:t xml:space="preserve">3.  </w:t>
      </w:r>
      <w:r>
        <w:rPr>
          <w:rFonts w:ascii="Calibri" w:cs="Calibri" w:eastAsia="Calibri" w:hAnsi="Calibri"/>
          <w:b/>
          <w:bCs/>
          <w:color w:val="4A5568"/>
          <w:sz w:val="20"/>
          <w:szCs w:val="20"/>
        </w:rPr>
        <w:t xml:space="preserve">Reference escalation path for Tier 1 launches</w:t>
      </w:r>
    </w:p>
    <w:p>
      <w:pPr>
        <w:spacing w:after="120"/>
        <w:ind w:left="720"/>
      </w:pPr>
      <w:r>
        <w:rPr>
          <w:rFonts w:ascii="Calibri" w:cs="Calibri" w:eastAsia="Calibri" w:hAnsi="Calibri"/>
          <w:color w:val="4A5568"/>
          <w:sz w:val="20"/>
          <w:szCs w:val="20"/>
        </w:rPr>
        <w:t xml:space="preserve">For high-impact launches, a pointer to the on-call contact and customer issue reporting path for the first 30 days supports CS playbook preparation. A reference to an existing escalation runbook would be sufficient.</w:t>
      </w:r>
    </w:p>
    <w:p>
      <w:pPr>
        <w:spacing w:after="60" w:before="160"/>
        <w:ind w:left="360"/>
      </w:pPr>
      <w:r>
        <w:rPr>
          <w:rFonts w:ascii="Calibri" w:cs="Calibri" w:eastAsia="Calibri" w:hAnsi="Calibri"/>
          <w:b/>
          <w:bCs/>
          <w:color w:val="4A5568"/>
          <w:sz w:val="20"/>
          <w:szCs w:val="20"/>
        </w:rPr>
        <w:t xml:space="preserve">4.  </w:t>
      </w:r>
      <w:r>
        <w:rPr>
          <w:rFonts w:ascii="Calibri" w:cs="Calibri" w:eastAsia="Calibri" w:hAnsi="Calibri"/>
          <w:b/>
          <w:bCs/>
          <w:color w:val="4A5568"/>
          <w:sz w:val="20"/>
          <w:szCs w:val="20"/>
        </w:rPr>
        <w:t xml:space="preserve">Note migration or deprecation context when applicable</w:t>
      </w:r>
    </w:p>
    <w:p>
      <w:pPr>
        <w:spacing w:after="120"/>
        <w:ind w:left="720"/>
      </w:pPr>
      <w:r>
        <w:rPr>
          <w:rFonts w:ascii="Calibri" w:cs="Calibri" w:eastAsia="Calibri" w:hAnsi="Calibri"/>
          <w:color w:val="4A5568"/>
          <w:sz w:val="20"/>
          <w:szCs w:val="20"/>
        </w:rPr>
        <w:t xml:space="preserve">When a feature replaces an existing workflow, a brief note on the migration action and notification plan helps PMM prepare transition communications in advance. This would only apply when relevant, adding no burden to standard launches.</w:t>
      </w:r>
    </w:p>
    <w:p>
      <w:pPr>
        <w:spacing w:before="400"/>
      </w:pPr>
    </w:p>
    <w:p>
      <w:pPr>
        <w:spacing w:after="80" w:before="160"/>
      </w:pPr>
      <w:r>
        <w:rPr>
          <w:rFonts w:ascii="Calibri" w:cs="Calibri" w:eastAsia="Calibri" w:hAnsi="Calibri"/>
          <w:b/>
          <w:bCs/>
          <w:color w:val="1F3864"/>
          <w:sz w:val="22"/>
          <w:szCs w:val="22"/>
        </w:rPr>
        <w:t xml:space="preserve">A Note on Authoring Effort</w:t>
      </w:r>
    </w:p>
    <w:p>
      <w:pPr>
        <w:spacing w:after="140"/>
      </w:pPr>
      <w:r>
        <w:rPr>
          <w:rFonts w:ascii="Calibri" w:cs="Calibri" w:eastAsia="Calibri" w:hAnsi="Calibri"/>
          <w:sz w:val="20"/>
          <w:szCs w:val="20"/>
        </w:rPr>
        <w:t xml:space="preserve">Many of the information requirements identified in this review do not require Product to write new content. In a large number of cases, a reference or link to an existing document — a PRD, a Shift Left brief, a Confluence page, a Loom recording, or a dashboard link — would be sufficient. The intention is to improve downstream collaboration and reduce pre-launch back-and-forth between Product and Marketing, not to increase the authoring burden on Product teams.</w:t>
      </w:r>
    </w:p>
    <w:p>
      <w:pPr>
        <w:spacing w:before="120"/>
      </w:pPr>
    </w:p>
    <w:p>
      <w:pPr>
        <w:spacing w:after="80" w:before="160"/>
      </w:pPr>
      <w:r>
        <w:rPr>
          <w:rFonts w:ascii="Calibri" w:cs="Calibri" w:eastAsia="Calibri" w:hAnsi="Calibri"/>
          <w:b/>
          <w:bCs/>
          <w:color w:val="1F3864"/>
          <w:sz w:val="22"/>
          <w:szCs w:val="22"/>
        </w:rPr>
        <w:t xml:space="preserve">Closing Note</w:t>
      </w:r>
    </w:p>
    <w:p>
      <w:pPr>
        <w:spacing w:after="140"/>
      </w:pPr>
      <w:r>
        <w:rPr>
          <w:rFonts w:ascii="Calibri" w:cs="Calibri" w:eastAsia="Calibri" w:hAnsi="Calibri"/>
          <w:sz w:val="20"/>
          <w:szCs w:val="20"/>
        </w:rPr>
        <w:t xml:space="preserve">The purpose of this comparison is to identify where the current Release Notes Skill already aligns well with Product Marketing needs and where additional information may further improve cross-functional collaboration. The recommendations are intended as discussion points and do not prescribe where or how the information should ultimately be captured. That decision can be made based on team workflows and authoring experience.</w:t>
      </w:r>
    </w:p>
    <w:p>
      <w:pPr>
        <w:spacing w:before="120"/>
      </w:pPr>
    </w:p>
    <w:p>
      <w:pPr>
        <w:spacing w:after="0"/>
      </w:pPr>
      <w:r>
        <w:rPr>
          <w:rFonts w:ascii="Calibri" w:cs="Calibri" w:eastAsia="Calibri" w:hAnsi="Calibri"/>
          <w:sz w:val="20"/>
          <w:szCs w:val="20"/>
        </w:rPr>
        <w:t xml:space="preserve">Framework reference: </w:t>
      </w:r>
      <w:r>
        <w:rPr>
          <w:rFonts w:ascii="Calibri" w:cs="Calibri" w:eastAsia="Calibri" w:hAnsi="Calibri"/>
          <w:b/>
          <w:bCs/>
          <w:sz w:val="20"/>
          <w:szCs w:val="20"/>
        </w:rPr>
        <w:t xml:space="preserve">Product Information Requirements for Product Marketing, v1.4</w:t>
      </w:r>
      <w:r>
        <w:rPr>
          <w:rFonts w:ascii="Calibri" w:cs="Calibri" w:eastAsia="Calibri" w:hAnsi="Calibri"/>
          <w:sz w:val="20"/>
          <w:szCs w:val="20"/>
        </w:rPr>
        <w:t xml:space="preserve">  ·  Skill reference: </w:t>
      </w:r>
      <w:r>
        <w:rPr>
          <w:rFonts w:ascii="Calibri" w:cs="Calibri" w:eastAsia="Calibri" w:hAnsi="Calibri"/>
          <w:b/>
          <w:bCs/>
          <w:sz w:val="20"/>
          <w:szCs w:val="20"/>
        </w:rPr>
        <w:t xml:space="preserve">Release Notes PR/FAQ Writer (SKILL.md)</w:t>
      </w:r>
    </w:p>
    <w:sectPr>
      <w:pgSz w:w="12240" w:h="15840" w:orient="landscape"/>
      <w:pgMar w:top="936" w:right="936" w:bottom="936"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Skill — PMM Alignment Review</dc:title>
  <dc:creator>Saras Analytics</dc:creator>
  <dc:description>Comparison of the Release Notes PR/FAQ Skill against PMM Information Requirements v1.4</dc:description>
  <cp:lastModifiedBy>Un-named</cp:lastModifiedBy>
  <cp:revision>1</cp:revision>
  <dcterms:created xsi:type="dcterms:W3CDTF">2026-07-30T04:15:44.142Z</dcterms:created>
  <dcterms:modified xsi:type="dcterms:W3CDTF">2026-07-30T04:15:44.144Z</dcterms:modified>
</cp:coreProperties>
</file>

<file path=docProps/custom.xml><?xml version="1.0" encoding="utf-8"?>
<Properties xmlns="http://schemas.openxmlformats.org/officeDocument/2006/custom-properties" xmlns:vt="http://schemas.openxmlformats.org/officeDocument/2006/docPropsVTypes"/>
</file>