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04A"/>
          <w:sz w:val="56"/>
        </w:rPr>
        <w:t>CivicFix</w:t>
      </w:r>
    </w:p>
    <w:p>
      <w:pPr>
        <w:jc w:val="center"/>
      </w:pPr>
      <w:r>
        <w:rPr>
          <w:b/>
          <w:color w:val="147D83"/>
          <w:sz w:val="30"/>
        </w:rPr>
        <w:t>Smart Civic Issue Reporting and Management System</w:t>
      </w:r>
    </w:p>
    <w:p>
      <w:pPr>
        <w:jc w:val="center"/>
      </w:pPr>
      <w:r>
        <w:rPr>
          <w:i/>
        </w:rPr>
        <w:t>Concept Note • SDG 11: Sustainable Cities and Communities</w:t>
        <w:br/>
        <w:t>Phase 6 — Final integration audit and submission handoff</w:t>
      </w:r>
    </w:p>
    <w:p>
      <w:pPr>
        <w:pStyle w:val="Heading1"/>
      </w:pPr>
      <w:r>
        <w:t>1. Project overview</w:t>
      </w:r>
    </w:p>
    <w:p>
      <w:r>
        <w:t>CivicFix is a local educational prototype for structured civic-issue reporting and administrative review. A report can be submitted with a category, location, description and impact selection; reports are stored in SQLite, displayed in a dashboard, and reviewed through a protected administrator workflow. The prototype includes deterministic priority guidance, non-blocking duplicate-candidate suggestions and aggregate analytics. It is not integrated with a municipality or official reporting service.</w:t>
      </w:r>
    </w:p>
    <w:p>
      <w:pPr>
        <w:pStyle w:val="Heading1"/>
      </w:pPr>
      <w:r>
        <w:t>2. Problem statement</w:t>
      </w:r>
    </w:p>
    <w:p>
      <w:r>
        <w:t>In a hypothetical community workflow, reports may arrive through inconsistent channels, making it difficult to collect useful details, communicate status and triage work. A simple structured intake and review interface could help demonstrate a more consistent process. The need, scale and effectiveness of this approach remain hypotheses until evaluated with intended users.</w:t>
      </w:r>
    </w:p>
    <w:p>
      <w:pPr>
        <w:pStyle w:val="Heading1"/>
      </w:pPr>
      <w:r>
        <w:t>3. Objectives</w:t>
      </w:r>
    </w:p>
    <w:p>
      <w:pPr>
        <w:pStyle w:val="ListBullet"/>
      </w:pPr>
      <w:r>
        <w:t>Demonstrate structured report intake with server-side validation and persistent local storage.</w:t>
      </w:r>
    </w:p>
    <w:p>
      <w:pPr>
        <w:pStyle w:val="ListBullet"/>
      </w:pPr>
      <w:r>
        <w:t>Provide searchable, filterable report views and an administrator-only status workflow.</w:t>
      </w:r>
    </w:p>
    <w:p>
      <w:pPr>
        <w:pStyle w:val="ListBullet"/>
      </w:pPr>
      <w:r>
        <w:t>Make priority reasoning visible and treat duplicate matches as suggestions for human review.</w:t>
      </w:r>
    </w:p>
    <w:p>
      <w:pPr>
        <w:pStyle w:val="ListBullet"/>
      </w:pPr>
      <w:r>
        <w:t>Summarize stored records through aggregate-only analytics.</w:t>
      </w:r>
    </w:p>
    <w:p>
      <w:pPr>
        <w:pStyle w:val="ListBullet"/>
      </w:pPr>
      <w:r>
        <w:t>Demonstrate basic security, data-integrity, responsive-layout and accessibility practices.</w:t>
      </w:r>
    </w:p>
    <w:p>
      <w:pPr>
        <w:pStyle w:val="Heading1"/>
      </w:pPr>
      <w:r>
        <w:t>4. SDG 11 alignment</w:t>
      </w:r>
    </w:p>
    <w:p>
      <w:r>
        <w:t>The project is aligned conceptually with SDG 11, Sustainable Cities and Communities, by exploring a digital workflow that could support community issue visibility and response coordination. The alignment is educational and aspirational: no official partnership, community adoption, improved service delivery or measurable SDG outcome is claimed.</w:t>
      </w:r>
    </w:p>
    <w:p>
      <w:pPr>
        <w:pStyle w:val="Heading1"/>
      </w:pPr>
      <w:r>
        <w:t>5. Target users and stakeholders</w:t>
      </w:r>
    </w:p>
    <w:p>
      <w:pPr>
        <w:pStyle w:val="ListBullet"/>
      </w:pPr>
      <w:r>
        <w:t>Potential residents/community members who would submit issues in a future, approved pilot.</w:t>
      </w:r>
    </w:p>
    <w:p>
      <w:pPr>
        <w:pStyle w:val="ListBullet"/>
      </w:pPr>
      <w:r>
        <w:t>Reviewers or municipal/community operations staff who would triage reports, if a real owner were established.</w:t>
      </w:r>
    </w:p>
    <w:p>
      <w:pPr>
        <w:pStyle w:val="ListBullet"/>
      </w:pPr>
      <w:r>
        <w:t>Educators, students and evaluators reviewing the software prototype.</w:t>
      </w:r>
    </w:p>
    <w:p>
      <w:pPr>
        <w:pStyle w:val="ListBullet"/>
      </w:pPr>
      <w:r>
        <w:t>Future privacy, security, accessibility and service-operations stakeholders.</w:t>
      </w:r>
    </w:p>
    <w:p>
      <w:pPr>
        <w:pStyle w:val="Heading1"/>
      </w:pPr>
      <w:r>
        <w:t>6. Proposed solution and key features</w:t>
      </w:r>
    </w:p>
    <w:p>
      <w:pPr>
        <w:pStyle w:val="ListBullet"/>
      </w:pPr>
      <w:r>
        <w:t>Responsive dashboard with report form, search and category/status filters.</w:t>
      </w:r>
    </w:p>
    <w:p>
      <w:pPr>
        <w:pStyle w:val="ListBullet"/>
      </w:pPr>
      <w:r>
        <w:t>SQLite-backed report persistence and fictional demo records seeded only when the database is empty.</w:t>
      </w:r>
    </w:p>
    <w:p>
      <w:pPr>
        <w:pStyle w:val="ListBullet"/>
      </w:pPr>
      <w:r>
        <w:t>Server-side validation, safe API error responses and API-backed report rendering.</w:t>
      </w:r>
    </w:p>
    <w:p>
      <w:pPr>
        <w:pStyle w:val="ListBullet"/>
      </w:pPr>
      <w:r>
        <w:t>Environment-configured administrator login, signed expiring session cookie, protected report listing and controlled status updates.</w:t>
      </w:r>
    </w:p>
    <w:p>
      <w:pPr>
        <w:pStyle w:val="ListBullet"/>
      </w:pPr>
      <w:r>
        <w:t>Impact-based priority and human-readable priority explanation.</w:t>
      </w:r>
    </w:p>
    <w:p>
      <w:pPr>
        <w:pStyle w:val="ListBullet"/>
      </w:pPr>
      <w:r>
        <w:t>Duplicate candidates returned as review suggestions only; no automatic rejection, merge or deletion.</w:t>
      </w:r>
    </w:p>
    <w:p>
      <w:pPr>
        <w:pStyle w:val="ListBullet"/>
      </w:pPr>
      <w:r>
        <w:t>Aggregate analytics for total records and status/category/priority distributions, with loading, empty and error states.</w:t>
      </w:r>
    </w:p>
    <w:p>
      <w:pPr>
        <w:pStyle w:val="Heading1"/>
      </w:pPr>
      <w:r>
        <w:t>7. System architecture and technology stack</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t>Layer</w:t>
            </w:r>
          </w:p>
        </w:tc>
        <w:tc>
          <w:tcPr>
            <w:tcW w:type="dxa" w:w="4968"/>
            <w:vAlign w:val="center"/>
          </w:tcPr>
          <w:p>
            <w:r>
              <w:t>Implementation</w:t>
            </w:r>
          </w:p>
        </w:tc>
      </w:tr>
      <w:tr>
        <w:tc>
          <w:tcPr>
            <w:tcW w:type="dxa" w:w="4968"/>
            <w:vAlign w:val="center"/>
          </w:tcPr>
          <w:p>
            <w:r>
              <w:t>Frontend</w:t>
            </w:r>
          </w:p>
        </w:tc>
        <w:tc>
          <w:tcPr>
            <w:tcW w:type="dxa" w:w="4968"/>
            <w:vAlign w:val="center"/>
          </w:tcPr>
          <w:p>
            <w:r>
              <w:t>HTML5, CSS3, vanilla JavaScript; safe DOM text rendering and responsive layout.</w:t>
            </w:r>
          </w:p>
        </w:tc>
      </w:tr>
      <w:tr>
        <w:tc>
          <w:tcPr>
            <w:tcW w:type="dxa" w:w="4968"/>
            <w:vAlign w:val="center"/>
          </w:tcPr>
          <w:p>
            <w:r>
              <w:t>HTTP server</w:t>
            </w:r>
          </w:p>
        </w:tc>
        <w:tc>
          <w:tcPr>
            <w:tcW w:type="dxa" w:w="4968"/>
            <w:vAlign w:val="center"/>
          </w:tcPr>
          <w:p>
            <w:r>
              <w:t>Node.js and Express; JSON API, static file serving, Helmet headers and body-size limits.</w:t>
            </w:r>
          </w:p>
        </w:tc>
      </w:tr>
      <w:tr>
        <w:tc>
          <w:tcPr>
            <w:tcW w:type="dxa" w:w="4968"/>
            <w:vAlign w:val="center"/>
          </w:tcPr>
          <w:p>
            <w:r>
              <w:t>Persistence</w:t>
            </w:r>
          </w:p>
        </w:tc>
        <w:tc>
          <w:tcPr>
            <w:tcW w:type="dxa" w:w="4968"/>
            <w:vAlign w:val="center"/>
          </w:tcPr>
          <w:p>
            <w:r>
              <w:t>SQLite via Node built-in `node:sqlite`; schema initialization, indexes, migrations and parameterized SQL.</w:t>
            </w:r>
          </w:p>
        </w:tc>
      </w:tr>
      <w:tr>
        <w:tc>
          <w:tcPr>
            <w:tcW w:type="dxa" w:w="4968"/>
            <w:vAlign w:val="center"/>
          </w:tcPr>
          <w:p>
            <w:r>
              <w:t>Security</w:t>
            </w:r>
          </w:p>
        </w:tc>
        <w:tc>
          <w:tcPr>
            <w:tcW w:type="dxa" w:w="4968"/>
            <w:vAlign w:val="center"/>
          </w:tcPr>
          <w:p>
            <w:r>
              <w:t>Environment-supplied admin password and session secret; HMAC-signed expiring token; HttpOnly/SameSite cookie; same-origin checks for state-changing admin requests.</w:t>
            </w:r>
          </w:p>
        </w:tc>
      </w:tr>
      <w:tr>
        <w:tc>
          <w:tcPr>
            <w:tcW w:type="dxa" w:w="4968"/>
            <w:vAlign w:val="center"/>
          </w:tcPr>
          <w:p>
            <w:r>
              <w:t>Testing</w:t>
            </w:r>
          </w:p>
        </w:tc>
        <w:tc>
          <w:tcPr>
            <w:tcW w:type="dxa" w:w="4968"/>
            <w:vAlign w:val="center"/>
          </w:tcPr>
          <w:p>
            <w:r>
              <w:t>Node built-in test runner, database/logic tests and HTTP integration tests requiring Express and Helmet.</w:t>
            </w:r>
          </w:p>
        </w:tc>
      </w:tr>
    </w:tbl>
    <w:p/>
    <w:p>
      <w:pPr>
        <w:pStyle w:val="Heading1"/>
      </w:pPr>
      <w:r>
        <w:t>8. Data model and principal API behavior</w:t>
      </w:r>
    </w:p>
    <w:p>
      <w:r>
        <w:t>The database stores report identifiers and references, title, category, description, location, impact, computed priority and explanation, status, demo flag, and creation/update timestamps. Schema initialization and migrations preserve existing IDs, references, statuses and stored priority values; non-empty databases are not reseeded. Status writes use a conditional update to protect against stale concurrent changes.</w:t>
      </w:r>
    </w:p>
    <w:p>
      <w:pPr>
        <w:pStyle w:val="ListBullet"/>
      </w:pPr>
      <w:r>
        <w:t>GET /api/health — service metadata (not a full readiness or dependency probe).</w:t>
      </w:r>
    </w:p>
    <w:p>
      <w:pPr>
        <w:pStyle w:val="ListBullet"/>
      </w:pPr>
      <w:r>
        <w:t>GET /api/reports — report rows and configured priority/impact choices.</w:t>
      </w:r>
    </w:p>
    <w:p>
      <w:pPr>
        <w:pStyle w:val="ListBullet"/>
      </w:pPr>
      <w:r>
        <w:t>POST /api/reports — validates required fields, stores a report, computes priority and returns duplicate suggestions.</w:t>
      </w:r>
    </w:p>
    <w:p>
      <w:pPr>
        <w:pStyle w:val="ListBullet"/>
      </w:pPr>
      <w:r>
        <w:t>GET /api/analytics — aggregate counts only; no report descriptions, references or locations.</w:t>
      </w:r>
    </w:p>
    <w:p>
      <w:pPr>
        <w:pStyle w:val="ListBullet"/>
      </w:pPr>
      <w:r>
        <w:t>GET/POST/DELETE /api/admin/session — configuration/session state, sign-in and sign-out.</w:t>
      </w:r>
    </w:p>
    <w:p>
      <w:pPr>
        <w:pStyle w:val="ListBullet"/>
      </w:pPr>
      <w:r>
        <w:t>GET /api/admin/reports and PATCH /api/admin/reports/:id/status — protected administrative review and status changes.</w:t>
      </w:r>
    </w:p>
    <w:p>
      <w:pPr>
        <w:pStyle w:val="Heading1"/>
      </w:pPr>
      <w:r>
        <w:t>9. Priority and duplicate-suggestion logic</w:t>
      </w:r>
    </w:p>
    <w:p>
      <w:r>
        <w:t>The reporter-selected impact is validated and the server computes the priority: minor → Low; localized → Medium (also the default when omitted); major_access → High; immediate_safety → Critical with a human-review note. The choice is an unverified reporter assertion, not a safety assessment. Existing priority values are preserved during migration and are not silently recalculated.</w:t>
      </w:r>
    </w:p>
    <w:p>
      <w:r>
        <w:t>Duplicate detection normalizes text and compares reports within the same category. It requires exact/high-overlap location similarity (token Jaccard at least 0.8), title/description token Jaccard at least 0.35 and at least two distinct shared terms. At most five candidates are returned with rationale. The algorithm is heuristic, has no measured accuracy claim and scales linearly with the report set; suggestions never block a submission.</w:t>
      </w:r>
    </w:p>
    <w:p>
      <w:pPr>
        <w:pStyle w:val="Heading1"/>
      </w:pPr>
      <w:r>
        <w:t>10. Analytics approach</w:t>
      </w:r>
    </w:p>
    <w:p>
      <w:r>
        <w:t>The server aggregates the current SQLite dataset using COUNT and GROUP BY queries. Known labels are represented even when their count is zero. The frontend validates the response shape, renders values using safe text APIs, distinguishes loading, empty and error states, and refreshes after submission or status changes. Seed records are fictional and included in counts when present. Dashboard overview cards and category percentages remain illustrative and are explicitly not database-derived.</w:t>
      </w:r>
    </w:p>
    <w:p>
      <w:pPr>
        <w:pStyle w:val="Heading1"/>
      </w:pPr>
      <w:r>
        <w:t>11. Implementation and testing approach</w:t>
      </w:r>
    </w:p>
    <w:p>
      <w:r>
        <w:t>The project was implemented in phases while preserving the maintained source tree. Phase 6 reviewed source-level contracts, validation, persistence/migrations, priority, duplicate suggestions, authentication, status transitions, analytics, accessibility states, configuration and documentation. The actual available checks were rerun in the current environment.</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t>Check</w:t>
            </w:r>
          </w:p>
        </w:tc>
        <w:tc>
          <w:tcPr>
            <w:tcW w:type="dxa" w:w="3312"/>
            <w:vAlign w:val="center"/>
          </w:tcPr>
          <w:p>
            <w:r>
              <w:t>Observed result</w:t>
            </w:r>
          </w:p>
        </w:tc>
        <w:tc>
          <w:tcPr>
            <w:tcW w:type="dxa" w:w="3312"/>
            <w:vAlign w:val="center"/>
          </w:tcPr>
          <w:p>
            <w:r>
              <w:t>Interpretation</w:t>
            </w:r>
          </w:p>
        </w:tc>
      </w:tr>
      <w:tr>
        <w:tc>
          <w:tcPr>
            <w:tcW w:type="dxa" w:w="3312"/>
            <w:vAlign w:val="center"/>
          </w:tcPr>
          <w:p>
            <w:r>
              <w:t>npm run check</w:t>
            </w:r>
          </w:p>
        </w:tc>
        <w:tc>
          <w:tcPr>
            <w:tcW w:type="dxa" w:w="3312"/>
            <w:vAlign w:val="center"/>
          </w:tcPr>
          <w:p>
            <w:r>
              <w:t>Passed; exit code 0</w:t>
            </w:r>
          </w:p>
        </w:tc>
        <w:tc>
          <w:tcPr>
            <w:tcW w:type="dxa" w:w="3312"/>
            <w:vAlign w:val="center"/>
          </w:tcPr>
          <w:p>
            <w:r>
              <w:t>JavaScript syntax checks passed.</w:t>
            </w:r>
          </w:p>
        </w:tc>
      </w:tr>
      <w:tr>
        <w:tc>
          <w:tcPr>
            <w:tcW w:type="dxa" w:w="3312"/>
            <w:vAlign w:val="center"/>
          </w:tcPr>
          <w:p>
            <w:r>
              <w:t>npm test</w:t>
            </w:r>
          </w:p>
        </w:tc>
        <w:tc>
          <w:tcPr>
            <w:tcW w:type="dxa" w:w="3312"/>
            <w:vAlign w:val="center"/>
          </w:tcPr>
          <w:p>
            <w:r>
              <w:t>48 total; 32 passed; 0 failed; 16 skipped</w:t>
            </w:r>
          </w:p>
        </w:tc>
        <w:tc>
          <w:tcPr>
            <w:tcW w:type="dxa" w:w="3312"/>
            <w:vAlign w:val="center"/>
          </w:tcPr>
          <w:p>
            <w:r>
              <w:t>Skipped tests are not passed. All skips are HTTP integration tests.</w:t>
            </w:r>
          </w:p>
        </w:tc>
      </w:tr>
      <w:tr>
        <w:tc>
          <w:tcPr>
            <w:tcW w:type="dxa" w:w="3312"/>
            <w:vAlign w:val="center"/>
          </w:tcPr>
          <w:p>
            <w:r>
              <w:t>npm ping</w:t>
            </w:r>
          </w:p>
        </w:tc>
        <w:tc>
          <w:tcPr>
            <w:tcW w:type="dxa" w:w="3312"/>
            <w:vAlign w:val="center"/>
          </w:tcPr>
          <w:p>
            <w:r>
              <w:t>Failed: EAI_AGAIN</w:t>
            </w:r>
          </w:p>
        </w:tc>
        <w:tc>
          <w:tcPr>
            <w:tcW w:type="dxa" w:w="3312"/>
            <w:vAlign w:val="center"/>
          </w:tcPr>
          <w:p>
            <w:r>
              <w:t>DNS/network resolution of registry.npmjs.org failed.</w:t>
            </w:r>
          </w:p>
        </w:tc>
      </w:tr>
      <w:tr>
        <w:tc>
          <w:tcPr>
            <w:tcW w:type="dxa" w:w="3312"/>
            <w:vAlign w:val="center"/>
          </w:tcPr>
          <w:p>
            <w:r>
              <w:t>Live server/browser</w:t>
            </w:r>
          </w:p>
        </w:tc>
        <w:tc>
          <w:tcPr>
            <w:tcW w:type="dxa" w:w="3312"/>
            <w:vAlign w:val="center"/>
          </w:tcPr>
          <w:p>
            <w:r>
              <w:t>Not verified</w:t>
            </w:r>
          </w:p>
        </w:tc>
        <w:tc>
          <w:tcPr>
            <w:tcW w:type="dxa" w:w="3312"/>
            <w:vAlign w:val="center"/>
          </w:tcPr>
          <w:p>
            <w:r>
              <w:t>Express/Helmet unavailable; do not infer runtime behavior.</w:t>
            </w:r>
          </w:p>
        </w:tc>
      </w:tr>
    </w:tbl>
    <w:p/>
    <w:p>
      <w:pPr>
        <w:pStyle w:val="Heading1"/>
      </w:pPr>
      <w:r>
        <w:t>12. Evaluation plan</w:t>
      </w:r>
    </w:p>
    <w:p>
      <w:pPr>
        <w:pStyle w:val="ListBullet"/>
      </w:pPr>
      <w:r>
        <w:t>After dependencies can be installed, run all tests and verify that no HTTP integration tests are skipped.</w:t>
      </w:r>
    </w:p>
    <w:p>
      <w:pPr>
        <w:pStyle w:val="ListBullet"/>
      </w:pPr>
      <w:r>
        <w:t>Exercise report submission validation, SQLite persistence across restarts, filters and empty/error states.</w:t>
      </w:r>
    </w:p>
    <w:p>
      <w:pPr>
        <w:pStyle w:val="ListBullet"/>
      </w:pPr>
      <w:r>
        <w:t>Test administrator sign-in/out, cookie flags, expiry, route protection, same-origin rejection and rate limiting.</w:t>
      </w:r>
    </w:p>
    <w:p>
      <w:pPr>
        <w:pStyle w:val="ListBullet"/>
      </w:pPr>
      <w:r>
        <w:t>Test forward-only status transitions and stale-update conflicts with concurrent requests.</w:t>
      </w:r>
    </w:p>
    <w:p>
      <w:pPr>
        <w:pStyle w:val="ListBullet"/>
      </w:pPr>
      <w:r>
        <w:t>Check analytics against seeded, empty and modified databases.</w:t>
      </w:r>
    </w:p>
    <w:p>
      <w:pPr>
        <w:pStyle w:val="ListBullet"/>
      </w:pPr>
      <w:r>
        <w:t>Conduct keyboard, focus, screen-reader and responsive testing with representative users; record findings rather than assuming conformance.</w:t>
      </w:r>
    </w:p>
    <w:p>
      <w:pPr>
        <w:pStyle w:val="ListBullet"/>
      </w:pPr>
      <w:r>
        <w:t>Evaluate priority and duplicate suggestions with human reviewers before making any quality or accuracy claim.</w:t>
      </w:r>
    </w:p>
    <w:p>
      <w:pPr>
        <w:pStyle w:val="Heading1"/>
      </w:pPr>
      <w:r>
        <w:t>13. Security, privacy and accessibility</w:t>
      </w:r>
    </w:p>
    <w:p>
      <w:pPr>
        <w:pStyle w:val="ListBullet"/>
      </w:pPr>
      <w:r>
        <w:t>No secrets are embedded; .env.example uses placeholders and is not automatically loaded.</w:t>
      </w:r>
    </w:p>
    <w:p>
      <w:pPr>
        <w:pStyle w:val="ListBullet"/>
      </w:pPr>
      <w:r>
        <w:t>Admin access remains disabled unless both required environment variables are configured.</w:t>
      </w:r>
    </w:p>
    <w:p>
      <w:pPr>
        <w:pStyle w:val="ListBullet"/>
      </w:pPr>
      <w:r>
        <w:t>Sessions are signed and expire after four hours; copied stateless tokens remain valid until expiry unless the signing secret is rotated.</w:t>
      </w:r>
    </w:p>
    <w:p>
      <w:pPr>
        <w:pStyle w:val="ListBullet"/>
      </w:pPr>
      <w:r>
        <w:t>Login throttling is in-memory, per-process and bounded at 10,000 remote-address entries; it is not distributed.</w:t>
      </w:r>
    </w:p>
    <w:p>
      <w:pPr>
        <w:pStyle w:val="ListBullet"/>
      </w:pPr>
      <w:r>
        <w:t>Parameterized SQL, database constraints, server-side validation, safe text rendering and generic API error handling are present in source.</w:t>
      </w:r>
    </w:p>
    <w:p>
      <w:pPr>
        <w:pStyle w:val="ListBullet"/>
      </w:pPr>
      <w:r>
        <w:t>Public analytics returns aggregate counts only; individual admin report management is protected. Public report retrieval and submission are intentionally part of the prototype.</w:t>
      </w:r>
    </w:p>
    <w:p>
      <w:pPr>
        <w:pStyle w:val="ListBullet"/>
      </w:pPr>
      <w:r>
        <w:t>The interface includes semantic labels and live status messaging in source; actual assistive-technology behavior has not been tested.</w:t>
      </w:r>
    </w:p>
    <w:p>
      <w:pPr>
        <w:pStyle w:val="Heading1"/>
      </w:pPr>
      <w:r>
        <w:t>14. Known limitations</w:t>
      </w:r>
    </w:p>
    <w:p>
      <w:pPr>
        <w:pStyle w:val="ListBullet"/>
      </w:pPr>
      <w:r>
        <w:t>Express and Helmet dependencies could not be installed because npm registry DNS failed with EAI_AGAIN.</w:t>
      </w:r>
    </w:p>
    <w:p>
      <w:pPr>
        <w:pStyle w:val="ListBullet"/>
      </w:pPr>
      <w:r>
        <w:t>Sixteen HTTP integration tests remain skipped, so live API, auth/session cookie and route behavior are unverified.</w:t>
      </w:r>
    </w:p>
    <w:p>
      <w:pPr>
        <w:pStyle w:val="ListBullet"/>
      </w:pPr>
      <w:r>
        <w:t>No browser, real-device, accessibility-tool, deployment or user-acceptance verification has occurred.</w:t>
      </w:r>
    </w:p>
    <w:p>
      <w:pPr>
        <w:pStyle w:val="ListBullet"/>
      </w:pPr>
      <w:r>
        <w:t>SQLite is local-file storage; no production backup, concurrency, distributed hosting or disaster-recovery strategy is provided.</w:t>
      </w:r>
    </w:p>
    <w:p>
      <w:pPr>
        <w:pStyle w:val="ListBullet"/>
      </w:pPr>
      <w:r>
        <w:t>One administrator credential; no users/roles, MFA, password reset, durable session revocation or audit log.</w:t>
      </w:r>
    </w:p>
    <w:p>
      <w:pPr>
        <w:pStyle w:val="ListBullet"/>
      </w:pPr>
      <w:r>
        <w:t>Duplicate detection is heuristic and unbenchmarked; priority is triage guidance only.</w:t>
      </w:r>
    </w:p>
    <w:p>
      <w:pPr>
        <w:pStyle w:val="ListBullet"/>
      </w:pPr>
      <w:r>
        <w:t>Static dashboard overview figures remain illustrative; analytics counts include fictional demo records when seeded.</w:t>
      </w:r>
    </w:p>
    <w:p>
      <w:pPr>
        <w:pStyle w:val="Heading1"/>
      </w:pPr>
      <w:r>
        <w:t>15. Risks and mitigations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t>Risk</w:t>
            </w:r>
          </w:p>
        </w:tc>
        <w:tc>
          <w:tcPr>
            <w:tcW w:type="dxa" w:w="4968"/>
            <w:vAlign w:val="center"/>
          </w:tcPr>
          <w:p>
            <w:r>
              <w:t>Mitigation / response</w:t>
            </w:r>
          </w:p>
        </w:tc>
      </w:tr>
      <w:tr>
        <w:tc>
          <w:tcPr>
            <w:tcW w:type="dxa" w:w="4968"/>
            <w:vAlign w:val="center"/>
          </w:tcPr>
          <w:p>
            <w:r>
              <w:t>Misleading prototype claims</w:t>
            </w:r>
          </w:p>
        </w:tc>
        <w:tc>
          <w:tcPr>
            <w:tcW w:type="dxa" w:w="4968"/>
            <w:vAlign w:val="center"/>
          </w:tcPr>
          <w:p>
            <w:r>
              <w:t>Label seed data and illustrative metrics; avoid claims of official integration or measured impact.</w:t>
            </w:r>
          </w:p>
        </w:tc>
      </w:tr>
      <w:tr>
        <w:tc>
          <w:tcPr>
            <w:tcW w:type="dxa" w:w="4968"/>
            <w:vAlign w:val="center"/>
          </w:tcPr>
          <w:p>
            <w:r>
              <w:t>Unauthorized admin changes</w:t>
            </w:r>
          </w:p>
        </w:tc>
        <w:tc>
          <w:tcPr>
            <w:tcW w:type="dxa" w:w="4968"/>
            <w:vAlign w:val="center"/>
          </w:tcPr>
          <w:p>
            <w:r>
              <w:t>Signed expiring sessions, route-level auth, same-origin checks and bounded login throttling; still require live security testing.</w:t>
            </w:r>
          </w:p>
        </w:tc>
      </w:tr>
      <w:tr>
        <w:tc>
          <w:tcPr>
            <w:tcW w:type="dxa" w:w="4968"/>
            <w:vAlign w:val="center"/>
          </w:tcPr>
          <w:p>
            <w:r>
              <w:t>Incorrect triage</w:t>
            </w:r>
          </w:p>
        </w:tc>
        <w:tc>
          <w:tcPr>
            <w:tcW w:type="dxa" w:w="4968"/>
            <w:vAlign w:val="center"/>
          </w:tcPr>
          <w:p>
            <w:r>
              <w:t>Explain priority rationale; use human review; never treat priority as a verified safety assessment.</w:t>
            </w:r>
          </w:p>
        </w:tc>
      </w:tr>
      <w:tr>
        <w:tc>
          <w:tcPr>
            <w:tcW w:type="dxa" w:w="4968"/>
            <w:vAlign w:val="center"/>
          </w:tcPr>
          <w:p>
            <w:r>
              <w:t>False duplicate matches</w:t>
            </w:r>
          </w:p>
        </w:tc>
        <w:tc>
          <w:tcPr>
            <w:tcW w:type="dxa" w:w="4968"/>
            <w:vAlign w:val="center"/>
          </w:tcPr>
          <w:p>
            <w:r>
              <w:t>Return suggestions only; allow human judgment; no automatic rejection/merge.</w:t>
            </w:r>
          </w:p>
        </w:tc>
      </w:tr>
      <w:tr>
        <w:tc>
          <w:tcPr>
            <w:tcW w:type="dxa" w:w="4968"/>
            <w:vAlign w:val="center"/>
          </w:tcPr>
          <w:p>
            <w:r>
              <w:t>Data loss or local-file exposure</w:t>
            </w:r>
          </w:p>
        </w:tc>
        <w:tc>
          <w:tcPr>
            <w:tcW w:type="dxa" w:w="4968"/>
            <w:vAlign w:val="center"/>
          </w:tcPr>
          <w:p>
            <w:r>
              <w:t>Restrict filesystem access and keep SQLite files out of source packages; design backups before any pilot.</w:t>
            </w:r>
          </w:p>
        </w:tc>
      </w:tr>
      <w:tr>
        <w:tc>
          <w:tcPr>
            <w:tcW w:type="dxa" w:w="4968"/>
            <w:vAlign w:val="center"/>
          </w:tcPr>
          <w:p>
            <w:r>
              <w:t>Unverified runtime</w:t>
            </w:r>
          </w:p>
        </w:tc>
        <w:tc>
          <w:tcPr>
            <w:tcW w:type="dxa" w:w="4968"/>
            <w:vAlign w:val="center"/>
          </w:tcPr>
          <w:p>
            <w:r>
              <w:t>Retain integration tests and explicitly block deployment claims until dependencies and browser tests pass.</w:t>
            </w:r>
          </w:p>
        </w:tc>
      </w:tr>
    </w:tbl>
    <w:p/>
    <w:p>
      <w:pPr>
        <w:pStyle w:val="Heading1"/>
      </w:pPr>
      <w:r>
        <w:t>16. Future scope</w:t>
      </w:r>
    </w:p>
    <w:p>
      <w:pPr>
        <w:pStyle w:val="ListBullet"/>
      </w:pPr>
      <w:r>
        <w:t>Resolve dependency installation and run the complete HTTP integration suite.</w:t>
      </w:r>
    </w:p>
    <w:p>
      <w:pPr>
        <w:pStyle w:val="ListBullet"/>
      </w:pPr>
      <w:r>
        <w:t>Add automated browser/end-to-end tests and a formal accessibility review.</w:t>
      </w:r>
    </w:p>
    <w:p>
      <w:pPr>
        <w:pStyle w:val="ListBullet"/>
      </w:pPr>
      <w:r>
        <w:t>Define real data ownership, retention, consent, incident response, backups and auditability before any pilot.</w:t>
      </w:r>
    </w:p>
    <w:p>
      <w:pPr>
        <w:pStyle w:val="ListBullet"/>
      </w:pPr>
      <w:r>
        <w:t>Consider managed authentication, role-based access, persistent session revocation and distributed rate limiting.</w:t>
      </w:r>
    </w:p>
    <w:p>
      <w:pPr>
        <w:pStyle w:val="ListBullet"/>
      </w:pPr>
      <w:r>
        <w:t>Evaluate triage and duplicate suggestions against human-reviewed examples before tuning thresholds.</w:t>
      </w:r>
    </w:p>
    <w:p>
      <w:pPr>
        <w:pStyle w:val="ListBullet"/>
      </w:pPr>
      <w:r>
        <w:t>Replace illustrative overview metrics with clearly sourced measures or remove them.</w:t>
      </w:r>
    </w:p>
    <w:p>
      <w:pPr>
        <w:pStyle w:val="ListBullet"/>
      </w:pPr>
      <w:r>
        <w:t>Explore official integrations only with authorization, documented APIs and privacy/security review.</w:t>
      </w:r>
    </w:p>
    <w:p>
      <w:pPr>
        <w:pStyle w:val="Heading1"/>
      </w:pPr>
      <w:r>
        <w:t>17. Conclusion</w:t>
      </w:r>
    </w:p>
    <w:p>
      <w:r>
        <w:t>CivicFix demonstrates a coherent educational workflow for civic report intake, review, prioritization, duplicate suggestions and aggregate analytics. Source-level checks passed, but the unresolved dependency-installation blocker prevents confirmation of live HTTP behavior. The package is a submission prototype, not a production service. Phase 7 execution and browser verification have not started and require separate authorization.</w:t>
      </w:r>
    </w:p>
    <w:sectPr w:rsidR="00FC693F" w:rsidRPr="0006063C" w:rsidSect="00034616">
      <w:headerReference w:type="default" r:id="rId9"/>
      <w:footerReference w:type="default" r:id="rId10"/>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36575"/>
        <w:sz w:val="16"/>
      </w:rPr>
      <w:t>Educational prototype • SDG 11 • Phase 6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147D83"/>
        <w:sz w:val="16"/>
      </w:rPr>
      <w:t>CIVICFIX  |  CONCEPT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30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230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