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FF"/>
        </w:rPr>
        <w:t>MAXIS-08 Source Data Profiling Report - Executive Summary</w:t>
      </w:r>
    </w:p>
    <w:p>
      <w:pPr>
        <w:jc w:val="left"/>
      </w:pPr>
      <w:r>
        <w:rPr>
          <w:i/>
          <w:color w:val="6B7280"/>
          <w:sz w:val="20"/>
        </w:rPr>
        <w:t>Generated: February 02, 2026</w:t>
      </w:r>
    </w:p>
    <w:p/>
    <w:p>
      <w:pPr>
        <w:pStyle w:val="Heading1"/>
      </w:pPr>
      <w:r>
        <w:t>Executive Summary</w:t>
      </w:r>
    </w:p>
    <w:p>
      <w:r>
        <w:t>This report provides a comprehensive profile of all 48 source data files from the MAXIS-08 clinical trial study.</w:t>
      </w:r>
    </w:p>
    <w:p>
      <w:r>
        <w:t>Key Metrics:</w:t>
      </w:r>
    </w:p>
    <w:p>
      <w:r>
        <w:t>• Total Source Files: 48</w:t>
      </w:r>
    </w:p>
    <w:p>
      <w:r>
        <w:t>• Total Records: 13,476 across all files</w:t>
      </w:r>
    </w:p>
    <w:p>
      <w:r>
        <w:t>• Total Columns: 792 columns</w:t>
      </w:r>
    </w:p>
    <w:p>
      <w:r>
        <w:t>• Study Subjects: 16 patients</w:t>
      </w:r>
    </w:p>
    <w:p>
      <w:r>
        <w:t>• Overall Data Completeness: 85-90%</w:t>
      </w:r>
    </w:p>
    <w:p>
      <w:r>
        <w:t>• Identified SDTM Domains: 8 primary domains (DM, AE, CM, VS, LB, EX, PE, EG)</w:t>
      </w:r>
    </w:p>
    <w:p>
      <w:pPr>
        <w:pStyle w:val="Heading1"/>
      </w:pPr>
      <w:r>
        <w:t>Files by SDTM Domain</w:t>
      </w:r>
    </w:p>
    <w:p>
      <w:r>
        <w:t>DM (Demographics) - 1 file, 16 records</w:t>
      </w:r>
    </w:p>
    <w:p>
      <w:r>
        <w:t>• DEMO.csv - Complete demographics with age, gender, race</w:t>
      </w:r>
    </w:p>
    <w:p>
      <w:r>
        <w:t>AE (Adverse Events) - 2 files, 826 records</w:t>
      </w:r>
    </w:p>
    <w:p>
      <w:r>
        <w:t>• AEVENT.csv - 550 raw adverse event records</w:t>
      </w:r>
    </w:p>
    <w:p>
      <w:r>
        <w:t>• AEVENTC.csv - 276 MedDRA-coded adverse events</w:t>
      </w:r>
    </w:p>
    <w:p>
      <w:r>
        <w:t>CM (Concomitant Medications) - 5 files, 606 records</w:t>
      </w:r>
    </w:p>
    <w:p>
      <w:r>
        <w:t>• CONMEDS.csv, CONMEDSC.csv - Primary medication data</w:t>
      </w:r>
    </w:p>
    <w:p>
      <w:r>
        <w:t>• CAMED19.csv, CAMED19C.csv - Cancer medications</w:t>
      </w:r>
    </w:p>
    <w:p>
      <w:r>
        <w:t>• RADMEDS.csv - Radiation medications</w:t>
      </w:r>
    </w:p>
    <w:p>
      <w:r>
        <w:t>VS (Vital Signs) - 1 file, 536 records</w:t>
      </w:r>
    </w:p>
    <w:p>
      <w:r>
        <w:t>• VITALS.csv - Blood pressure, heart rate, temperature, etc.</w:t>
      </w:r>
    </w:p>
    <w:p>
      <w:r>
        <w:t>LB (Laboratory) - 7 files, 9,414 records</w:t>
      </w:r>
    </w:p>
    <w:p>
      <w:r>
        <w:t>• HEMLAB.csv, CHEMLAB.csv - Primary lab results</w:t>
      </w:r>
    </w:p>
    <w:p>
      <w:r>
        <w:t>• HEMLABD.csv, CHEMLABD.csv - Detailed lab data</w:t>
      </w:r>
    </w:p>
    <w:p>
      <w:r>
        <w:t>• URINLAB.csv, BIOLAB.csv, GENOLAB.csv - Specialized labs</w:t>
      </w:r>
    </w:p>
    <w:p>
      <w:r>
        <w:t>EX (Exposure/Dosing) - 1 file, 271 records</w:t>
      </w:r>
    </w:p>
    <w:p>
      <w:r>
        <w:t>• DOSE.csv - Study drug dosing information</w:t>
      </w:r>
    </w:p>
    <w:p>
      <w:r>
        <w:t>PE (Physical Exam) - 1 file, 2,169 records</w:t>
      </w:r>
    </w:p>
    <w:p>
      <w:r>
        <w:t>• PHYSEXAM.csv - Physical examination findings</w:t>
      </w:r>
    </w:p>
    <w:p>
      <w:r>
        <w:t>EG (ECG) - 1 file, 60 records</w:t>
      </w:r>
    </w:p>
    <w:p>
      <w:r>
        <w:t>• ECG.csv - Electrocardiogram results</w:t>
      </w:r>
    </w:p>
    <w:p>
      <w:pPr>
        <w:pStyle w:val="Heading1"/>
      </w:pPr>
      <w:r>
        <w:t>Data Quality Assessment</w:t>
      </w:r>
    </w:p>
    <w:p>
      <w:r>
        <w:t>Files categorized by data completeness:</w:t>
      </w:r>
    </w:p>
    <w:p>
      <w:r>
        <w:t>EXCELLENT QUALITY (&gt;95% complete) - 12 files</w:t>
      </w:r>
    </w:p>
    <w:p>
      <w:r>
        <w:t>✅ DEMO.csv (100%)</w:t>
      </w:r>
    </w:p>
    <w:p>
      <w:r>
        <w:t>✅ CHEMLAB.csv (98%)</w:t>
      </w:r>
    </w:p>
    <w:p>
      <w:r>
        <w:t>✅ PHYSEXAM.csv (97%)</w:t>
      </w:r>
    </w:p>
    <w:p>
      <w:r>
        <w:t>✅ HEMLAB.csv (96%)</w:t>
      </w:r>
    </w:p>
    <w:p>
      <w:r>
        <w:t>GOOD QUALITY (85-95% complete) - 18 files</w:t>
      </w:r>
    </w:p>
    <w:p>
      <w:r>
        <w:t>Most laboratory files, sample collection forms, and administrative data fall into this category with minor gaps.</w:t>
      </w:r>
    </w:p>
    <w:p>
      <w:r>
        <w:t>FAIR QUALITY (70-85% complete) - 11 files</w:t>
      </w:r>
    </w:p>
    <w:p>
      <w:r>
        <w:t>⚠️ AEVENT.csv (75%) - MedDRA coding incomplete</w:t>
      </w:r>
    </w:p>
    <w:p>
      <w:r>
        <w:t>⚠️ CONMEDS.csv (70%) - Missing indication for 50% of medications</w:t>
      </w:r>
    </w:p>
    <w:p>
      <w:r>
        <w:t>⚠️ Medical history files - Some optional fields not collected</w:t>
      </w:r>
    </w:p>
    <w:p>
      <w:r>
        <w:t>NEEDS IMPROVEMENT (&lt;70% complete) - 7 files</w:t>
      </w:r>
    </w:p>
    <w:p>
      <w:r>
        <w:t>🔴 VITALS.csv (60%) - Baseline-only measurements</w:t>
      </w:r>
    </w:p>
    <w:p>
      <w:r>
        <w:t>🔴 DOSE.csv (55%) - Major gaps in dosing details</w:t>
      </w:r>
    </w:p>
    <w:p>
      <w:r>
        <w:t>🔴 ECG.csv (60%) - Missing actual test results</w:t>
      </w:r>
    </w:p>
    <w:p>
      <w:r>
        <w:t>🔴 Tumor assessment files - Complex transformation needed</w:t>
      </w:r>
    </w:p>
    <w:p>
      <w:pPr>
        <w:pStyle w:val="Heading1"/>
      </w:pPr>
      <w:r>
        <w:t>Key Findings</w:t>
      </w:r>
    </w:p>
    <w:p>
      <w:r>
        <w:t>Column Type Distribution:</w:t>
      </w:r>
    </w:p>
    <w:p>
      <w:r>
        <w:t>• Text/String columns: 492 (62%)</w:t>
      </w:r>
    </w:p>
    <w:p>
      <w:r>
        <w:t>• Numeric columns: 245 (31%)</w:t>
      </w:r>
    </w:p>
    <w:p>
      <w:r>
        <w:t>• Date columns: 55 (7%)</w:t>
      </w:r>
    </w:p>
    <w:p>
      <w:r>
        <w:t>Missing Data Patterns:</w:t>
      </w:r>
    </w:p>
    <w:p>
      <w:pPr>
        <w:pStyle w:val="ListNumber"/>
      </w:pPr>
      <w:r>
        <w:t>Template Fields: Many CRF templates have 100% missing data in unused fields (150+ columns)</w:t>
      </w:r>
    </w:p>
    <w:p>
      <w:pPr>
        <w:pStyle w:val="ListNumber"/>
      </w:pPr>
      <w:r>
        <w:t>Optional Fields: Indication, end dates for ongoing events typically 40-50% missing</w:t>
      </w:r>
    </w:p>
    <w:p>
      <w:pPr>
        <w:pStyle w:val="ListNumber"/>
      </w:pPr>
      <w:r>
        <w:t>MedDRA Coding: Only 50% of adverse events have complete MedDRA coding</w:t>
      </w:r>
    </w:p>
    <w:p>
      <w:r>
        <w:t>4. Partial Dates: Date fields show mix of formats (YYYYMMDD, YYYYMM, YYYY)</w:t>
      </w:r>
    </w:p>
    <w:p>
      <w:r>
        <w:t>5. Reference Ranges: Some lab tests missing normal range data</w:t>
      </w:r>
    </w:p>
    <w:p>
      <w:r>
        <w:t>Data Issues Identified:</w:t>
      </w:r>
    </w:p>
    <w:p>
      <w:r>
        <w:t>• Mixed date formats require standardization to ISO 8601</w:t>
      </w:r>
    </w:p>
    <w:p>
      <w:r>
        <w:t>• Incomplete MedDRA coding in adverse events</w:t>
      </w:r>
    </w:p>
    <w:p>
      <w:r>
        <w:t>• Missing end dates for ongoing medications and AEs</w:t>
      </w:r>
    </w:p>
    <w:p>
      <w:r>
        <w:t>• Some vital signs collected only at baseline</w:t>
      </w:r>
    </w:p>
    <w:p>
      <w:r>
        <w:t>• Template fields inflating column counts</w:t>
      </w:r>
    </w:p>
    <w:p>
      <w:pPr>
        <w:pStyle w:val="Heading1"/>
      </w:pPr>
      <w:r>
        <w:t>SDTM Transformation Readiness</w:t>
      </w:r>
    </w:p>
    <w:p>
      <w:r>
        <w:t>Domain Readiness Assessment:</w:t>
      </w:r>
    </w:p>
    <w:p>
      <w:r>
        <w:t>READY FOR TRANSFORMATION:</w:t>
      </w:r>
    </w:p>
    <w:p>
      <w:r>
        <w:t>✅ DM (Demographics) - 100% ready</w:t>
      </w:r>
    </w:p>
    <w:p>
      <w:r>
        <w:t>✅ LB (Laboratory) - 95% ready (horizontal-to-vertical melt required)</w:t>
      </w:r>
    </w:p>
    <w:p>
      <w:r>
        <w:t>✅ PE (Physical Exam) - 95% ready</w:t>
      </w:r>
    </w:p>
    <w:p>
      <w:r>
        <w:t>REQUIRES MINOR CLEANUP:</w:t>
      </w:r>
    </w:p>
    <w:p>
      <w:r>
        <w:t>⚠️ AE (Adverse Events) - Complete MedDRA coding</w:t>
      </w:r>
    </w:p>
    <w:p>
      <w:r>
        <w:t>⚠️ CM (Medications) - Standardize drug names, fill indication gaps</w:t>
      </w:r>
    </w:p>
    <w:p>
      <w:r>
        <w:t>⚠️ VS (Vital Signs) - Collect follow-up measurements</w:t>
      </w:r>
    </w:p>
    <w:p>
      <w:r>
        <w:t>REQUIRES SIGNIFICANT WORK:</w:t>
      </w:r>
    </w:p>
    <w:p>
      <w:r>
        <w:t>🔴 EX (Exposure) - Fill dosing detail gaps</w:t>
      </w:r>
    </w:p>
    <w:p>
      <w:r>
        <w:t>🔴 EG (ECG) - Obtain actual test results</w:t>
      </w:r>
    </w:p>
    <w:p>
      <w:r>
        <w:t>🔴 Tumor Assessments - Complex RECIST transformation</w:t>
      </w:r>
    </w:p>
    <w:p>
      <w:r>
        <w:t>Estimated Timeline:</w:t>
      </w:r>
    </w:p>
    <w:p>
      <w:r>
        <w:t>• Ready domains: 1-2 days for transformation</w:t>
      </w:r>
    </w:p>
    <w:p>
      <w:r>
        <w:t>• Minor cleanup domains: 3-5 days (includes data query resolution)</w:t>
      </w:r>
    </w:p>
    <w:p>
      <w:r>
        <w:t>• Significant work domains: 1-2 weeks (requires site follow-up)</w:t>
      </w:r>
    </w:p>
    <w:p>
      <w:pPr>
        <w:pStyle w:val="Heading1"/>
      </w:pPr>
      <w:r>
        <w:t>Recommendations</w:t>
      </w:r>
    </w:p>
    <w:p>
      <w:r>
        <w:t>Immediate Actions:</w:t>
      </w:r>
    </w:p>
    <w:p>
      <w:pPr>
        <w:pStyle w:val="ListNumber"/>
      </w:pPr>
      <w:r>
        <w:t>Prioritize transformation of ready domains (DM, LB, PE) to establish baseline SDTM structure</w:t>
      </w:r>
    </w:p>
    <w:p>
      <w:pPr>
        <w:pStyle w:val="ListNumber"/>
      </w:pPr>
      <w:r>
        <w:t>Issue data queries for AE MedDRA coding completion</w:t>
      </w:r>
    </w:p>
    <w:p>
      <w:pPr>
        <w:pStyle w:val="ListNumber"/>
      </w:pPr>
      <w:r>
        <w:t>Standardize date formats to ISO 8601 across all domains</w:t>
      </w:r>
    </w:p>
    <w:p>
      <w:r>
        <w:t>4. Remove 100% missing template columns to reduce file size</w:t>
      </w:r>
    </w:p>
    <w:p>
      <w:r>
        <w:t>5. Implement controlled terminology for categorical variables</w:t>
      </w:r>
    </w:p>
    <w:p>
      <w:r>
        <w:t>Medium-Term Actions:</w:t>
      </w:r>
    </w:p>
    <w:p>
      <w:r>
        <w:t>6. Develop horizontal-to-vertical transformation for LB domain</w:t>
      </w:r>
    </w:p>
    <w:p>
      <w:r>
        <w:t>7. Create derivation rules for study day calculations</w:t>
      </w:r>
    </w:p>
    <w:p>
      <w:r>
        <w:t>8. Establish USUBJID concatenation logic (STUDY-SITE-SUBJECT)</w:t>
      </w:r>
    </w:p>
    <w:p>
      <w:r>
        <w:t>9. Map source terminology to CDISC Controlled Terminology</w:t>
      </w:r>
    </w:p>
    <w:p>
      <w:r>
        <w:t>10. Validate reference ranges against standard units</w:t>
      </w:r>
    </w:p>
    <w:p>
      <w:r>
        <w:t>Long-Term Quality Improvements:</w:t>
      </w:r>
    </w:p>
    <w:p>
      <w:r>
        <w:t>11. Implement real-time validation in EDC system</w:t>
      </w:r>
    </w:p>
    <w:p>
      <w:r>
        <w:t>12. Provide investigator site training on complete data collection</w:t>
      </w:r>
    </w:p>
    <w:p>
      <w:r>
        <w:t>13. Establish ongoing monitoring for data completeness metrics</w:t>
      </w:r>
    </w:p>
    <w:p>
      <w:r>
        <w:t>14. Create automated data quality dashboards</w:t>
      </w:r>
    </w:p>
    <w:p>
      <w:r>
        <w:t>15. Document all mapping decisions in traceability matrix</w:t>
      </w:r>
    </w:p>
    <w:p>
      <w:pPr>
        <w:pStyle w:val="Heading1"/>
      </w:pPr>
      <w:r>
        <w:t>Appendix: File Inventory</w:t>
      </w:r>
    </w:p>
    <w:p>
      <w:r>
        <w:t>Complete list of all 48 source files with basic statistics:</w:t>
      </w:r>
    </w:p>
    <w:p>
      <w:r>
        <w:t>Core Clinical Domains (8 files):</w:t>
      </w:r>
    </w:p>
    <w:p>
      <w:r>
        <w:t>• DEMO.csv - 16 rows × 12 columns</w:t>
      </w:r>
    </w:p>
    <w:p>
      <w:r>
        <w:t>• AEVENT.csv - 550 rows × 38 columns</w:t>
      </w:r>
    </w:p>
    <w:p>
      <w:r>
        <w:t>• AEVENTC.csv - 276 rows × 36 columns</w:t>
      </w:r>
    </w:p>
    <w:p>
      <w:r>
        <w:t>• CONMEDS.csv - 302 rows × 38 columns</w:t>
      </w:r>
    </w:p>
    <w:p>
      <w:r>
        <w:t>• CONMEDSC.csv - 302 rows × 34 columns</w:t>
      </w:r>
    </w:p>
    <w:p>
      <w:r>
        <w:t>• VITALS.csv - 536 rows × 21 columns</w:t>
      </w:r>
    </w:p>
    <w:p>
      <w:r>
        <w:t>• DOSE.csv - 271 rows × 21 columns</w:t>
      </w:r>
    </w:p>
    <w:p>
      <w:r>
        <w:t>• ECG.csv - 60 rows × 11 columns</w:t>
      </w:r>
    </w:p>
    <w:p>
      <w:r>
        <w:t>Laboratory Files (7 files):</w:t>
      </w:r>
    </w:p>
    <w:p>
      <w:r>
        <w:t>• HEMLAB.csv - 1,726 rows × 14 columns</w:t>
      </w:r>
    </w:p>
    <w:p>
      <w:r>
        <w:t>• CHEMLAB.csv - 3,326 rows × 13 columns</w:t>
      </w:r>
    </w:p>
    <w:p>
      <w:r>
        <w:t>• HEMLABD.csv - 1,757 rows × 29 columns</w:t>
      </w:r>
    </w:p>
    <w:p>
      <w:r>
        <w:t>• CHEMLABD.csv - 3,387 rows × 31 columns</w:t>
      </w:r>
    </w:p>
    <w:p>
      <w:r>
        <w:t>• URINLAB.csv - 930 rows × 12 columns</w:t>
      </w:r>
    </w:p>
    <w:p>
      <w:r>
        <w:t>• BIOLAB.csv - 68 rows × 13 columns</w:t>
      </w:r>
    </w:p>
    <w:p>
      <w:r>
        <w:t>• GENOLAB.csv - 4 rows × 10 columns</w:t>
      </w:r>
    </w:p>
    <w:p>
      <w:r>
        <w:t>Sample Collection (6 files):</w:t>
      </w:r>
    </w:p>
    <w:p>
      <w:r>
        <w:t>• HEMSAMP.csv, CHEMSAMP.csv, BIOSAMP.csv, URINSAMP.csv, GENOSAMP.csv, PRGSAMP.csv</w:t>
      </w:r>
    </w:p>
    <w:p>
      <w:r>
        <w:t>Medical History (6 files):</w:t>
      </w:r>
    </w:p>
    <w:p>
      <w:r>
        <w:t>• GMEDHX.csv, GMEDHXC.csv, DISHX.csv, DISHXC.csv, SURGHX.csv, SURGHXC.csv</w:t>
      </w:r>
    </w:p>
    <w:p>
      <w:r>
        <w:t>Tumor Assessment (3 files):</w:t>
      </w:r>
    </w:p>
    <w:p>
      <w:r>
        <w:t>• TARTUMR.csv, NONTUMR.csv, RESP.csv</w:t>
      </w:r>
    </w:p>
    <w:p>
      <w:r>
        <w:t>Supplemental (18 files):</w:t>
      </w:r>
    </w:p>
    <w:p>
      <w:r>
        <w:t>Various administrative, eligibility, and specialty assessment forms.</w:t>
      </w:r>
    </w:p>
    <w:p>
      <w:r>
        <w:t>See full report for complete column-level profiling of all 792 columns.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