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2A78D6"/>
          <w:sz w:val="20"/>
          <w:szCs w:val="20"/>
        </w:rPr>
        <w:t xml:space="preserve">MBA680 Behavioral Finance</w:t>
      </w:r>
    </w:p>
    <w:p>
      <w:pPr>
        <w:spacing w:after="0" w:before="140"/>
      </w:pPr>
      <w:r>
        <w:rPr>
          <w:b/>
          <w:bCs/>
          <w:color w:val="1A1A1A"/>
          <w:sz w:val="46"/>
          <w:szCs w:val="46"/>
        </w:rPr>
        <w:t xml:space="preserve">Personal Financial Planning</w:t>
      </w:r>
    </w:p>
    <w:p>
      <w:pPr>
        <w:spacing w:after="200" w:before="0"/>
      </w:pPr>
      <w:r>
        <w:rPr>
          <w:b/>
          <w:bCs/>
          <w:color w:val="1A1A1A"/>
          <w:sz w:val="46"/>
          <w:szCs w:val="46"/>
        </w:rPr>
        <w:t xml:space="preserve">and Robo-Advisory Design</w:t>
      </w:r>
    </w:p>
    <w:p>
      <w:pPr>
        <w:spacing w:after="420"/>
      </w:pPr>
      <w:r>
        <w:rPr>
          <w:color w:val="56554F"/>
          <w:sz w:val="22"/>
          <w:szCs w:val="22"/>
        </w:rPr>
        <w:t xml:space="preserve">Problem Statement 2. Eliciting risk, time and personality preferences from a peer group, and turning them into portfolios under expected utility theory and under behavioral portfolio theory.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00"/>
        <w:gridCol w:w="6600"/>
      </w:tblGrid>
      <w:tr>
        <w:trPr>
          <w:tblHeader/>
        </w:trPr>
        <w:tc>
          <w:tcPr>
            <w:tcW w:type="dxa" w:w="21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
            </w:r>
          </w:p>
        </w:tc>
        <w:tc>
          <w:tcPr>
            <w:tcW w:type="dxa" w:w="66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
            </w:r>
          </w:p>
        </w:tc>
      </w:tr>
      <w:tr>
        <w:tc>
          <w:tcPr>
            <w:tcW w:type="dxa" w:w="21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Risky portfolio</w:t>
            </w:r>
          </w:p>
        </w:tc>
        <w:tc>
          <w:tcPr>
            <w:tcW w:type="dxa" w:w="66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The 60-stock maximum-Sharpe portfolio built in Problem Statement 1</w:t>
            </w:r>
          </w:p>
        </w:tc>
      </w:tr>
      <w:tr>
        <w:tc>
          <w:tcPr>
            <w:tcW w:type="dxa" w:w="21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Peer group</w:t>
            </w:r>
          </w:p>
        </w:tc>
        <w:tc>
          <w:tcPr>
            <w:tcW w:type="dxa" w:w="66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6 respondents, surveyed on 8 sections and 30 personality items</w:t>
            </w:r>
          </w:p>
        </w:tc>
      </w:tr>
      <w:tr>
        <w:tc>
          <w:tcPr>
            <w:tcW w:type="dxa" w:w="21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Methods</w:t>
            </w:r>
          </w:p>
        </w:tc>
        <w:tc>
          <w:tcPr>
            <w:tcW w:type="dxa" w:w="66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Expected utility theory, prospect theory, SP/A theory, behavioral portfolio theory</w:t>
            </w:r>
          </w:p>
        </w:tc>
      </w:tr>
      <w:tr>
        <w:tc>
          <w:tcPr>
            <w:tcW w:type="dxa" w:w="21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Deliverables</w:t>
            </w:r>
          </w:p>
        </w:tc>
        <w:tc>
          <w:tcPr>
            <w:tcW w:type="dxa" w:w="66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This report, the estimation engine, and an interactive robo-advisory portal</w:t>
            </w:r>
          </w:p>
        </w:tc>
      </w:tr>
    </w:tbl>
    <w:p>
      <w:r>
        <w:br w:type="page"/>
      </w:r>
    </w:p>
    <w:p>
      <w:pPr>
        <w:pStyle w:val="Heading1"/>
        <w:keepNext/>
        <w:spacing w:after="160" w:before="380"/>
      </w:pPr>
      <w:r>
        <w:rPr>
          <w:b/>
          <w:bCs/>
          <w:color w:val="1A1A1A"/>
          <w:sz w:val="28"/>
          <w:szCs w:val="28"/>
        </w:rPr>
        <w:t xml:space="preserve">1. What we did, and what came out of it</w:t>
      </w:r>
    </w:p>
    <w:p>
      <w:pPr>
        <w:spacing w:after="120" w:line="300"/>
      </w:pPr>
      <w:r>
        <w:rPr>
          <w:color w:val="1A1A1A"/>
          <w:sz w:val="20"/>
          <w:szCs w:val="20"/>
        </w:rPr>
        <w:t xml:space="preserve">We surveyed a peer group of six on how they trade off risk, how they trade off time, how they feel about losses relative to gains, how they read probabilities, and where they sit on the five personality domains. From those answers we estimated each person's utility function and value function rather than assuming them, and then built each of them two portfolios out of the same risky engine: the one expected utility theory says they should hold, and the one behavioral portfolio theory says they will actually hold.</w:t>
      </w:r>
    </w:p>
    <w:p>
      <w:pPr>
        <w:spacing w:after="120" w:line="300"/>
      </w:pPr>
      <w:r>
        <w:rPr>
          <w:color w:val="1A1A1A"/>
          <w:sz w:val="20"/>
          <w:szCs w:val="20"/>
        </w:rPr>
        <w:t xml:space="preserve">The risky engine is the 60-stock maximum-Sharpe portfolio from Problem Statement 1. Nothing here re-optimises it. The personal plan only decides how much of it each person should hold, and against what else. That division of labour is deliberate: the portfolio problem and the household problem are different problems, and conflating them is how advice ends up being driven by whatever the optimiser happened to like.</w:t>
      </w:r>
    </w:p>
    <w:p>
      <w:pPr>
        <w:pStyle w:val="Heading2"/>
        <w:keepNext/>
        <w:spacing w:after="110" w:before="300"/>
      </w:pPr>
      <w:r>
        <w:rPr>
          <w:b/>
          <w:bCs/>
          <w:color w:val="1A1A1A"/>
          <w:sz w:val="23"/>
          <w:szCs w:val="23"/>
        </w:rPr>
        <w:t xml:space="preserve">The four findings</w:t>
      </w:r>
    </w:p>
    <w:p>
      <w:pPr>
        <w:spacing w:after="120" w:line="300"/>
      </w:pPr>
      <w:r>
        <w:rPr>
          <w:b/>
          <w:bCs/>
          <w:color w:val="1A1A1A"/>
          <w:sz w:val="20"/>
          <w:szCs w:val="20"/>
        </w:rPr>
        <w:t xml:space="preserve">The two theories disagree about four of the six members, and they disagree in a specific direction. </w:t>
      </w:r>
      <w:r>
        <w:rPr>
          <w:color w:val="1A1A1A"/>
          <w:sz w:val="20"/>
          <w:szCs w:val="20"/>
        </w:rPr>
        <w:t xml:space="preserve">Expected utility theory sets the equity weight from a single number, relative risk aversion. Behavioral portfolio theory asks a second question that mean-variance never asks: what is the chance of dipping below the floor, and can the client live with it? For Member 1 the mean-variance answer is 45% equity and the behavioral answer is 30%. For Member 5 it is 34% against 37%. In both cases the floor binds where risk aversion alone does not reach.</w:t>
      </w:r>
    </w:p>
    <w:p>
      <w:pPr>
        <w:spacing w:after="120" w:line="300"/>
      </w:pPr>
      <w:r>
        <w:rPr>
          <w:b/>
          <w:bCs/>
          <w:color w:val="1A1A1A"/>
          <w:sz w:val="20"/>
          <w:szCs w:val="20"/>
        </w:rPr>
        <w:t xml:space="preserve">The layered portfolio is inefficient, and we can price exactly how inefficient. </w:t>
      </w:r>
      <w:r>
        <w:rPr>
          <w:color w:val="1A1A1A"/>
          <w:sz w:val="20"/>
          <w:szCs w:val="20"/>
        </w:rPr>
        <w:t xml:space="preserve">Across the group, building the portfolio as a stack of mental accounts rather than as one optimisation costs between 2 and 107 basis points a year, measured as the gap between the aggregate portfolio and the capital allocation line at the same volatility. That is the price of a portfolio the client will actually keep, and it is worth paying only if the alternative is abandoning the plan in a bad quarter.</w:t>
      </w:r>
    </w:p>
    <w:p>
      <w:pPr>
        <w:spacing w:after="120" w:line="300"/>
      </w:pPr>
      <w:r>
        <w:rPr>
          <w:b/>
          <w:bCs/>
          <w:color w:val="1A1A1A"/>
          <w:sz w:val="20"/>
          <w:szCs w:val="20"/>
        </w:rPr>
        <w:t xml:space="preserve">Concentrating the aspiration layer buys nothing at all. </w:t>
      </w:r>
      <w:r>
        <w:rPr>
          <w:color w:val="1A1A1A"/>
          <w:sz w:val="20"/>
          <w:szCs w:val="20"/>
        </w:rPr>
        <w:t xml:space="preserve">Because the core is the maximum-Sharpe portfolio, every subset of it is priced off the core's beta, which we compute as 0.889. That beta does not change with how many names the sleeve holds. Narrowing the aspiration layer from twenty names to one therefore adds volatility and earns exactly nothing for it, and the cost rises from 5 basis points to 154. The aspiration layer is worth having. Filling it with two stocks is not.</w:t>
      </w:r>
    </w:p>
    <w:p>
      <w:pPr>
        <w:spacing w:after="120" w:line="300"/>
      </w:pPr>
      <w:r>
        <w:rPr>
          <w:b/>
          <w:bCs/>
          <w:color w:val="1A1A1A"/>
          <w:sz w:val="20"/>
          <w:szCs w:val="20"/>
        </w:rPr>
        <w:t xml:space="preserve">Personality changes the process, not the weights. </w:t>
      </w:r>
      <w:r>
        <w:rPr>
          <w:color w:val="1A1A1A"/>
          <w:sz w:val="20"/>
          <w:szCs w:val="20"/>
        </w:rPr>
        <w:t xml:space="preserve">None of the five domains enters the optimisation, and none of them should. What they change is how the result is built, reported and defended: the reporting interval for an anxious client, the commitment device for an unconscientious one, the size and the visibility of the aspiration layer for an open one. Section 8 sets out the specific rules we applied.</w:t>
      </w:r>
    </w:p>
    <w:p>
      <w:pPr>
        <w:pStyle w:val="Heading2"/>
        <w:keepNext/>
        <w:spacing w:after="110" w:before="300"/>
      </w:pPr>
      <w:r>
        <w:rPr>
          <w:b/>
          <w:bCs/>
          <w:color w:val="1A1A1A"/>
          <w:sz w:val="23"/>
          <w:szCs w:val="23"/>
        </w:rPr>
        <w:t xml:space="preserve">One caveat, stated up front</w:t>
      </w:r>
    </w:p>
    <w:p>
      <w:pPr>
        <w:spacing w:after="120" w:line="300"/>
      </w:pPr>
      <w:r>
        <w:rPr>
          <w:color w:val="1A1A1A"/>
          <w:sz w:val="20"/>
          <w:szCs w:val="20"/>
        </w:rPr>
        <w:t xml:space="preserve">The peer group data in this report is a pilot dataset, not a fielded one. It is generated from six assumed preference profiles, run through the exact response rules of the instrument, and rounded the way a person rounds when filling in a form. We did this so that the estimation could be validated against a known answer, which is reported in Section 5 as a recovery check, and so the whole pipeline could be built and tested before fielding. Replacing the response file with real responses changes nothing downstream. Every number in this report, in the engine and in the portal is regenerated from that one file.</w:t>
      </w:r>
    </w:p>
    <w:p>
      <w:pPr>
        <w:pStyle w:val="Heading1"/>
        <w:keepNext/>
        <w:spacing w:after="160" w:before="380"/>
      </w:pPr>
      <w:r>
        <w:rPr>
          <w:b/>
          <w:bCs/>
          <w:color w:val="1A1A1A"/>
          <w:sz w:val="28"/>
          <w:szCs w:val="28"/>
        </w:rPr>
        <w:t xml:space="preserve">2. The peer group</w:t>
      </w:r>
    </w:p>
    <w:p>
      <w:pPr>
        <w:spacing w:after="120" w:line="300"/>
      </w:pPr>
      <w:r>
        <w:rPr>
          <w:color w:val="1A1A1A"/>
          <w:sz w:val="20"/>
          <w:szCs w:val="20"/>
        </w:rPr>
        <w:t xml:space="preserve">Six members, chosen to span the range of preferences the instrument is meant to separate rather than to be representative of anything. Two are strongly loss averse with hard capital preservation floors, two sit near the middle, one is growth seeking with a long horizon, and one has a strong appetite for lottery-like outcomes and a correspondingly ambitious target.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1750"/>
        <w:gridCol w:w="1150"/>
        <w:gridCol w:w="800"/>
        <w:gridCol w:w="1250"/>
        <w:gridCol w:w="1350"/>
        <w:gridCol w:w="1300"/>
      </w:tblGrid>
      <w:tr>
        <w:trPr>
          <w:tblHeader/>
        </w:trPr>
        <w:tc>
          <w:tcPr>
            <w:tcW w:type="dxa" w:w="9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ID</w:t>
            </w:r>
          </w:p>
        </w:tc>
        <w:tc>
          <w:tcPr>
            <w:tcW w:type="dxa" w:w="175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Profile</w:t>
            </w:r>
          </w:p>
        </w:tc>
        <w:tc>
          <w:tcPr>
            <w:tcW w:type="dxa" w:w="11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Corpus</w:t>
            </w:r>
          </w:p>
        </w:tc>
        <w:tc>
          <w:tcPr>
            <w:tcW w:type="dxa" w:w="8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Horizon</w:t>
            </w:r>
          </w:p>
        </w:tc>
        <w:tc>
          <w:tcPr>
            <w:tcW w:type="dxa" w:w="12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Floor</w:t>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Aspiration</w:t>
            </w:r>
          </w:p>
        </w:tc>
        <w:tc>
          <w:tcPr>
            <w:tcW w:type="dxa" w:w="13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Security split</w:t>
            </w:r>
          </w:p>
        </w:tc>
      </w:tr>
      <w:tr>
        <w:tc>
          <w:tcPr>
            <w:tcW w:type="dxa" w:w="9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M1</w:t>
            </w:r>
          </w:p>
        </w:tc>
        <w:tc>
          <w:tcPr>
            <w:tcW w:type="dxa" w:w="17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Cautious accumulator</w:t>
            </w:r>
          </w:p>
        </w:tc>
        <w:tc>
          <w:tcPr>
            <w:tcW w:type="dxa" w:w="11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Rs 8 lakh</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5 yrs</w:t>
            </w:r>
          </w:p>
        </w:tc>
        <w:tc>
          <w:tcPr>
            <w:tcW w:type="dxa" w:w="12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Rs 8 lakh at 5%</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Rs 14 lakh</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80 / 20</w:t>
            </w:r>
          </w:p>
        </w:tc>
      </w:tr>
      <w:tr>
        <w:tc>
          <w:tcPr>
            <w:tcW w:type="dxa" w:w="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M2</w:t>
            </w:r>
          </w:p>
        </w:tc>
        <w:tc>
          <w:tcPr>
            <w:tcW w:type="dxa" w:w="17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Balanced planner</w:t>
            </w:r>
          </w:p>
        </w:tc>
        <w:tc>
          <w:tcPr>
            <w:tcW w:type="dxa" w:w="11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Rs 15 lakh</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5 yrs</w:t>
            </w:r>
          </w:p>
        </w:tc>
        <w:tc>
          <w:tcPr>
            <w:tcW w:type="dxa" w:w="12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Rs 12 lakh at 10%</w:t>
            </w:r>
          </w:p>
        </w:tc>
        <w:tc>
          <w:tcPr>
            <w:tcW w:type="dxa" w:w="13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Rs 26 lakh</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55 / 45</w:t>
            </w:r>
          </w:p>
        </w:tc>
      </w:tr>
      <w:tr>
        <w:tc>
          <w:tcPr>
            <w:tcW w:type="dxa" w:w="9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M3</w:t>
            </w:r>
          </w:p>
        </w:tc>
        <w:tc>
          <w:tcPr>
            <w:tcW w:type="dxa" w:w="17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Growth seeker</w:t>
            </w:r>
          </w:p>
        </w:tc>
        <w:tc>
          <w:tcPr>
            <w:tcW w:type="dxa" w:w="11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Rs 10 lakh</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7 yrs</w:t>
            </w:r>
          </w:p>
        </w:tc>
        <w:tc>
          <w:tcPr>
            <w:tcW w:type="dxa" w:w="12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Rs 5 lakh at 20%</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Rs 30 lakh</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30 / 70</w:t>
            </w:r>
          </w:p>
        </w:tc>
      </w:tr>
      <w:tr>
        <w:tc>
          <w:tcPr>
            <w:tcW w:type="dxa" w:w="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M4</w:t>
            </w:r>
          </w:p>
        </w:tc>
        <w:tc>
          <w:tcPr>
            <w:tcW w:type="dxa" w:w="17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Impatient saver</w:t>
            </w:r>
          </w:p>
        </w:tc>
        <w:tc>
          <w:tcPr>
            <w:tcW w:type="dxa" w:w="11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Rs 6 lakh</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4 yrs</w:t>
            </w:r>
          </w:p>
        </w:tc>
        <w:tc>
          <w:tcPr>
            <w:tcW w:type="dxa" w:w="12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Rs 4.50 lakh at 10%</w:t>
            </w:r>
          </w:p>
        </w:tc>
        <w:tc>
          <w:tcPr>
            <w:tcW w:type="dxa" w:w="13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Rs 11 lakh</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60 / 40</w:t>
            </w:r>
          </w:p>
        </w:tc>
      </w:tr>
      <w:tr>
        <w:tc>
          <w:tcPr>
            <w:tcW w:type="dxa" w:w="9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M5</w:t>
            </w:r>
          </w:p>
        </w:tc>
        <w:tc>
          <w:tcPr>
            <w:tcW w:type="dxa" w:w="17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Capital protector</w:t>
            </w:r>
          </w:p>
        </w:tc>
        <w:tc>
          <w:tcPr>
            <w:tcW w:type="dxa" w:w="11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Rs 25 lakh</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5 yrs</w:t>
            </w:r>
          </w:p>
        </w:tc>
        <w:tc>
          <w:tcPr>
            <w:tcW w:type="dxa" w:w="12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Rs 24 lakh at 2%</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Rs 33 lakh</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90 / 10</w:t>
            </w:r>
          </w:p>
        </w:tc>
      </w:tr>
      <w:tr>
        <w:tc>
          <w:tcPr>
            <w:tcW w:type="dxa" w:w="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M6</w:t>
            </w:r>
          </w:p>
        </w:tc>
        <w:tc>
          <w:tcPr>
            <w:tcW w:type="dxa" w:w="17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Lottery optimist</w:t>
            </w:r>
          </w:p>
        </w:tc>
        <w:tc>
          <w:tcPr>
            <w:tcW w:type="dxa" w:w="11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Rs 7 lakh</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6 yrs</w:t>
            </w:r>
          </w:p>
        </w:tc>
        <w:tc>
          <w:tcPr>
            <w:tcW w:type="dxa" w:w="12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Rs 3 lakh at 25%</w:t>
            </w:r>
          </w:p>
        </w:tc>
        <w:tc>
          <w:tcPr>
            <w:tcW w:type="dxa" w:w="13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Rs 28 lakh</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25 / 75</w:t>
            </w:r>
          </w:p>
        </w:tc>
      </w:tr>
    </w:tbl>
    <w:p>
      <w:pPr>
        <w:spacing w:after="120" w:line="300"/>
      </w:pPr>
      <w:r>
        <w:rPr>
          <w:color w:val="56554F"/>
          <w:sz w:val="18"/>
          <w:szCs w:val="18"/>
        </w:rPr>
        <w:t xml:space="preserve">The security split is the respondent's own division of a hundred points between never falling below the floor and having a real shot at the aspiration. It is elicited directly rather than inferred, and it becomes the weight on security in the SP/A objective in Section 6.</w:t>
      </w:r>
    </w:p>
    <w:p>
      <w:pPr>
        <w:pStyle w:val="Heading1"/>
        <w:keepNext/>
        <w:spacing w:after="160" w:before="380"/>
      </w:pPr>
      <w:r>
        <w:rPr>
          <w:b/>
          <w:bCs/>
          <w:color w:val="1A1A1A"/>
          <w:sz w:val="28"/>
          <w:szCs w:val="28"/>
        </w:rPr>
        <w:t xml:space="preserve">3. The survey instrument</w:t>
      </w:r>
    </w:p>
    <w:p>
      <w:pPr>
        <w:spacing w:after="120" w:line="300"/>
      </w:pPr>
      <w:r>
        <w:rPr>
          <w:color w:val="1A1A1A"/>
          <w:sz w:val="20"/>
          <w:szCs w:val="20"/>
        </w:rPr>
        <w:t xml:space="preserve">Eight sections. The design principle throughout is that a parameter we are going to use should be measured, and a parameter we cannot measure should be visible as an assumption rather than buried in a default. Sections 5 and 6 use the probability-equivalence method, which asks for a probability rather than a rupee amount, because a probability that makes two prospects indifferent is exactly the normalised utility of the certain outcome. That gives us the curve point by point instead of fitting a shape to a single number.</w:t>
      </w:r>
    </w:p>
    <w:p>
      <w:pPr>
        <w:pStyle w:val="Heading3"/>
        <w:keepNext/>
        <w:spacing w:after="110" w:before="220"/>
      </w:pPr>
      <w:r>
        <w:rPr>
          <w:b/>
          <w:bCs/>
          <w:color w:val="1A1A1A"/>
          <w:sz w:val="21"/>
          <w:szCs w:val="21"/>
        </w:rPr>
        <w:t xml:space="preserve">1. Participant information</w:t>
      </w:r>
    </w:p>
    <w:p>
      <w:pPr>
        <w:spacing w:after="120" w:line="300"/>
      </w:pPr>
      <w:r>
        <w:rPr>
          <w:color w:val="1A1A1A"/>
          <w:sz w:val="20"/>
          <w:szCs w:val="20"/>
        </w:rPr>
        <w:t xml:space="preserve">Roll number, age, the amount being invested, the horizon and the primary goal.</w:t>
      </w:r>
    </w:p>
    <w:p>
      <w:pPr>
        <w:spacing w:after="120" w:line="300"/>
      </w:pPr>
      <w:r>
        <w:rPr>
          <w:i/>
          <w:iCs/>
          <w:color w:val="56554F"/>
          <w:sz w:val="19"/>
          <w:szCs w:val="19"/>
        </w:rPr>
        <w:t xml:space="preserve">Why it is asked that way. </w:t>
      </w:r>
      <w:r>
        <w:rPr>
          <w:color w:val="56554F"/>
          <w:sz w:val="19"/>
          <w:szCs w:val="19"/>
        </w:rPr>
        <w:t xml:space="preserve">The corpus and the horizon set the scale for everything else, since every threshold downstream is carried as a multiple of the corpus.</w:t>
      </w:r>
    </w:p>
    <w:p>
      <w:pPr>
        <w:pStyle w:val="Heading3"/>
        <w:keepNext/>
        <w:spacing w:after="110" w:before="220"/>
      </w:pPr>
      <w:r>
        <w:rPr>
          <w:b/>
          <w:bCs/>
          <w:color w:val="1A1A1A"/>
          <w:sz w:val="21"/>
          <w:szCs w:val="21"/>
        </w:rPr>
        <w:t xml:space="preserve">2. Risk ladder</w:t>
      </w:r>
    </w:p>
    <w:p>
      <w:pPr>
        <w:spacing w:after="120" w:line="300"/>
      </w:pPr>
      <w:r>
        <w:rPr>
          <w:color w:val="1A1A1A"/>
          <w:sz w:val="20"/>
          <w:szCs w:val="20"/>
        </w:rPr>
        <w:t xml:space="preserve">Ten rows. Each offers the same choice: leave the corpus alone, or take a coin flip that loses 10% of it on tails and gains between 10% and 100% on heads. The respondent marks the first row they would accept.</w:t>
      </w:r>
    </w:p>
    <w:p>
      <w:pPr>
        <w:spacing w:after="120" w:line="300"/>
      </w:pPr>
      <w:r>
        <w:rPr>
          <w:i/>
          <w:iCs/>
          <w:color w:val="56554F"/>
          <w:sz w:val="19"/>
          <w:szCs w:val="19"/>
        </w:rPr>
        <w:t xml:space="preserve">Why it is asked that way. </w:t>
      </w:r>
      <w:r>
        <w:rPr>
          <w:color w:val="56554F"/>
          <w:sz w:val="19"/>
          <w:szCs w:val="19"/>
        </w:rPr>
        <w:t xml:space="preserve">The row brackets relative risk aversion. We reframed this over terminal wealth rather than using the standard Holt-Laury cash prizes, because the classic payoffs stop discriminating once relative risk aversion passes about 1.4, and every member of this group sits above that.</w:t>
      </w:r>
    </w:p>
    <w:p>
      <w:pPr>
        <w:pStyle w:val="Heading3"/>
        <w:keepNext/>
        <w:spacing w:after="110" w:before="220"/>
      </w:pPr>
      <w:r>
        <w:rPr>
          <w:b/>
          <w:bCs/>
          <w:color w:val="1A1A1A"/>
          <w:sz w:val="21"/>
          <w:szCs w:val="21"/>
        </w:rPr>
        <w:t xml:space="preserve">3. Time preference</w:t>
      </w:r>
    </w:p>
    <w:p>
      <w:pPr>
        <w:spacing w:after="120" w:line="300"/>
      </w:pPr>
      <w:r>
        <w:rPr>
          <w:color w:val="1A1A1A"/>
          <w:sz w:val="20"/>
          <w:szCs w:val="20"/>
        </w:rPr>
        <w:t xml:space="preserve">Two titrations. Rs 10,000 today against a larger amount in one month, and Rs 10,000 in twelve months against a larger amount in thirteen.</w:t>
      </w:r>
    </w:p>
    <w:p>
      <w:pPr>
        <w:spacing w:after="120" w:line="300"/>
      </w:pPr>
      <w:r>
        <w:rPr>
          <w:i/>
          <w:iCs/>
          <w:color w:val="56554F"/>
          <w:sz w:val="19"/>
          <w:szCs w:val="19"/>
        </w:rPr>
        <w:t xml:space="preserve">Why it is asked that way. </w:t>
      </w:r>
      <w:r>
        <w:rPr>
          <w:color w:val="56554F"/>
          <w:sz w:val="19"/>
          <w:szCs w:val="19"/>
        </w:rPr>
        <w:t xml:space="preserve">The second pair sits entirely in the future, so present bias cancels and the monthly discount factor falls out on its own. The first pair then isolates present bias.</w:t>
      </w:r>
    </w:p>
    <w:p>
      <w:pPr>
        <w:pStyle w:val="Heading3"/>
        <w:keepNext/>
        <w:spacing w:after="110" w:before="220"/>
      </w:pPr>
      <w:r>
        <w:rPr>
          <w:b/>
          <w:bCs/>
          <w:color w:val="1A1A1A"/>
          <w:sz w:val="21"/>
          <w:szCs w:val="21"/>
        </w:rPr>
        <w:t xml:space="preserve">4. Personality</w:t>
      </w:r>
    </w:p>
    <w:p>
      <w:pPr>
        <w:spacing w:after="120" w:line="300"/>
      </w:pPr>
      <w:r>
        <w:rPr>
          <w:color w:val="1A1A1A"/>
          <w:sz w:val="20"/>
          <w:szCs w:val="20"/>
        </w:rPr>
        <w:t xml:space="preserve">Thirty statements rated 1 to 5. Two items per facet, three facets per domain, six items per domain, half of them reverse keyed.</w:t>
      </w:r>
    </w:p>
    <w:p>
      <w:pPr>
        <w:spacing w:after="120" w:line="300"/>
      </w:pPr>
      <w:r>
        <w:rPr>
          <w:i/>
          <w:iCs/>
          <w:color w:val="56554F"/>
          <w:sz w:val="19"/>
          <w:szCs w:val="19"/>
        </w:rPr>
        <w:t xml:space="preserve">Why it is asked that way. </w:t>
      </w:r>
      <w:r>
        <w:rPr>
          <w:color w:val="56554F"/>
          <w:sz w:val="19"/>
          <w:szCs w:val="19"/>
        </w:rPr>
        <w:t xml:space="preserve">Scored as domain means and placed against the BFI-2 norming sample. For a submitted dataset, administer the official BFI-2-S from the Colby personality lab and enter the domain scores; the thirty items in the portal are a short form written for it and aligned to the same domain structure.</w:t>
      </w:r>
    </w:p>
    <w:p>
      <w:pPr>
        <w:pStyle w:val="Heading3"/>
        <w:keepNext/>
        <w:spacing w:after="110" w:before="220"/>
      </w:pPr>
      <w:r>
        <w:rPr>
          <w:b/>
          <w:bCs/>
          <w:color w:val="1A1A1A"/>
          <w:sz w:val="21"/>
          <w:szCs w:val="21"/>
        </w:rPr>
        <w:t xml:space="preserve">5. Utility function</w:t>
      </w:r>
    </w:p>
    <w:p>
      <w:pPr>
        <w:spacing w:after="120" w:line="300"/>
      </w:pPr>
      <w:r>
        <w:rPr>
          <w:color w:val="1A1A1A"/>
          <w:sz w:val="20"/>
          <w:szCs w:val="20"/>
        </w:rPr>
        <w:t xml:space="preserve">Five probability equivalences over terminal wealth, at 90%, 100%, 115%, 130% and 145% of the corpus, against anchors at 85% and 160%.</w:t>
      </w:r>
    </w:p>
    <w:p>
      <w:pPr>
        <w:spacing w:after="120" w:line="300"/>
      </w:pPr>
      <w:r>
        <w:rPr>
          <w:i/>
          <w:iCs/>
          <w:color w:val="56554F"/>
          <w:sz w:val="19"/>
          <w:szCs w:val="19"/>
        </w:rPr>
        <w:t xml:space="preserve">Why it is asked that way. </w:t>
      </w:r>
      <w:r>
        <w:rPr>
          <w:color w:val="56554F"/>
          <w:sz w:val="19"/>
          <w:szCs w:val="19"/>
        </w:rPr>
        <w:t xml:space="preserve">Five answers against one parameter, so the fit is over-identified and reports a residual. The anchors were narrowed from an earlier design because a wider range saturates: for a respondent with relative risk aversion near eight, everything above the lower anchor reads as near-certain and the questions stop discriminating.</w:t>
      </w:r>
    </w:p>
    <w:p>
      <w:pPr>
        <w:pStyle w:val="Heading3"/>
        <w:keepNext/>
        <w:spacing w:after="110" w:before="220"/>
      </w:pPr>
      <w:r>
        <w:rPr>
          <w:b/>
          <w:bCs/>
          <w:color w:val="1A1A1A"/>
          <w:sz w:val="21"/>
          <w:szCs w:val="21"/>
        </w:rPr>
        <w:t xml:space="preserve">6. Value function</w:t>
      </w:r>
    </w:p>
    <w:p>
      <w:pPr>
        <w:spacing w:after="120" w:line="300"/>
      </w:pPr>
      <w:r>
        <w:rPr>
          <w:color w:val="1A1A1A"/>
          <w:sz w:val="20"/>
          <w:szCs w:val="20"/>
        </w:rPr>
        <w:t xml:space="preserve">Three probability equivalences on gains and three on losses, each measured as a share of the corpus against a full-corpus anchor, plus one mixed gamble.</w:t>
      </w:r>
    </w:p>
    <w:p>
      <w:pPr>
        <w:spacing w:after="120" w:line="300"/>
      </w:pPr>
      <w:r>
        <w:rPr>
          <w:i/>
          <w:iCs/>
          <w:color w:val="56554F"/>
          <w:sz w:val="19"/>
          <w:szCs w:val="19"/>
        </w:rPr>
        <w:t xml:space="preserve">Why it is asked that way. </w:t>
      </w:r>
      <w:r>
        <w:rPr>
          <w:color w:val="56554F"/>
          <w:sz w:val="19"/>
          <w:szCs w:val="19"/>
        </w:rPr>
        <w:t xml:space="preserve">The gain and loss limbs give the two curvature parameters as regression slopes through the origin. The mixed gamble gives loss aversion.</w:t>
      </w:r>
    </w:p>
    <w:p>
      <w:pPr>
        <w:pStyle w:val="Heading3"/>
        <w:keepNext/>
        <w:spacing w:after="110" w:before="220"/>
      </w:pPr>
      <w:r>
        <w:rPr>
          <w:b/>
          <w:bCs/>
          <w:color w:val="1A1A1A"/>
          <w:sz w:val="21"/>
          <w:szCs w:val="21"/>
        </w:rPr>
        <w:t xml:space="preserve">7. Probability weighting</w:t>
      </w:r>
    </w:p>
    <w:p>
      <w:pPr>
        <w:spacing w:after="120" w:line="300"/>
      </w:pPr>
      <w:r>
        <w:rPr>
          <w:color w:val="1A1A1A"/>
          <w:sz w:val="20"/>
          <w:szCs w:val="20"/>
        </w:rPr>
        <w:t xml:space="preserve">Two certainty equivalents, for a 10% and a 90% chance of Rs 10,000.</w:t>
      </w:r>
    </w:p>
    <w:p>
      <w:pPr>
        <w:spacing w:after="120" w:line="300"/>
      </w:pPr>
      <w:r>
        <w:rPr>
          <w:i/>
          <w:iCs/>
          <w:color w:val="56554F"/>
          <w:sz w:val="19"/>
          <w:szCs w:val="19"/>
        </w:rPr>
        <w:t xml:space="preserve">Why it is asked that way. </w:t>
      </w:r>
      <w:r>
        <w:rPr>
          <w:color w:val="56554F"/>
          <w:sz w:val="19"/>
          <w:szCs w:val="19"/>
        </w:rPr>
        <w:t xml:space="preserve">Each answer reveals one point of the weighting function directly once the gain curvature is known. Two points against one parameter is deliberate: the residual is the diagnostic that says whether a single curvature parameter can describe the respondent at all.</w:t>
      </w:r>
    </w:p>
    <w:p>
      <w:pPr>
        <w:pStyle w:val="Heading3"/>
        <w:keepNext/>
        <w:spacing w:after="110" w:before="220"/>
      </w:pPr>
      <w:r>
        <w:rPr>
          <w:b/>
          <w:bCs/>
          <w:color w:val="1A1A1A"/>
          <w:sz w:val="21"/>
          <w:szCs w:val="21"/>
        </w:rPr>
        <w:t xml:space="preserve">8. Floors, income and aspiration</w:t>
      </w:r>
    </w:p>
    <w:p>
      <w:pPr>
        <w:spacing w:after="120" w:line="300"/>
      </w:pPr>
      <w:r>
        <w:rPr>
          <w:color w:val="1A1A1A"/>
          <w:sz w:val="20"/>
          <w:szCs w:val="20"/>
        </w:rPr>
        <w:t xml:space="preserve">The amount that must survive, the largest acceptable chance of breaching it, the annual cash draw, the aspiration, a hundred-point split between security and potential, and the expected wealth the respondent would give up for ten more percentage points of reaching the aspiration.</w:t>
      </w:r>
    </w:p>
    <w:p>
      <w:pPr>
        <w:spacing w:after="120" w:line="300"/>
      </w:pPr>
      <w:r>
        <w:rPr>
          <w:i/>
          <w:iCs/>
          <w:color w:val="56554F"/>
          <w:sz w:val="19"/>
          <w:szCs w:val="19"/>
        </w:rPr>
        <w:t xml:space="preserve">Why it is asked that way. </w:t>
      </w:r>
      <w:r>
        <w:rPr>
          <w:color w:val="56554F"/>
          <w:sz w:val="19"/>
          <w:szCs w:val="19"/>
        </w:rPr>
        <w:t xml:space="preserve">These are the inputs behavioral portfolio theory needs and expected utility theory has no place for. Three of the four SP/A primitives come straight out of this section rather than being assumed.</w:t>
      </w:r>
    </w:p>
    <w:p>
      <w:pPr>
        <w:spacing w:after="120" w:line="300"/>
      </w:pPr>
      <w:r>
        <w:rPr>
          <w:color w:val="56554F"/>
          <w:sz w:val="19"/>
          <w:szCs w:val="19"/>
        </w:rPr>
        <w:t xml:space="preserve">The full instrument, with the exact wording and the scoring key, is reproduced in Appendix A. It is also fielded live in the portal, which scores it on the device.</w:t>
      </w:r>
    </w:p>
    <w:p>
      <w:r>
        <w:br w:type="page"/>
      </w:r>
    </w:p>
    <w:p>
      <w:pPr>
        <w:pStyle w:val="Heading1"/>
        <w:keepNext/>
        <w:spacing w:after="160" w:before="380"/>
      </w:pPr>
      <w:r>
        <w:rPr>
          <w:b/>
          <w:bCs/>
          <w:color w:val="1A1A1A"/>
          <w:sz w:val="28"/>
          <w:szCs w:val="28"/>
        </w:rPr>
        <w:t xml:space="preserve">4. How the parameters are estimated</w:t>
      </w:r>
    </w:p>
    <w:p>
      <w:pPr>
        <w:pStyle w:val="Heading2"/>
        <w:keepNext/>
        <w:spacing w:after="110" w:before="300"/>
      </w:pPr>
      <w:r>
        <w:rPr>
          <w:b/>
          <w:bCs/>
          <w:color w:val="1A1A1A"/>
          <w:sz w:val="23"/>
          <w:szCs w:val="23"/>
        </w:rPr>
        <w:t xml:space="preserve">4.1 Utility, from probability equivalence</w:t>
      </w:r>
    </w:p>
    <w:p>
      <w:pPr>
        <w:spacing w:after="120" w:line="300"/>
      </w:pPr>
      <w:r>
        <w:rPr>
          <w:color w:val="1A1A1A"/>
          <w:sz w:val="20"/>
          <w:szCs w:val="20"/>
        </w:rPr>
        <w:t xml:space="preserve">For each intermediate wealth X the respondent names the probability p that makes a certain X indifferent to a gamble paying the high anchor with probability p and the low anchor otherwise. Under expected utility that probability is the normalised utility:</w:t>
      </w:r>
    </w:p>
    <w:p>
      <w:pPr>
        <w:pBdr>
          <w:left w:val="single" w:color="D8D6D0" w:sz="10" w:space="14"/>
        </w:pBdr>
        <w:spacing w:after="40" w:before="120" w:line="280"/>
        <w:ind w:left="340"/>
      </w:pPr>
      <w:r>
        <w:rPr>
          <w:rFonts w:ascii="Consolas" w:cs="Consolas" w:eastAsia="Consolas" w:hAnsi="Consolas"/>
          <w:color w:val="56554F"/>
          <w:sz w:val="19"/>
          <w:szCs w:val="19"/>
        </w:rPr>
        <w:t xml:space="preserve">p(X) = [ u(X) - u(lo) ] / [ u(hi) - u(lo) ]</w:t>
      </w:r>
    </w:p>
    <w:p>
      <w:pPr>
        <w:pBdr>
          <w:left w:val="single" w:color="D8D6D0" w:sz="10" w:space="14"/>
        </w:pBdr>
        <w:spacing w:after="150" w:before="0" w:line="280"/>
        <w:ind w:left="340"/>
      </w:pPr>
      <w:r>
        <w:rPr>
          <w:rFonts w:ascii="Consolas" w:cs="Consolas" w:eastAsia="Consolas" w:hAnsi="Consolas"/>
          <w:color w:val="56554F"/>
          <w:sz w:val="19"/>
          <w:szCs w:val="19"/>
        </w:rPr>
        <w:t xml:space="preserve">u(W) = ( W^(1-gamma) - 1 ) / ( 1 - gamma ),   with u(W) = ln W at gamma = 1</w:t>
      </w:r>
    </w:p>
    <w:p>
      <w:pPr>
        <w:spacing w:after="120" w:line="300"/>
      </w:pPr>
      <w:r>
        <w:rPr>
          <w:color w:val="1A1A1A"/>
          <w:sz w:val="20"/>
          <w:szCs w:val="20"/>
        </w:rPr>
        <w:t xml:space="preserve">Gamma is the value fitting the five answers best in least squares. The risk ladder gives an independent bracket on the same parameter, and we report it beside the estimate as a consistency check rather than averaging the two, because they are measured on different stakes and averaging would hide a disagreement that is worth seeing.</w:t>
      </w:r>
    </w:p>
    <w:p>
      <w:pPr>
        <w:pStyle w:val="Heading2"/>
        <w:keepNext/>
        <w:spacing w:after="110" w:before="300"/>
      </w:pPr>
      <w:r>
        <w:rPr>
          <w:b/>
          <w:bCs/>
          <w:color w:val="1A1A1A"/>
          <w:sz w:val="23"/>
          <w:szCs w:val="23"/>
        </w:rPr>
        <w:t xml:space="preserve">4.2 Value function</w:t>
      </w:r>
    </w:p>
    <w:p>
      <w:pPr>
        <w:spacing w:after="120" w:line="300"/>
      </w:pPr>
      <w:r>
        <w:rPr>
          <w:color w:val="1A1A1A"/>
          <w:sz w:val="20"/>
          <w:szCs w:val="20"/>
        </w:rPr>
        <w:t xml:space="preserve">The same method, now measured as gains and losses from a reference point rather than as levels of wealth, using linear probabilities during elicitation as the course's own worked answers do:</w:t>
      </w:r>
    </w:p>
    <w:p>
      <w:pPr>
        <w:pBdr>
          <w:left w:val="single" w:color="D8D6D0" w:sz="10" w:space="14"/>
        </w:pBdr>
        <w:spacing w:after="40" w:before="120" w:line="280"/>
        <w:ind w:left="340"/>
      </w:pPr>
      <w:r>
        <w:rPr>
          <w:rFonts w:ascii="Consolas" w:cs="Consolas" w:eastAsia="Consolas" w:hAnsi="Consolas"/>
          <w:color w:val="56554F"/>
          <w:sz w:val="19"/>
          <w:szCs w:val="19"/>
        </w:rPr>
        <w:t xml:space="preserve">v(x) = x^alpha           for x &gt;= 0</w:t>
      </w:r>
    </w:p>
    <w:p>
      <w:pPr>
        <w:pBdr>
          <w:left w:val="single" w:color="D8D6D0" w:sz="10" w:space="14"/>
        </w:pBdr>
        <w:spacing w:after="40" w:before="0" w:line="280"/>
        <w:ind w:left="340"/>
      </w:pPr>
      <w:r>
        <w:rPr>
          <w:rFonts w:ascii="Consolas" w:cs="Consolas" w:eastAsia="Consolas" w:hAnsi="Consolas"/>
          <w:color w:val="56554F"/>
          <w:sz w:val="19"/>
          <w:szCs w:val="19"/>
        </w:rPr>
        <w:t xml:space="preserve">v(x) = -lambda(-x)^beta  for x &lt; 0</w:t>
      </w:r>
    </w:p>
    <w:p>
      <w:pPr>
        <w:pBdr>
          <w:left w:val="single" w:color="D8D6D0" w:sz="10" w:space="14"/>
        </w:pBdr>
        <w:spacing w:after="40" w:before="0" w:line="280"/>
        <w:ind w:left="340"/>
      </w:pPr>
      <w:r>
        <w:rPr>
          <w:rFonts w:ascii="Consolas" w:cs="Consolas" w:eastAsia="Consolas" w:hAnsi="Consolas"/>
          <w:color w:val="56554F"/>
          <w:sz w:val="19"/>
          <w:szCs w:val="19"/>
        </w:rPr>
        <w:t xml:space="preserve"/>
      </w:r>
    </w:p>
    <w:p>
      <w:pPr>
        <w:pBdr>
          <w:left w:val="single" w:color="D8D6D0" w:sz="10" w:space="14"/>
        </w:pBdr>
        <w:spacing w:after="150" w:before="0" w:line="280"/>
        <w:ind w:left="340"/>
      </w:pPr>
      <w:r>
        <w:rPr>
          <w:rFonts w:ascii="Consolas" w:cs="Consolas" w:eastAsia="Consolas" w:hAnsi="Consolas"/>
          <w:color w:val="56554F"/>
          <w:sz w:val="19"/>
          <w:szCs w:val="19"/>
        </w:rPr>
        <w:t xml:space="preserve">p = (x / X)^alpha   so   ln p = alpha * ln(x / X)</w:t>
      </w:r>
    </w:p>
    <w:p>
      <w:pPr>
        <w:spacing w:after="120" w:line="300"/>
      </w:pPr>
      <w:r>
        <w:rPr>
          <w:color w:val="1A1A1A"/>
          <w:sz w:val="20"/>
          <w:szCs w:val="20"/>
        </w:rPr>
        <w:t xml:space="preserve">Alpha is therefore the slope of a regression of ln p on ln(x/X) through the origin, and the loss limb gives beta the same way.</w:t>
      </w:r>
    </w:p>
    <w:p>
      <w:pPr>
        <w:spacing w:after="120" w:line="300"/>
      </w:pPr>
      <w:r>
        <w:rPr>
          <w:color w:val="1A1A1A"/>
          <w:sz w:val="20"/>
          <w:szCs w:val="20"/>
        </w:rPr>
        <w:t xml:space="preserve">Loss aversion needs more care than it usually gets. The mixed gamble gives</w:t>
      </w:r>
    </w:p>
    <w:p>
      <w:pPr>
        <w:pBdr>
          <w:left w:val="single" w:color="D8D6D0" w:sz="10" w:space="14"/>
        </w:pBdr>
        <w:spacing w:after="150" w:before="120" w:line="280"/>
        <w:ind w:left="340"/>
      </w:pPr>
      <w:r>
        <w:rPr>
          <w:rFonts w:ascii="Consolas" w:cs="Consolas" w:eastAsia="Consolas" w:hAnsi="Consolas"/>
          <w:color w:val="56554F"/>
          <w:sz w:val="19"/>
          <w:szCs w:val="19"/>
        </w:rPr>
        <w:t xml:space="preserve">0.5 * G^alpha = 0.5 * lambda * L^beta</w:t>
      </w:r>
    </w:p>
    <w:p>
      <w:pPr>
        <w:spacing w:after="120" w:line="300"/>
      </w:pPr>
      <w:r>
        <w:rPr>
          <w:color w:val="1A1A1A"/>
          <w:sz w:val="20"/>
          <w:szCs w:val="20"/>
        </w:rPr>
        <w:t xml:space="preserve">which only yields a scale-free lambda when alpha equals beta. Where they differ, the two sides are not in the same units and the number that comes out depends on the stake it was elicited at. We quote lambda at the common curvature (alpha + beta) / 2, matching the convention used throughout the course, and report the two curvatures separately as diagnostics. A loss aversion coefficient without its curvature assumption attached is not a meaningful number, and the spread of published estimates between roughly 1.5 and 2.5 partly reflects different curvature assumptions rather than different populations.</w:t>
      </w:r>
    </w:p>
    <w:p>
      <w:pPr>
        <w:pStyle w:val="Heading2"/>
        <w:keepNext/>
        <w:spacing w:after="110" w:before="300"/>
      </w:pPr>
      <w:r>
        <w:rPr>
          <w:b/>
          <w:bCs/>
          <w:color w:val="1A1A1A"/>
          <w:sz w:val="23"/>
          <w:szCs w:val="23"/>
        </w:rPr>
        <w:t xml:space="preserve">4.3 Probability weighting</w:t>
      </w:r>
    </w:p>
    <w:p>
      <w:pPr>
        <w:spacing w:after="120" w:line="300"/>
      </w:pPr>
      <w:r>
        <w:rPr>
          <w:color w:val="1A1A1A"/>
          <w:sz w:val="20"/>
          <w:szCs w:val="20"/>
        </w:rPr>
        <w:t xml:space="preserve">A certainty equivalent C for a prospect paying the stake X with probability p satisfies C^alpha = w(p) * X^alpha, so each answer reveals one point of the weighting function directly once alpha is known. The Kahneman and Tversky one-parameter form is then fitted across those points:</w:t>
      </w:r>
    </w:p>
    <w:p>
      <w:pPr>
        <w:pBdr>
          <w:left w:val="single" w:color="D8D6D0" w:sz="10" w:space="14"/>
        </w:pBdr>
        <w:spacing w:after="150" w:before="120" w:line="280"/>
        <w:ind w:left="340"/>
      </w:pPr>
      <w:r>
        <w:rPr>
          <w:rFonts w:ascii="Consolas" w:cs="Consolas" w:eastAsia="Consolas" w:hAnsi="Consolas"/>
          <w:color w:val="56554F"/>
          <w:sz w:val="19"/>
          <w:szCs w:val="19"/>
        </w:rPr>
        <w:t xml:space="preserve">w(p) = p^g / [ p^g + (1-p)^g ]^(1/g)</w:t>
      </w:r>
    </w:p>
    <w:p>
      <w:pPr>
        <w:pStyle w:val="Heading2"/>
        <w:keepNext/>
        <w:spacing w:after="110" w:before="300"/>
      </w:pPr>
      <w:r>
        <w:rPr>
          <w:b/>
          <w:bCs/>
          <w:color w:val="1A1A1A"/>
          <w:sz w:val="23"/>
          <w:szCs w:val="23"/>
        </w:rPr>
        <w:t xml:space="preserve">4.4 Time preference</w:t>
      </w:r>
    </w:p>
    <w:p>
      <w:pPr>
        <w:spacing w:after="120" w:line="300"/>
      </w:pPr>
      <w:r>
        <w:rPr>
          <w:color w:val="1A1A1A"/>
          <w:sz w:val="20"/>
          <w:szCs w:val="20"/>
        </w:rPr>
        <w:t xml:space="preserve">Quasi-hyperbolic discounting, exactly identified from the two titrations:</w:t>
      </w:r>
    </w:p>
    <w:p>
      <w:pPr>
        <w:pBdr>
          <w:left w:val="single" w:color="D8D6D0" w:sz="10" w:space="14"/>
        </w:pBdr>
        <w:spacing w:after="40" w:before="120" w:line="280"/>
        <w:ind w:left="340"/>
      </w:pPr>
      <w:r>
        <w:rPr>
          <w:rFonts w:ascii="Consolas" w:cs="Consolas" w:eastAsia="Consolas" w:hAnsi="Consolas"/>
          <w:color w:val="56554F"/>
          <w:sz w:val="19"/>
          <w:szCs w:val="19"/>
        </w:rPr>
        <w:t xml:space="preserve">beta * delta^12 * 10,000 = beta * delta^13 * x13   =&gt;   delta = 10,000 / x13</w:t>
      </w:r>
    </w:p>
    <w:p>
      <w:pPr>
        <w:pBdr>
          <w:left w:val="single" w:color="D8D6D0" w:sz="10" w:space="14"/>
        </w:pBdr>
        <w:spacing w:after="150" w:before="0" w:line="280"/>
        <w:ind w:left="340"/>
      </w:pPr>
      <w:r>
        <w:rPr>
          <w:rFonts w:ascii="Consolas" w:cs="Consolas" w:eastAsia="Consolas" w:hAnsi="Consolas"/>
          <w:color w:val="56554F"/>
          <w:sz w:val="19"/>
          <w:szCs w:val="19"/>
        </w:rPr>
        <w:t xml:space="preserve">10,000 = beta * delta * x1                          =&gt;   beta  = 10,000 / (delta * x1)</w:t>
      </w:r>
    </w:p>
    <w:p>
      <w:pPr>
        <w:spacing w:after="120" w:line="300"/>
      </w:pPr>
      <w:r>
        <w:rPr>
          <w:color w:val="1A1A1A"/>
          <w:sz w:val="20"/>
          <w:szCs w:val="20"/>
        </w:rPr>
        <w:t xml:space="preserve">Beta below one is present bias: impatience felt about today specifically, over and above the rate at which the respondent discounts the future generally. The two have different remedies, which is why it is worth separating them.</w:t>
      </w:r>
    </w:p>
    <w:p>
      <w:pPr>
        <w:pStyle w:val="Heading1"/>
        <w:keepNext/>
        <w:spacing w:after="160" w:before="380"/>
      </w:pPr>
      <w:r>
        <w:rPr>
          <w:b/>
          <w:bCs/>
          <w:color w:val="1A1A1A"/>
          <w:sz w:val="28"/>
          <w:szCs w:val="28"/>
        </w:rPr>
        <w:t xml:space="preserve">5. Estimated preferences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800"/>
        <w:gridCol w:w="800"/>
        <w:gridCol w:w="800"/>
        <w:gridCol w:w="850"/>
        <w:gridCol w:w="900"/>
        <w:gridCol w:w="900"/>
        <w:gridCol w:w="1050"/>
        <w:gridCol w:w="1100"/>
      </w:tblGrid>
      <w:tr>
        <w:trPr>
          <w:tblHeader/>
        </w:trPr>
        <w:tc>
          <w:tcPr>
            <w:tcW w:type="dxa" w:w="7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
            </w:r>
          </w:p>
        </w:tc>
        <w:tc>
          <w:tcPr>
            <w:tcW w:type="dxa" w:w="8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gamma</w:t>
            </w:r>
          </w:p>
        </w:tc>
        <w:tc>
          <w:tcPr>
            <w:tcW w:type="dxa" w:w="8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alpha</w:t>
            </w:r>
          </w:p>
        </w:tc>
        <w:tc>
          <w:tcPr>
            <w:tcW w:type="dxa" w:w="8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beta</w:t>
            </w:r>
          </w:p>
        </w:tc>
        <w:tc>
          <w:tcPr>
            <w:tcW w:type="dxa" w:w="8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lambda</w:t>
            </w:r>
          </w:p>
        </w:tc>
        <w:tc>
          <w:tcPr>
            <w:tcW w:type="dxa" w:w="8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gamma w</w:t>
            </w:r>
          </w:p>
        </w:tc>
        <w:tc>
          <w:tcPr>
            <w:tcW w:type="dxa" w:w="9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present bias</w:t>
            </w:r>
          </w:p>
        </w:tc>
        <w:tc>
          <w:tcPr>
            <w:tcW w:type="dxa" w:w="9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discount</w:t>
            </w:r>
          </w:p>
        </w:tc>
        <w:tc>
          <w:tcPr>
            <w:tcW w:type="dxa" w:w="10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ladder bracket</w:t>
            </w:r>
          </w:p>
        </w:tc>
        <w:tc>
          <w:tcPr>
            <w:tcW w:type="dxa" w:w="11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utility fit R2</w:t>
            </w:r>
          </w:p>
        </w:tc>
      </w:tr>
      <w:tr>
        <w:tc>
          <w:tcPr>
            <w:tcW w:type="dxa" w:w="7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M1</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6.02</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0.73</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0.89</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2.94</w:t>
            </w:r>
          </w:p>
        </w:tc>
        <w:tc>
          <w:tcPr>
            <w:tcW w:type="dxa" w:w="8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0.57</w:t>
            </w:r>
          </w:p>
        </w:tc>
        <w:tc>
          <w:tcPr>
            <w:tcW w:type="dxa" w:w="9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0.98</w:t>
            </w:r>
          </w:p>
        </w:tc>
        <w:tc>
          <w:tcPr>
            <w:tcW w:type="dxa" w:w="9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2%</w:t>
            </w:r>
          </w:p>
        </w:tc>
        <w:tc>
          <w:tcPr>
            <w:tcW w:type="dxa" w:w="10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5.79 to 6.33</w:t>
            </w:r>
          </w:p>
        </w:tc>
        <w:tc>
          <w:tcPr>
            <w:tcW w:type="dxa" w:w="11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0.994</w:t>
            </w:r>
          </w:p>
        </w:tc>
      </w:tr>
      <w:tr>
        <w:tc>
          <w:tcPr>
            <w:tcW w:type="dxa" w:w="7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M2</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3.39</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0.84</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0.88</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2.28</w:t>
            </w:r>
          </w:p>
        </w:tc>
        <w:tc>
          <w:tcPr>
            <w:tcW w:type="dxa" w:w="8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0.64</w:t>
            </w:r>
          </w:p>
        </w:tc>
        <w:tc>
          <w:tcPr>
            <w:tcW w:type="dxa" w:w="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0.98</w:t>
            </w:r>
          </w:p>
        </w:tc>
        <w:tc>
          <w:tcPr>
            <w:tcW w:type="dxa" w:w="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9%</w:t>
            </w:r>
          </w:p>
        </w:tc>
        <w:tc>
          <w:tcPr>
            <w:tcW w:type="dxa" w:w="10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0.00 to 3.32</w:t>
            </w:r>
          </w:p>
        </w:tc>
        <w:tc>
          <w:tcPr>
            <w:tcW w:type="dxa" w:w="11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0.994</w:t>
            </w:r>
          </w:p>
        </w:tc>
      </w:tr>
      <w:tr>
        <w:tc>
          <w:tcPr>
            <w:tcW w:type="dxa" w:w="7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M3</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1.49</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0.96</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0.91</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1.60</w:t>
            </w:r>
          </w:p>
        </w:tc>
        <w:tc>
          <w:tcPr>
            <w:tcW w:type="dxa" w:w="8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0.74</w:t>
            </w:r>
          </w:p>
        </w:tc>
        <w:tc>
          <w:tcPr>
            <w:tcW w:type="dxa" w:w="9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1.00</w:t>
            </w:r>
          </w:p>
        </w:tc>
        <w:tc>
          <w:tcPr>
            <w:tcW w:type="dxa" w:w="9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38%</w:t>
            </w:r>
          </w:p>
        </w:tc>
        <w:tc>
          <w:tcPr>
            <w:tcW w:type="dxa" w:w="10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0.00 to 3.32</w:t>
            </w:r>
          </w:p>
        </w:tc>
        <w:tc>
          <w:tcPr>
            <w:tcW w:type="dxa" w:w="11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0.998</w:t>
            </w:r>
          </w:p>
        </w:tc>
      </w:tr>
      <w:tr>
        <w:tc>
          <w:tcPr>
            <w:tcW w:type="dxa" w:w="7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M4</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3.70</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0.86</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0.89</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2.46</w:t>
            </w:r>
          </w:p>
        </w:tc>
        <w:tc>
          <w:tcPr>
            <w:tcW w:type="dxa" w:w="8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0.62</w:t>
            </w:r>
          </w:p>
        </w:tc>
        <w:tc>
          <w:tcPr>
            <w:tcW w:type="dxa" w:w="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0.80</w:t>
            </w:r>
          </w:p>
        </w:tc>
        <w:tc>
          <w:tcPr>
            <w:tcW w:type="dxa" w:w="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15%</w:t>
            </w:r>
          </w:p>
        </w:tc>
        <w:tc>
          <w:tcPr>
            <w:tcW w:type="dxa" w:w="10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3.32 to 4.91</w:t>
            </w:r>
          </w:p>
        </w:tc>
        <w:tc>
          <w:tcPr>
            <w:tcW w:type="dxa" w:w="11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0.998</w:t>
            </w:r>
          </w:p>
        </w:tc>
      </w:tr>
      <w:tr>
        <w:tc>
          <w:tcPr>
            <w:tcW w:type="dxa" w:w="7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M5</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7.93</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0.68</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0.95</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3.44</w:t>
            </w:r>
          </w:p>
        </w:tc>
        <w:tc>
          <w:tcPr>
            <w:tcW w:type="dxa" w:w="8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0.57</w:t>
            </w:r>
          </w:p>
        </w:tc>
        <w:tc>
          <w:tcPr>
            <w:tcW w:type="dxa" w:w="9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0.98</w:t>
            </w:r>
          </w:p>
        </w:tc>
        <w:tc>
          <w:tcPr>
            <w:tcW w:type="dxa" w:w="9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15%</w:t>
            </w:r>
          </w:p>
        </w:tc>
        <w:tc>
          <w:tcPr>
            <w:tcW w:type="dxa" w:w="10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7.47 to 7.53</w:t>
            </w:r>
          </w:p>
        </w:tc>
        <w:tc>
          <w:tcPr>
            <w:tcW w:type="dxa" w:w="11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1.000</w:t>
            </w:r>
          </w:p>
        </w:tc>
      </w:tr>
      <w:tr>
        <w:tc>
          <w:tcPr>
            <w:tcW w:type="dxa" w:w="7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M6</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2.25</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0.92</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0.88</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1.87</w:t>
            </w:r>
          </w:p>
        </w:tc>
        <w:tc>
          <w:tcPr>
            <w:tcW w:type="dxa" w:w="8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0.49</w:t>
            </w:r>
          </w:p>
        </w:tc>
        <w:tc>
          <w:tcPr>
            <w:tcW w:type="dxa" w:w="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0.86</w:t>
            </w:r>
          </w:p>
        </w:tc>
        <w:tc>
          <w:tcPr>
            <w:tcW w:type="dxa" w:w="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48%</w:t>
            </w:r>
          </w:p>
        </w:tc>
        <w:tc>
          <w:tcPr>
            <w:tcW w:type="dxa" w:w="10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0.00 to 3.32</w:t>
            </w:r>
          </w:p>
        </w:tc>
        <w:tc>
          <w:tcPr>
            <w:tcW w:type="dxa" w:w="11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0.999</w:t>
            </w:r>
          </w:p>
        </w:tc>
      </w:tr>
    </w:tbl>
    <w:p>
      <w:pPr>
        <w:spacing w:after="120" w:line="300"/>
      </w:pPr>
      <w:r>
        <w:rPr>
          <w:color w:val="56554F"/>
          <w:sz w:val="18"/>
          <w:szCs w:val="18"/>
        </w:rPr>
        <w:t xml:space="preserve">Every column is fitted from the survey. Gamma is relative risk aversion over terminal wealth, alpha and beta are the curvature of the value function on gains and on losses, lambda is loss aversion quoted at the common curvature, gamma w is the weighting curvature, and the present bias factor is the quasi-hyperbolic beta.</w:t>
      </w:r>
    </w:p>
    <w:p>
      <w:pPr>
        <w:pStyle w:val="Heading2"/>
        <w:keepNext/>
        <w:spacing w:after="110" w:before="300"/>
      </w:pPr>
      <w:r>
        <w:rPr>
          <w:b/>
          <w:bCs/>
          <w:color w:val="1A1A1A"/>
          <w:sz w:val="23"/>
          <w:szCs w:val="23"/>
        </w:rPr>
        <w:t xml:space="preserve">5.1 Does the instrument actually recover what it is aiming at</w:t>
      </w:r>
    </w:p>
    <w:p>
      <w:pPr>
        <w:spacing w:after="120" w:line="300"/>
      </w:pPr>
      <w:r>
        <w:rPr>
          <w:color w:val="1A1A1A"/>
          <w:sz w:val="20"/>
          <w:szCs w:val="20"/>
        </w:rPr>
        <w:t xml:space="preserve">Because the pilot responses were generated from known preference profiles, we can ask what the instrument loses to rounding and to the coarseness of the questions. The answer is the honest measure of its precision, and it is the reason we built the pilot this way rather than inventing plausible-looking numbers directly.</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1600"/>
        <w:gridCol w:w="1180"/>
        <w:gridCol w:w="1180"/>
        <w:gridCol w:w="1180"/>
        <w:gridCol w:w="1180"/>
        <w:gridCol w:w="1180"/>
        <w:gridCol w:w="1180"/>
      </w:tblGrid>
      <w:tr>
        <w:trPr>
          <w:tblHeader/>
        </w:trPr>
        <w:tc>
          <w:tcPr>
            <w:tcW w:type="dxa" w:w="16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
            </w:r>
          </w:p>
        </w:tc>
        <w:tc>
          <w:tcPr>
            <w:tcW w:type="dxa" w:w="118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gamma</w:t>
            </w:r>
          </w:p>
        </w:tc>
        <w:tc>
          <w:tcPr>
            <w:tcW w:type="dxa" w:w="118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alpha</w:t>
            </w:r>
          </w:p>
        </w:tc>
        <w:tc>
          <w:tcPr>
            <w:tcW w:type="dxa" w:w="118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beta</w:t>
            </w:r>
          </w:p>
        </w:tc>
        <w:tc>
          <w:tcPr>
            <w:tcW w:type="dxa" w:w="118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lambda</w:t>
            </w:r>
          </w:p>
        </w:tc>
        <w:tc>
          <w:tcPr>
            <w:tcW w:type="dxa" w:w="118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gamma w</w:t>
            </w:r>
          </w:p>
        </w:tc>
        <w:tc>
          <w:tcPr>
            <w:tcW w:type="dxa" w:w="118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present bias</w:t>
            </w:r>
          </w:p>
        </w:tc>
      </w:tr>
      <w:tr>
        <w:tc>
          <w:tcPr>
            <w:tcW w:type="dxa" w:w="16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Mean absolute error</w:t>
            </w:r>
          </w:p>
        </w:tc>
        <w:tc>
          <w:tcPr>
            <w:tcW w:type="dxa" w:w="118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4.8%</w:t>
            </w:r>
          </w:p>
        </w:tc>
        <w:tc>
          <w:tcPr>
            <w:tcW w:type="dxa" w:w="118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1.9%</w:t>
            </w:r>
          </w:p>
        </w:tc>
        <w:tc>
          <w:tcPr>
            <w:tcW w:type="dxa" w:w="118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1.3%</w:t>
            </w:r>
          </w:p>
        </w:tc>
        <w:tc>
          <w:tcPr>
            <w:tcW w:type="dxa" w:w="118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1.9%</w:t>
            </w:r>
          </w:p>
        </w:tc>
        <w:tc>
          <w:tcPr>
            <w:tcW w:type="dxa" w:w="118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2.8%</w:t>
            </w:r>
          </w:p>
        </w:tc>
        <w:tc>
          <w:tcPr>
            <w:tcW w:type="dxa" w:w="118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0.8%</w:t>
            </w:r>
          </w:p>
        </w:tc>
      </w:tr>
    </w:tbl>
    <w:p>
      <w:pPr>
        <w:spacing w:after="120" w:line="300"/>
      </w:pPr>
      <w:r>
        <w:rPr>
          <w:color w:val="1A1A1A"/>
          <w:sz w:val="20"/>
          <w:szCs w:val="20"/>
        </w:rPr>
        <w:t xml:space="preserve">Relative risk aversion is the loosest of the six, which is expected: it is the parameter furthest from any single question, and the one whose questions saturate fastest at the top of the range. The value-function parameters come back tightly because each is identified by a regression across three answers rather than by one. Present bias is the tightest because it is exactly identified by a ratio of two stated amounts, with no fitting involved at all.</w:t>
      </w:r>
    </w:p>
    <w:p>
      <w:pPr>
        <w:spacing w:after="60" w:before="160"/>
        <w:jc w:val="center"/>
      </w:pPr>
      <w:r>
        <w:drawing>
          <wp:inline distT="0" distB="0" distL="0" distR="0">
            <wp:extent cx="44577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3009900"/>
                    </a:xfrm>
                    <a:prstGeom prst="rect">
                      <a:avLst/>
                    </a:prstGeom>
                  </pic:spPr>
                </pic:pic>
              </a:graphicData>
            </a:graphic>
          </wp:inline>
        </w:drawing>
      </w:r>
    </w:p>
    <w:p>
      <w:pPr>
        <w:spacing w:after="220"/>
        <w:jc w:val="center"/>
      </w:pPr>
      <w:r>
        <w:rPr>
          <w:i/>
          <w:iCs/>
          <w:color w:val="56554F"/>
          <w:sz w:val="17"/>
          <w:szCs w:val="17"/>
        </w:rPr>
        <w:t xml:space="preserve">Figure 1. Fitted utility functions. Nothing here is assumed: each curve is the CRRA function that best fits that member's five probability equivalences.</w:t>
      </w:r>
    </w:p>
    <w:p>
      <w:pPr>
        <w:spacing w:after="60" w:before="160"/>
        <w:jc w:val="center"/>
      </w:pPr>
      <w:r>
        <w:drawing>
          <wp:inline distT="0" distB="0" distL="0" distR="0">
            <wp:extent cx="44577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3124200"/>
                    </a:xfrm>
                    <a:prstGeom prst="rect">
                      <a:avLst/>
                    </a:prstGeom>
                  </pic:spPr>
                </pic:pic>
              </a:graphicData>
            </a:graphic>
          </wp:inline>
        </w:drawing>
      </w:r>
    </w:p>
    <w:p>
      <w:pPr>
        <w:spacing w:after="220"/>
        <w:jc w:val="center"/>
      </w:pPr>
      <w:r>
        <w:rPr>
          <w:i/>
          <w:iCs/>
          <w:color w:val="56554F"/>
          <w:sz w:val="17"/>
          <w:szCs w:val="17"/>
        </w:rPr>
        <w:t xml:space="preserve">Figure 2. Fitted value functions. The kink at the origin, rather than the curvature on either side, is what makes a fair bet unattractive.</w:t>
      </w:r>
    </w:p>
    <w:p>
      <w:pPr>
        <w:spacing w:after="60" w:before="160"/>
        <w:jc w:val="center"/>
      </w:pPr>
      <w:r>
        <w:drawing>
          <wp:inline distT="0" distB="0" distL="0" distR="0">
            <wp:extent cx="44577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4010025"/>
                    </a:xfrm>
                    <a:prstGeom prst="rect">
                      <a:avLst/>
                    </a:prstGeom>
                  </pic:spPr>
                </pic:pic>
              </a:graphicData>
            </a:graphic>
          </wp:inline>
        </w:drawing>
      </w:r>
    </w:p>
    <w:p>
      <w:pPr>
        <w:spacing w:after="220"/>
        <w:jc w:val="center"/>
      </w:pPr>
      <w:r>
        <w:rPr>
          <w:i/>
          <w:iCs/>
          <w:color w:val="56554F"/>
          <w:sz w:val="17"/>
          <w:szCs w:val="17"/>
        </w:rPr>
        <w:t xml:space="preserve">Figure 3. Fitted weighting functions, with the two elicited points shown as dots. Every member overweights long shots and underweights near-certainties, to different degrees.</w:t>
      </w:r>
    </w:p>
    <w:p>
      <w:pPr>
        <w:spacing w:after="60" w:before="160"/>
        <w:jc w:val="center"/>
      </w:pPr>
      <w:r>
        <w:drawing>
          <wp:inline distT="0" distB="0" distL="0" distR="0">
            <wp:extent cx="44577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552700"/>
                    </a:xfrm>
                    <a:prstGeom prst="rect">
                      <a:avLst/>
                    </a:prstGeom>
                  </pic:spPr>
                </pic:pic>
              </a:graphicData>
            </a:graphic>
          </wp:inline>
        </w:drawing>
      </w:r>
    </w:p>
    <w:p>
      <w:pPr>
        <w:spacing w:after="220"/>
        <w:jc w:val="center"/>
      </w:pPr>
      <w:r>
        <w:rPr>
          <w:i/>
          <w:iCs/>
          <w:color w:val="56554F"/>
          <w:sz w:val="17"/>
          <w:szCs w:val="17"/>
        </w:rPr>
        <w:t xml:space="preserve">Figure 4. Personality profile of the group, scored against the BFI-2 norming sample.</w:t>
      </w:r>
    </w:p>
    <w:p>
      <w:r>
        <w:br w:type="page"/>
      </w:r>
    </w:p>
    <w:p>
      <w:pPr>
        <w:pStyle w:val="Heading1"/>
        <w:keepNext/>
        <w:spacing w:after="160" w:before="380"/>
      </w:pPr>
      <w:r>
        <w:rPr>
          <w:b/>
          <w:bCs/>
          <w:color w:val="1A1A1A"/>
          <w:sz w:val="28"/>
          <w:szCs w:val="28"/>
        </w:rPr>
        <w:t xml:space="preserve">6. Building the portfolios</w:t>
      </w:r>
    </w:p>
    <w:p>
      <w:pPr>
        <w:pStyle w:val="Heading2"/>
        <w:keepNext/>
        <w:spacing w:after="110" w:before="300"/>
      </w:pPr>
      <w:r>
        <w:rPr>
          <w:b/>
          <w:bCs/>
          <w:color w:val="1A1A1A"/>
          <w:sz w:val="23"/>
          <w:szCs w:val="23"/>
        </w:rPr>
        <w:t xml:space="preserve">6.1 The risky engine, and how much to believe it</w:t>
      </w:r>
    </w:p>
    <w:p>
      <w:pPr>
        <w:spacing w:after="120" w:line="300"/>
      </w:pPr>
      <w:r>
        <w:rPr>
          <w:color w:val="1A1A1A"/>
          <w:sz w:val="20"/>
          <w:szCs w:val="20"/>
        </w:rPr>
        <w:t xml:space="preserve">Problem Statement 1 reports a maximum-Sharpe portfolio returning 24.9% at 18.0% volatility, against a risk-free rate of 6.5%. That is a Sharpe ratio of 1.03, and it is not a number anyone should plan a household balance sheet around. Those expected returns are three-year in-sample means taken over a strong run in Indian equities, and the standard error on a mean return estimated that way is roughly seventeen percent a year.</w:t>
      </w:r>
    </w:p>
    <w:p>
      <w:pPr>
        <w:spacing w:after="120" w:line="300"/>
      </w:pPr>
      <w:r>
        <w:rPr>
          <w:color w:val="1A1A1A"/>
          <w:sz w:val="20"/>
          <w:szCs w:val="20"/>
        </w:rPr>
        <w:t xml:space="preserve">Volatility estimates from the same data are far more reliable than mean estimates, so we carry the volatility across unchanged and shrink only the expected return toward a long-run prior. Advice is given on the base case. The other two are reported beside it throughout, so the reader can see how much of a recommendation is the client and how much is the estimate.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400"/>
        <w:gridCol w:w="2100"/>
      </w:tblGrid>
      <w:tr>
        <w:trPr>
          <w:tblHeader/>
        </w:trPr>
        <w:tc>
          <w:tcPr>
            <w:tcW w:type="dxa" w:w="22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Input set</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Return</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Volatility</w:t>
            </w:r>
          </w:p>
        </w:tc>
        <w:tc>
          <w:tcPr>
            <w:tcW w:type="dxa" w:w="14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Sharpe</w:t>
            </w:r>
          </w:p>
        </w:tc>
        <w:tc>
          <w:tcPr>
            <w:tcW w:type="dxa" w:w="21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What it assumes</w:t>
            </w:r>
          </w:p>
        </w:tc>
      </w:tr>
      <w:tr>
        <w:tc>
          <w:tcPr>
            <w:tcW w:type="dxa" w:w="22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PS1 as reported</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24.9%</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18.0%</w:t>
            </w:r>
          </w:p>
        </w:tc>
        <w:tc>
          <w:tcPr>
            <w:tcW w:type="dxa" w:w="14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1.03</w:t>
            </w:r>
          </w:p>
        </w:tc>
        <w:tc>
          <w:tcPr>
            <w:tcW w:type="dxa" w:w="21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The PS1 means survive out of sample</w:t>
            </w:r>
          </w:p>
        </w:tc>
      </w:tr>
      <w:tr>
        <w:tc>
          <w:tcPr>
            <w:tcW w:type="dxa" w:w="22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bCs/>
                <w:color w:val="1A1A1A"/>
                <w:sz w:val="18"/>
                <w:szCs w:val="18"/>
              </w:rPr>
              <w:t xml:space="preserve">Base case</w:t>
            </w:r>
          </w:p>
        </w:tc>
        <w:tc>
          <w:tcPr>
            <w:tcW w:type="dxa" w:w="15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bCs/>
                <w:color w:val="1A1A1A"/>
                <w:sz w:val="18"/>
                <w:szCs w:val="18"/>
              </w:rPr>
              <w:t xml:space="preserve">15.2%</w:t>
            </w:r>
          </w:p>
        </w:tc>
        <w:tc>
          <w:tcPr>
            <w:tcW w:type="dxa" w:w="15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bCs/>
                <w:color w:val="1A1A1A"/>
                <w:sz w:val="18"/>
                <w:szCs w:val="18"/>
              </w:rPr>
              <w:t xml:space="preserve">18.0%</w:t>
            </w:r>
          </w:p>
        </w:tc>
        <w:tc>
          <w:tcPr>
            <w:tcW w:type="dxa" w:w="1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bCs/>
                <w:color w:val="1A1A1A"/>
                <w:sz w:val="18"/>
                <w:szCs w:val="18"/>
              </w:rPr>
              <w:t xml:space="preserve">0.49</w:t>
            </w:r>
          </w:p>
        </w:tc>
        <w:tc>
          <w:tcPr>
            <w:tcW w:type="dxa" w:w="21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bCs/>
                <w:color w:val="1A1A1A"/>
                <w:sz w:val="18"/>
                <w:szCs w:val="18"/>
              </w:rPr>
              <w:t xml:space="preserve">A quarter of the tilt premium survives</w:t>
            </w:r>
          </w:p>
        </w:tc>
      </w:tr>
      <w:tr>
        <w:tc>
          <w:tcPr>
            <w:tcW w:type="dxa" w:w="22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Stress case</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12.0%</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18.0%</w:t>
            </w:r>
          </w:p>
        </w:tc>
        <w:tc>
          <w:tcPr>
            <w:tcW w:type="dxa" w:w="14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0.31</w:t>
            </w:r>
          </w:p>
        </w:tc>
        <w:tc>
          <w:tcPr>
            <w:tcW w:type="dxa" w:w="21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None of it survives</w:t>
            </w:r>
          </w:p>
        </w:tc>
      </w:tr>
    </w:tbl>
    <w:p>
      <w:pPr>
        <w:pStyle w:val="Heading2"/>
        <w:keepNext/>
        <w:spacing w:after="110" w:before="300"/>
      </w:pPr>
      <w:r>
        <w:rPr>
          <w:b/>
          <w:bCs/>
          <w:color w:val="1A1A1A"/>
          <w:sz w:val="23"/>
          <w:szCs w:val="23"/>
        </w:rPr>
        <w:t xml:space="preserve">6.2 The expected utility portfolio</w:t>
      </w:r>
    </w:p>
    <w:p>
      <w:pPr>
        <w:spacing w:after="120" w:line="300"/>
      </w:pPr>
      <w:r>
        <w:rPr>
          <w:color w:val="1A1A1A"/>
          <w:sz w:val="20"/>
          <w:szCs w:val="20"/>
        </w:rPr>
        <w:t xml:space="preserve">Maximising U = E(r) - 0.5 * A * sigma^2 along the capital allocation line gives the textbook solution, with A read off as the respondent's relative risk aversion:</w:t>
      </w:r>
    </w:p>
    <w:p>
      <w:pPr>
        <w:pBdr>
          <w:left w:val="single" w:color="D8D6D0" w:sz="10" w:space="14"/>
        </w:pBdr>
        <w:spacing w:after="150" w:before="120" w:line="280"/>
        <w:ind w:left="340"/>
      </w:pPr>
      <w:r>
        <w:rPr>
          <w:rFonts w:ascii="Consolas" w:cs="Consolas" w:eastAsia="Consolas" w:hAnsi="Consolas"/>
          <w:color w:val="56554F"/>
          <w:sz w:val="19"/>
          <w:szCs w:val="19"/>
        </w:rPr>
        <w:t xml:space="preserve">y* = [ E(rP) - rf ] / ( A * sigmaP^2 )</w:t>
      </w:r>
    </w:p>
    <w:p>
      <w:pPr>
        <w:spacing w:after="120" w:line="300"/>
      </w:pPr>
      <w:r>
        <w:rPr>
          <w:color w:val="1A1A1A"/>
          <w:sz w:val="20"/>
          <w:szCs w:val="20"/>
        </w:rPr>
        <w:t xml:space="preserve">We cap borrowing at zero as a policy choice rather than a theoretical one, and report the unconstrained y* as well, because the gap between the two is the entire argument for having a leverage policy. On base-case inputs, two of the six members would be told to borrow if the cap were lifted.</w:t>
      </w:r>
    </w:p>
    <w:p>
      <w:pPr>
        <w:pStyle w:val="Heading2"/>
        <w:keepNext/>
        <w:spacing w:after="110" w:before="300"/>
      </w:pPr>
      <w:r>
        <w:rPr>
          <w:b/>
          <w:bCs/>
          <w:color w:val="1A1A1A"/>
          <w:sz w:val="23"/>
          <w:szCs w:val="23"/>
        </w:rPr>
        <w:t xml:space="preserve">6.3 The behavioral portfolios</w:t>
      </w:r>
    </w:p>
    <w:p>
      <w:pPr>
        <w:spacing w:after="120" w:line="300"/>
      </w:pPr>
      <w:r>
        <w:rPr>
          <w:color w:val="1A1A1A"/>
          <w:sz w:val="20"/>
          <w:szCs w:val="20"/>
        </w:rPr>
        <w:t xml:space="preserve">Two of them, following Shefrin and Statman (2000), who present both. The single-account version maximises the SP/A objective of Lopes (1987). SP/A distorts the decumulative distribution rather than individual probabilities: fear pulls weight onto the worst outcomes, hope pushes it onto the best, and the two are mixed according to how the respondent divides their hundred points.</w:t>
      </w:r>
    </w:p>
    <w:p>
      <w:pPr>
        <w:pBdr>
          <w:left w:val="single" w:color="D8D6D0" w:sz="10" w:space="14"/>
        </w:pBdr>
        <w:spacing w:after="40" w:before="120" w:line="280"/>
        <w:ind w:left="340"/>
      </w:pPr>
      <w:r>
        <w:rPr>
          <w:rFonts w:ascii="Consolas" w:cs="Consolas" w:eastAsia="Consolas" w:hAnsi="Consolas"/>
          <w:color w:val="56554F"/>
          <w:sz w:val="19"/>
          <w:szCs w:val="19"/>
        </w:rPr>
        <w:t xml:space="preserve">h(D) = omega * D^(1+qs)  +  (1 - omega) * [ 1 - (1-D)^(1+qp) ]</w:t>
      </w:r>
    </w:p>
    <w:p>
      <w:pPr>
        <w:pBdr>
          <w:left w:val="single" w:color="D8D6D0" w:sz="10" w:space="14"/>
        </w:pBdr>
        <w:spacing w:after="150" w:before="0" w:line="280"/>
        <w:ind w:left="340"/>
      </w:pPr>
      <w:r>
        <w:rPr>
          <w:rFonts w:ascii="Consolas" w:cs="Consolas" w:eastAsia="Consolas" w:hAnsi="Consolas"/>
          <w:color w:val="56554F"/>
          <w:sz w:val="19"/>
          <w:szCs w:val="19"/>
        </w:rPr>
        <w:t xml:space="preserve">V    = integral of h(D(w)) dw   +   betaA * Pr( W &gt;= A )</w:t>
      </w:r>
    </w:p>
    <w:p>
      <w:pPr>
        <w:spacing w:after="120" w:line="300"/>
      </w:pPr>
      <w:r>
        <w:rPr>
          <w:color w:val="1A1A1A"/>
          <w:sz w:val="20"/>
          <w:szCs w:val="20"/>
        </w:rPr>
        <w:t xml:space="preserve">Three of the four primitives are elicited rather than assumed. Omega is the respondent's own security split. BetaA is their stated trade-off, in rupees of expected terminal wealth per unit of probability. The two shape parameters are mapped from parameters that were themselves elicited: fear from loss aversion as qs = lambda - 1, hope from weighting curvature as qp = 1/gamma_w - 1. Both mappings are monotone and both vanish at the neutral value. We state them here rather than burying them, because they are the one modelling choice in the whole engine that the data does not force.</w:t>
      </w:r>
    </w:p>
    <w:p>
      <w:pPr>
        <w:spacing w:after="120" w:line="300"/>
      </w:pPr>
      <w:r>
        <w:rPr>
          <w:color w:val="1A1A1A"/>
          <w:sz w:val="20"/>
          <w:szCs w:val="20"/>
        </w:rPr>
        <w:t xml:space="preserve">The layered version follows Das, Markowitz, Scheid and Statman (2010). Each layer is a separate mental account with its own goal, its own threshold and its own acceptable failure probability, and the covariance between layers is never consulted while they are built. That omission is not an oversight in the model, it is the model. Since the efficient frontier is defined precisely by those covariance terms, a portfolio assembled without reference to them lands inside the frontier except by coincidence, and Section 7 measures by how much.</w:t>
      </w:r>
    </w:p>
    <w:p>
      <w:pPr>
        <w:pStyle w:val="Heading2"/>
        <w:keepNext/>
        <w:spacing w:after="110" w:before="300"/>
      </w:pPr>
      <w:r>
        <w:rPr>
          <w:b/>
          <w:bCs/>
          <w:color w:val="1A1A1A"/>
          <w:sz w:val="23"/>
          <w:szCs w:val="23"/>
        </w:rPr>
        <w:t xml:space="preserve">6.4 Why the floor is tested at one year and not only at the horizon</w:t>
      </w:r>
    </w:p>
    <w:p>
      <w:pPr>
        <w:spacing w:after="120" w:line="300"/>
      </w:pPr>
      <w:r>
        <w:rPr>
          <w:color w:val="1A1A1A"/>
          <w:sz w:val="20"/>
          <w:szCs w:val="20"/>
        </w:rPr>
        <w:t xml:space="preserve">This is the one design decision that materially changes the results, so it is worth being explicit about. Tested only at the finish, a floor almost never binds. Over five years at any positive Sharpe ratio, equity beats cash even deep in the left tail, which is the time diversification effect. In our first pass every member's SP/A optimum sat at the corner, fully invested, including the two who are most fear-driven, and the behavioral model had nothing to say that the mean-variance model had not already said.</w:t>
      </w:r>
    </w:p>
    <w:p>
      <w:pPr>
        <w:spacing w:after="120" w:line="300"/>
      </w:pPr>
      <w:r>
        <w:rPr>
          <w:color w:val="1A1A1A"/>
          <w:sz w:val="20"/>
          <w:szCs w:val="20"/>
        </w:rPr>
        <w:t xml:space="preserve">That is a modelling artefact rather than a finding. A floor a client can breach in year two is not a floor they experience as safe, and behavioral portfolio theory is explicitly about how a holding feels along the way, not only about where it lands. Enforcing the floor at the one-year mark as well as at the horizon is what makes it bite, and it is what separates the two theories for the members it should separate.</w:t>
      </w:r>
    </w:p>
    <w:p>
      <w:pPr>
        <w:pStyle w:val="Heading2"/>
        <w:keepNext/>
        <w:spacing w:after="110" w:before="300"/>
      </w:pPr>
      <w:r>
        <w:rPr>
          <w:b/>
          <w:bCs/>
          <w:color w:val="1A1A1A"/>
          <w:sz w:val="23"/>
          <w:szCs w:val="23"/>
        </w:rPr>
        <w:t xml:space="preserve">6.5 The aspiration sleeve, derived rather than assumed</w:t>
      </w:r>
    </w:p>
    <w:p>
      <w:pPr>
        <w:spacing w:after="120" w:line="300"/>
      </w:pPr>
      <w:r>
        <w:rPr>
          <w:color w:val="1A1A1A"/>
          <w:sz w:val="20"/>
          <w:szCs w:val="20"/>
        </w:rPr>
        <w:t xml:space="preserve">The aspiration layer is a concentrated equal-weighted cut of the same 60 names. Its volatility follows from the two statistics the Problem Statement 1 report already publishes, the 34.71% average volatility and the 0.2383 average pairwise correlation:</w:t>
      </w:r>
    </w:p>
    <w:p>
      <w:pPr>
        <w:pBdr>
          <w:left w:val="single" w:color="D8D6D0" w:sz="10" w:space="14"/>
        </w:pBdr>
        <w:spacing w:after="150" w:before="120" w:line="280"/>
        <w:ind w:left="340"/>
      </w:pPr>
      <w:r>
        <w:rPr>
          <w:rFonts w:ascii="Consolas" w:cs="Consolas" w:eastAsia="Consolas" w:hAnsi="Consolas"/>
          <w:color w:val="56554F"/>
          <w:sz w:val="19"/>
          <w:szCs w:val="19"/>
        </w:rPr>
        <w:t xml:space="preserve">sigma(n) = 34.71% * sqrt( 1/n + (1 - 1/n) * 0.2383 )</w:t>
      </w:r>
    </w:p>
    <w:p>
      <w:pPr>
        <w:spacing w:after="120" w:line="300"/>
      </w:pPr>
      <w:r>
        <w:rPr>
          <w:color w:val="1A1A1A"/>
          <w:sz w:val="20"/>
          <w:szCs w:val="20"/>
        </w:rPr>
        <w:t xml:space="preserve">Its expected return follows from the one fact the optimisation already established. The core is the maximum-Sharpe portfolio of this universe, so in sample it is the tangency portfolio, and every subset of the universe is exactly priced off it:</w:t>
      </w:r>
    </w:p>
    <w:p>
      <w:pPr>
        <w:pBdr>
          <w:left w:val="single" w:color="D8D6D0" w:sz="10" w:space="14"/>
        </w:pBdr>
        <w:spacing w:after="40" w:before="120" w:line="280"/>
        <w:ind w:left="340"/>
      </w:pPr>
      <w:r>
        <w:rPr>
          <w:rFonts w:ascii="Consolas" w:cs="Consolas" w:eastAsia="Consolas" w:hAnsi="Consolas"/>
          <w:color w:val="56554F"/>
          <w:sz w:val="19"/>
          <w:szCs w:val="19"/>
        </w:rPr>
        <w:t xml:space="preserve">beta      = Cov(sleeve, core) / sigma_core^2</w:t>
      </w:r>
    </w:p>
    <w:p>
      <w:pPr>
        <w:pBdr>
          <w:left w:val="single" w:color="D8D6D0" w:sz="10" w:space="14"/>
        </w:pBdr>
        <w:spacing w:after="150" w:before="0" w:line="280"/>
        <w:ind w:left="340"/>
      </w:pPr>
      <w:r>
        <w:rPr>
          <w:rFonts w:ascii="Consolas" w:cs="Consolas" w:eastAsia="Consolas" w:hAnsi="Consolas"/>
          <w:color w:val="56554F"/>
          <w:sz w:val="19"/>
          <w:szCs w:val="19"/>
        </w:rPr>
        <w:t xml:space="preserve">mu_sleeve = rf + beta * ( mu_core - rf )</w:t>
      </w:r>
    </w:p>
    <w:p>
      <w:pPr>
        <w:spacing w:after="120" w:line="300"/>
      </w:pPr>
      <w:r>
        <w:rPr>
          <w:color w:val="1A1A1A"/>
          <w:sz w:val="20"/>
          <w:szCs w:val="20"/>
        </w:rPr>
        <w:t xml:space="preserve">This matters more than it looks. An earlier version of the engine estimated the sleeve's return from an order statistic on the cross-section, and it implied an eight-name sleeve with an in-sample Sharpe ratio of 1.23 against the core's 1.03. That is impossible by construction, since no subset can beat the maximum-Sharpe portfolio of the same universe, and the error showed up downstream as a layered portfolio that appeared to beat the capital allocation line. Pricing the sleeve properly also has a consequence worth stating plainly: beta does not change with how many names the sleeve holds, so concentrating it adds idiosyncratic variance and earns nothing for it.</w:t>
      </w:r>
    </w:p>
    <w:p>
      <w:r>
        <w:br w:type="page"/>
      </w:r>
    </w:p>
    <w:p>
      <w:pPr>
        <w:pStyle w:val="Heading1"/>
        <w:keepNext/>
        <w:spacing w:after="160" w:before="380"/>
      </w:pPr>
      <w:r>
        <w:rPr>
          <w:b/>
          <w:bCs/>
          <w:color w:val="1A1A1A"/>
          <w:sz w:val="28"/>
          <w:szCs w:val="28"/>
        </w:rPr>
        <w:t xml:space="preserve">7. Recommended portfolios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20"/>
        <w:gridCol w:w="900"/>
        <w:gridCol w:w="900"/>
        <w:gridCol w:w="950"/>
        <w:gridCol w:w="950"/>
        <w:gridCol w:w="1000"/>
        <w:gridCol w:w="1000"/>
        <w:gridCol w:w="1080"/>
        <w:gridCol w:w="1100"/>
      </w:tblGrid>
      <w:tr>
        <w:trPr>
          <w:tblHeader/>
        </w:trPr>
        <w:tc>
          <w:tcPr>
            <w:tcW w:type="dxa" w:w="62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
            </w:r>
          </w:p>
        </w:tc>
        <w:tc>
          <w:tcPr>
            <w:tcW w:type="dxa" w:w="9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EUT equity</w:t>
            </w:r>
          </w:p>
        </w:tc>
        <w:tc>
          <w:tcPr>
            <w:tcW w:type="dxa" w:w="9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SP/A equity</w:t>
            </w:r>
          </w:p>
        </w:tc>
        <w:tc>
          <w:tcPr>
            <w:tcW w:type="dxa" w:w="9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EUT return</w:t>
            </w:r>
          </w:p>
        </w:tc>
        <w:tc>
          <w:tcPr>
            <w:tcW w:type="dxa" w:w="9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EUT vol</w:t>
            </w:r>
          </w:p>
        </w:tc>
        <w:tc>
          <w:tcPr>
            <w:tcW w:type="dxa" w:w="10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Layered return</w:t>
            </w:r>
          </w:p>
        </w:tc>
        <w:tc>
          <w:tcPr>
            <w:tcW w:type="dxa" w:w="10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Layered vol</w:t>
            </w:r>
          </w:p>
        </w:tc>
        <w:tc>
          <w:tcPr>
            <w:tcW w:type="dxa" w:w="108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Layering cost</w:t>
            </w:r>
          </w:p>
        </w:tc>
        <w:tc>
          <w:tcPr>
            <w:tcW w:type="dxa" w:w="11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P(aspiration)</w:t>
            </w:r>
          </w:p>
        </w:tc>
      </w:tr>
      <w:tr>
        <w:tc>
          <w:tcPr>
            <w:tcW w:type="dxa" w:w="62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M1</w:t>
            </w:r>
          </w:p>
        </w:tc>
        <w:tc>
          <w:tcPr>
            <w:tcW w:type="dxa" w:w="9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45%</w:t>
            </w:r>
          </w:p>
        </w:tc>
        <w:tc>
          <w:tcPr>
            <w:tcW w:type="dxa" w:w="9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30%</w:t>
            </w:r>
          </w:p>
        </w:tc>
        <w:tc>
          <w:tcPr>
            <w:tcW w:type="dxa" w:w="9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10.4%</w:t>
            </w:r>
          </w:p>
        </w:tc>
        <w:tc>
          <w:tcPr>
            <w:tcW w:type="dxa" w:w="9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8.1%</w:t>
            </w:r>
          </w:p>
        </w:tc>
        <w:tc>
          <w:tcPr>
            <w:tcW w:type="dxa" w:w="10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8.7%</w:t>
            </w:r>
          </w:p>
        </w:tc>
        <w:tc>
          <w:tcPr>
            <w:tcW w:type="dxa" w:w="10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5.4%</w:t>
            </w:r>
          </w:p>
        </w:tc>
        <w:tc>
          <w:tcPr>
            <w:tcW w:type="dxa" w:w="108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41 bp</w:t>
            </w:r>
          </w:p>
        </w:tc>
        <w:tc>
          <w:tcPr>
            <w:tcW w:type="dxa" w:w="11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38%</w:t>
            </w:r>
          </w:p>
        </w:tc>
      </w:tr>
      <w:tr>
        <w:tc>
          <w:tcPr>
            <w:tcW w:type="dxa" w:w="62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M2</w:t>
            </w:r>
          </w:p>
        </w:tc>
        <w:tc>
          <w:tcPr>
            <w:tcW w:type="dxa" w:w="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80%</w:t>
            </w:r>
          </w:p>
        </w:tc>
        <w:tc>
          <w:tcPr>
            <w:tcW w:type="dxa" w:w="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100%</w:t>
            </w:r>
          </w:p>
        </w:tc>
        <w:tc>
          <w:tcPr>
            <w:tcW w:type="dxa" w:w="9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13.5%</w:t>
            </w:r>
          </w:p>
        </w:tc>
        <w:tc>
          <w:tcPr>
            <w:tcW w:type="dxa" w:w="9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14.3%</w:t>
            </w:r>
          </w:p>
        </w:tc>
        <w:tc>
          <w:tcPr>
            <w:tcW w:type="dxa" w:w="10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10.0%</w:t>
            </w:r>
          </w:p>
        </w:tc>
        <w:tc>
          <w:tcPr>
            <w:tcW w:type="dxa" w:w="10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7.6%</w:t>
            </w:r>
          </w:p>
        </w:tc>
        <w:tc>
          <w:tcPr>
            <w:tcW w:type="dxa" w:w="108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19 bp</w:t>
            </w:r>
          </w:p>
        </w:tc>
        <w:tc>
          <w:tcPr>
            <w:tcW w:type="dxa" w:w="11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59%</w:t>
            </w:r>
          </w:p>
        </w:tc>
      </w:tr>
      <w:tr>
        <w:tc>
          <w:tcPr>
            <w:tcW w:type="dxa" w:w="62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M3</w:t>
            </w:r>
          </w:p>
        </w:tc>
        <w:tc>
          <w:tcPr>
            <w:tcW w:type="dxa" w:w="9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100%</w:t>
            </w:r>
          </w:p>
        </w:tc>
        <w:tc>
          <w:tcPr>
            <w:tcW w:type="dxa" w:w="9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100%</w:t>
            </w:r>
          </w:p>
        </w:tc>
        <w:tc>
          <w:tcPr>
            <w:tcW w:type="dxa" w:w="9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15.2%</w:t>
            </w:r>
          </w:p>
        </w:tc>
        <w:tc>
          <w:tcPr>
            <w:tcW w:type="dxa" w:w="9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18.0%</w:t>
            </w:r>
          </w:p>
        </w:tc>
        <w:tc>
          <w:tcPr>
            <w:tcW w:type="dxa" w:w="10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12.1%</w:t>
            </w:r>
          </w:p>
        </w:tc>
        <w:tc>
          <w:tcPr>
            <w:tcW w:type="dxa" w:w="10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13.6%</w:t>
            </w:r>
          </w:p>
        </w:tc>
        <w:tc>
          <w:tcPr>
            <w:tcW w:type="dxa" w:w="108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103 bp</w:t>
            </w:r>
          </w:p>
        </w:tc>
        <w:tc>
          <w:tcPr>
            <w:tcW w:type="dxa" w:w="11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38%</w:t>
            </w:r>
          </w:p>
        </w:tc>
      </w:tr>
      <w:tr>
        <w:tc>
          <w:tcPr>
            <w:tcW w:type="dxa" w:w="62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M4</w:t>
            </w:r>
          </w:p>
        </w:tc>
        <w:tc>
          <w:tcPr>
            <w:tcW w:type="dxa" w:w="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73%</w:t>
            </w:r>
          </w:p>
        </w:tc>
        <w:tc>
          <w:tcPr>
            <w:tcW w:type="dxa" w:w="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100%</w:t>
            </w:r>
          </w:p>
        </w:tc>
        <w:tc>
          <w:tcPr>
            <w:tcW w:type="dxa" w:w="9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12.9%</w:t>
            </w:r>
          </w:p>
        </w:tc>
        <w:tc>
          <w:tcPr>
            <w:tcW w:type="dxa" w:w="9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13.1%</w:t>
            </w:r>
          </w:p>
        </w:tc>
        <w:tc>
          <w:tcPr>
            <w:tcW w:type="dxa" w:w="10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9.9%</w:t>
            </w:r>
          </w:p>
        </w:tc>
        <w:tc>
          <w:tcPr>
            <w:tcW w:type="dxa" w:w="10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8.4%</w:t>
            </w:r>
          </w:p>
        </w:tc>
        <w:tc>
          <w:tcPr>
            <w:tcW w:type="dxa" w:w="108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63 bp</w:t>
            </w:r>
          </w:p>
        </w:tc>
        <w:tc>
          <w:tcPr>
            <w:tcW w:type="dxa" w:w="11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32%</w:t>
            </w:r>
          </w:p>
        </w:tc>
      </w:tr>
      <w:tr>
        <w:tc>
          <w:tcPr>
            <w:tcW w:type="dxa" w:w="62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M5</w:t>
            </w:r>
          </w:p>
        </w:tc>
        <w:tc>
          <w:tcPr>
            <w:tcW w:type="dxa" w:w="9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34%</w:t>
            </w:r>
          </w:p>
        </w:tc>
        <w:tc>
          <w:tcPr>
            <w:tcW w:type="dxa" w:w="9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37%</w:t>
            </w:r>
          </w:p>
        </w:tc>
        <w:tc>
          <w:tcPr>
            <w:tcW w:type="dxa" w:w="9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9.5%</w:t>
            </w:r>
          </w:p>
        </w:tc>
        <w:tc>
          <w:tcPr>
            <w:tcW w:type="dxa" w:w="9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6.1%</w:t>
            </w:r>
          </w:p>
        </w:tc>
        <w:tc>
          <w:tcPr>
            <w:tcW w:type="dxa" w:w="10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9.1%</w:t>
            </w:r>
          </w:p>
        </w:tc>
        <w:tc>
          <w:tcPr>
            <w:tcW w:type="dxa" w:w="10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5.3%</w:t>
            </w:r>
          </w:p>
        </w:tc>
        <w:tc>
          <w:tcPr>
            <w:tcW w:type="dxa" w:w="108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2 bp</w:t>
            </w:r>
          </w:p>
        </w:tc>
        <w:tc>
          <w:tcPr>
            <w:tcW w:type="dxa" w:w="11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91%</w:t>
            </w:r>
          </w:p>
        </w:tc>
      </w:tr>
      <w:tr>
        <w:tc>
          <w:tcPr>
            <w:tcW w:type="dxa" w:w="62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M6</w:t>
            </w:r>
          </w:p>
        </w:tc>
        <w:tc>
          <w:tcPr>
            <w:tcW w:type="dxa" w:w="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100%</w:t>
            </w:r>
          </w:p>
        </w:tc>
        <w:tc>
          <w:tcPr>
            <w:tcW w:type="dxa" w:w="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100%</w:t>
            </w:r>
          </w:p>
        </w:tc>
        <w:tc>
          <w:tcPr>
            <w:tcW w:type="dxa" w:w="9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15.2%</w:t>
            </w:r>
          </w:p>
        </w:tc>
        <w:tc>
          <w:tcPr>
            <w:tcW w:type="dxa" w:w="9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18.0%</w:t>
            </w:r>
          </w:p>
        </w:tc>
        <w:tc>
          <w:tcPr>
            <w:tcW w:type="dxa" w:w="10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12.3%</w:t>
            </w:r>
          </w:p>
        </w:tc>
        <w:tc>
          <w:tcPr>
            <w:tcW w:type="dxa" w:w="10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14.2%</w:t>
            </w:r>
          </w:p>
        </w:tc>
        <w:tc>
          <w:tcPr>
            <w:tcW w:type="dxa" w:w="108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107 bp</w:t>
            </w:r>
          </w:p>
        </w:tc>
        <w:tc>
          <w:tcPr>
            <w:tcW w:type="dxa" w:w="11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10%</w:t>
            </w:r>
          </w:p>
        </w:tc>
      </w:tr>
    </w:tbl>
    <w:p>
      <w:pPr>
        <w:spacing w:after="60" w:before="160"/>
        <w:jc w:val="center"/>
      </w:pPr>
      <w:r>
        <w:drawing>
          <wp:inline distT="0" distB="0" distL="0" distR="0">
            <wp:extent cx="44577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2828925"/>
                    </a:xfrm>
                    <a:prstGeom prst="rect">
                      <a:avLst/>
                    </a:prstGeom>
                  </pic:spPr>
                </pic:pic>
              </a:graphicData>
            </a:graphic>
          </wp:inline>
        </w:drawing>
      </w:r>
    </w:p>
    <w:p>
      <w:pPr>
        <w:spacing w:after="220"/>
        <w:jc w:val="center"/>
      </w:pPr>
      <w:r>
        <w:rPr>
          <w:i/>
          <w:iCs/>
          <w:color w:val="56554F"/>
          <w:sz w:val="17"/>
          <w:szCs w:val="17"/>
        </w:rPr>
        <w:t xml:space="preserve">Figure 5. The two theories side by side. Where the bars differ, the floor is doing the work.</w:t>
      </w:r>
    </w:p>
    <w:p>
      <w:pPr>
        <w:spacing w:after="60" w:before="160"/>
        <w:jc w:val="center"/>
      </w:pPr>
      <w:r>
        <w:drawing>
          <wp:inline distT="0" distB="0" distL="0" distR="0">
            <wp:extent cx="44577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2686050"/>
                    </a:xfrm>
                    <a:prstGeom prst="rect">
                      <a:avLst/>
                    </a:prstGeom>
                  </pic:spPr>
                </pic:pic>
              </a:graphicData>
            </a:graphic>
          </wp:inline>
        </w:drawing>
      </w:r>
    </w:p>
    <w:p>
      <w:pPr>
        <w:spacing w:after="220"/>
        <w:jc w:val="center"/>
      </w:pPr>
      <w:r>
        <w:rPr>
          <w:i/>
          <w:iCs/>
          <w:color w:val="56554F"/>
          <w:sz w:val="17"/>
          <w:szCs w:val="17"/>
        </w:rPr>
        <w:t xml:space="preserve">Figure 6. Every layered portfolio sits below the capital allocation line. The vertical drop is what the layering costs at that level of risk.</w:t>
      </w:r>
    </w:p>
    <w:p>
      <w:pPr>
        <w:spacing w:after="60" w:before="160"/>
        <w:jc w:val="center"/>
      </w:pPr>
      <w:r>
        <w:drawing>
          <wp:inline distT="0" distB="0" distL="0" distR="0">
            <wp:extent cx="44577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57700" cy="2828925"/>
                    </a:xfrm>
                    <a:prstGeom prst="rect">
                      <a:avLst/>
                    </a:prstGeom>
                  </pic:spPr>
                </pic:pic>
              </a:graphicData>
            </a:graphic>
          </wp:inline>
        </w:drawing>
      </w:r>
    </w:p>
    <w:p>
      <w:pPr>
        <w:spacing w:after="220"/>
        <w:jc w:val="center"/>
      </w:pPr>
      <w:r>
        <w:rPr>
          <w:i/>
          <w:iCs/>
          <w:color w:val="56554F"/>
          <w:sz w:val="17"/>
          <w:szCs w:val="17"/>
        </w:rPr>
        <w:t xml:space="preserve">Figure 7. How much of each corpus the three goals absorb. The security layer is funded first, at the risk-free rate, which is why it is large for the members with tight floors.</w:t>
      </w:r>
    </w:p>
    <w:p>
      <w:pPr>
        <w:spacing w:after="60" w:before="160"/>
        <w:jc w:val="center"/>
      </w:pPr>
      <w:r>
        <w:drawing>
          <wp:inline distT="0" distB="0" distL="0" distR="0">
            <wp:extent cx="44577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57700" cy="2867025"/>
                    </a:xfrm>
                    <a:prstGeom prst="rect">
                      <a:avLst/>
                    </a:prstGeom>
                  </pic:spPr>
                </pic:pic>
              </a:graphicData>
            </a:graphic>
          </wp:inline>
        </w:drawing>
      </w:r>
    </w:p>
    <w:p>
      <w:pPr>
        <w:spacing w:after="220"/>
        <w:jc w:val="center"/>
      </w:pPr>
      <w:r>
        <w:rPr>
          <w:i/>
          <w:iCs/>
          <w:color w:val="56554F"/>
          <w:sz w:val="17"/>
          <w:szCs w:val="17"/>
        </w:rPr>
        <w:t xml:space="preserve">Figure 8. The cost of concentrating the aspiration layer. Since the sleeve's beta does not change with the number of names, everything to the right of eight names is volatility bought for nothing.</w:t>
      </w:r>
    </w:p>
    <w:p>
      <w:pPr>
        <w:spacing w:after="60" w:before="160"/>
        <w:jc w:val="center"/>
      </w:pPr>
      <w:r>
        <w:drawing>
          <wp:inline distT="0" distB="0" distL="0" distR="0">
            <wp:extent cx="44577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57700" cy="2114550"/>
                    </a:xfrm>
                    <a:prstGeom prst="rect">
                      <a:avLst/>
                    </a:prstGeom>
                  </pic:spPr>
                </pic:pic>
              </a:graphicData>
            </a:graphic>
          </wp:inline>
        </w:drawing>
      </w:r>
    </w:p>
    <w:p>
      <w:pPr>
        <w:spacing w:after="220"/>
        <w:jc w:val="center"/>
      </w:pPr>
      <w:r>
        <w:rPr>
          <w:i/>
          <w:iCs/>
          <w:color w:val="56554F"/>
          <w:sz w:val="17"/>
          <w:szCs w:val="17"/>
        </w:rPr>
        <w:t xml:space="preserve">Figure 9. What the layered portfolio buys and what it gives up.</w:t>
      </w:r>
    </w:p>
    <w:p>
      <w:pPr>
        <w:spacing w:after="60" w:before="160"/>
        <w:jc w:val="center"/>
      </w:pPr>
      <w:r>
        <w:drawing>
          <wp:inline distT="0" distB="0" distL="0" distR="0">
            <wp:extent cx="44577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57700" cy="2838450"/>
                    </a:xfrm>
                    <a:prstGeom prst="rect">
                      <a:avLst/>
                    </a:prstGeom>
                  </pic:spPr>
                </pic:pic>
              </a:graphicData>
            </a:graphic>
          </wp:inline>
        </w:drawing>
      </w:r>
    </w:p>
    <w:p>
      <w:pPr>
        <w:spacing w:after="220"/>
        <w:jc w:val="center"/>
      </w:pPr>
      <w:r>
        <w:rPr>
          <w:i/>
          <w:iCs/>
          <w:color w:val="56554F"/>
          <w:sz w:val="17"/>
          <w:szCs w:val="17"/>
        </w:rPr>
        <w:t xml:space="preserve">Figure 10. Terminal wealth distributions at each member's own horizon. The layered portfolio has the thinner left tail and the shorter right one, which is the trade it exists to make.</w:t>
      </w:r>
    </w:p>
    <w:p>
      <w:r>
        <w:br w:type="page"/>
      </w:r>
    </w:p>
    <w:p>
      <w:pPr>
        <w:pStyle w:val="Heading1"/>
        <w:keepNext/>
        <w:spacing w:after="160" w:before="380"/>
      </w:pPr>
      <w:r>
        <w:rPr>
          <w:b/>
          <w:bCs/>
          <w:color w:val="1A1A1A"/>
          <w:sz w:val="28"/>
          <w:szCs w:val="28"/>
        </w:rPr>
        <w:t xml:space="preserve">8. Member by member</w:t>
      </w:r>
    </w:p>
    <w:p>
      <w:pPr>
        <w:spacing w:after="120" w:line="300"/>
      </w:pPr>
      <w:r>
        <w:rPr>
          <w:color w:val="1A1A1A"/>
          <w:sz w:val="20"/>
          <w:szCs w:val="20"/>
        </w:rPr>
        <w:t xml:space="preserve">Each of the six, with the recommendation and the reasoning behind it. The personality commentary in each block is generated by the rules in Section 9, applied to that member's scores, so the same inputs always produce the same advice.</w:t>
      </w:r>
    </w:p>
    <w:p>
      <w:pPr>
        <w:pStyle w:val="Heading2"/>
        <w:keepNext/>
        <w:spacing w:after="110" w:before="300"/>
      </w:pPr>
      <w:r>
        <w:rPr>
          <w:b/>
          <w:bCs/>
          <w:color w:val="1A1A1A"/>
          <w:sz w:val="23"/>
          <w:szCs w:val="23"/>
        </w:rPr>
        <w:t xml:space="preserve">Member 1: Cautious accumulator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1500"/>
        <w:gridCol w:w="1350"/>
        <w:gridCol w:w="1500"/>
        <w:gridCol w:w="1500"/>
      </w:tblGrid>
      <w:tr>
        <w:trPr>
          <w:tblHeader/>
        </w:trPr>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Risk aversion</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Loss aversion</w:t>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Present bias</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Floor</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Aspiration</w:t>
            </w:r>
          </w:p>
        </w:tc>
      </w:tr>
      <w:tr>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Estimated</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6.02</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2.94</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0.98</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Rs 8 lakh at 5%</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Rs 14 lakh</w:t>
            </w:r>
          </w:p>
        </w:tc>
      </w:tr>
    </w:tbl>
    <w:p>
      <w:pPr>
        <w:spacing w:after="120" w:line="300"/>
      </w:pPr>
      <w:r>
        <w:rPr>
          <w:color w:val="1A1A1A"/>
          <w:sz w:val="20"/>
          <w:szCs w:val="20"/>
        </w:rPr>
        <w:t xml:space="preserve">Expected utility theory puts 45% of the corpus in the risky portfolio, from a relative risk aversion of 6.02 alone. The SP/A optimum is 30%, because the floor of Rs 8 lakh cannot be held to a 5% breach probability at the one-year mark above that weight. The 15% difference is the price of the floor, and it is a price this member has explicitly said they want to pay.</w:t>
      </w:r>
    </w:p>
    <w:p>
      <w:pPr>
        <w:spacing w:after="120" w:line="300"/>
      </w:pPr>
      <w:r>
        <w:rPr>
          <w:color w:val="1A1A1A"/>
          <w:sz w:val="20"/>
          <w:szCs w:val="20"/>
        </w:rPr>
        <w:t xml:space="preserve">The layered portfolio puts 73% in the security layer, 0% in the income layer and 27% in the aspiration layer. Together they come to 8.7% at 5.4% volatility, against the 9.1% the capital allocation line would have paid for the same risk. That is 41 basis points a year, or about Rs 3,284 on this corpus. It raises the chance of holding the floor and lowers the chance of reaching the aspiration, from 38% to 14%.</w:t>
      </w:r>
    </w:p>
    <w:p>
      <w:pPr>
        <w:spacing w:after="120" w:line="300"/>
      </w:pPr>
      <w:r>
        <w:rPr>
          <w:b/>
          <w:bCs/>
          <w:color w:val="1A1A1A"/>
          <w:sz w:val="19"/>
          <w:szCs w:val="19"/>
        </w:rPr>
        <w:t xml:space="preserve">Anxiety will be the binding constraint, not the risk budget. </w:t>
      </w:r>
      <w:r>
        <w:rPr>
          <w:color w:val="1A1A1A"/>
          <w:sz w:val="19"/>
          <w:szCs w:val="19"/>
        </w:rPr>
        <w:t xml:space="preserve">Fund the security layer first and show it as a separate line before any discussion of return. Report performance annually rather than monthly: at a 17.97% volatility the probability of seeing a loss over any given month is about 44%, against roughly 12% over a year, and each of those printed losses is scaled by this member's loss aversion. Automate the contribution so the decision is not re-taken every month.</w:t>
      </w:r>
    </w:p>
    <w:p>
      <w:pPr>
        <w:spacing w:after="120" w:line="300"/>
      </w:pPr>
      <w:r>
        <w:rPr>
          <w:b/>
          <w:bCs/>
          <w:color w:val="1A1A1A"/>
          <w:sz w:val="19"/>
          <w:szCs w:val="19"/>
        </w:rPr>
        <w:t xml:space="preserve">A small aspiration layer, explained in familiar terms. </w:t>
      </w:r>
      <w:r>
        <w:rPr>
          <w:color w:val="1A1A1A"/>
          <w:sz w:val="19"/>
          <w:szCs w:val="19"/>
        </w:rPr>
        <w:t xml:space="preserve">Keep the aspiration layer token or absent, and describe the core portfolio in terms of the companies inside it rather than the optimisation behind it. Novel structures will be read as risk regardless of their statistics.</w:t>
      </w:r>
    </w:p>
    <w:p>
      <w:pPr>
        <w:spacing w:after="120" w:line="300"/>
      </w:pPr>
      <w:r>
        <w:rPr>
          <w:b/>
          <w:bCs/>
          <w:color w:val="1A1A1A"/>
          <w:sz w:val="19"/>
          <w:szCs w:val="19"/>
        </w:rPr>
        <w:t xml:space="preserve">Execution is reliable, so the plan can carry more moving parts. </w:t>
      </w:r>
      <w:r>
        <w:rPr>
          <w:color w:val="1A1A1A"/>
          <w:sz w:val="19"/>
          <w:szCs w:val="19"/>
        </w:rPr>
        <w:t xml:space="preserve">Threshold rebalancing, tax-loss harvesting and a staged entry are all realistic here. The failure mode to watch is over-monitoring: set an explicit review cadence so diligence does not turn into trading.</w:t>
      </w:r>
    </w:p>
    <w:p>
      <w:pPr>
        <w:pStyle w:val="Heading2"/>
        <w:keepNext/>
        <w:spacing w:after="110" w:before="300"/>
      </w:pPr>
      <w:r>
        <w:rPr>
          <w:b/>
          <w:bCs/>
          <w:color w:val="1A1A1A"/>
          <w:sz w:val="23"/>
          <w:szCs w:val="23"/>
        </w:rPr>
        <w:t xml:space="preserve">Member 2: Balanced planner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1500"/>
        <w:gridCol w:w="1350"/>
        <w:gridCol w:w="1500"/>
        <w:gridCol w:w="1500"/>
      </w:tblGrid>
      <w:tr>
        <w:trPr>
          <w:tblHeader/>
        </w:trPr>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Risk aversion</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Loss aversion</w:t>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Present bias</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Floor</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Aspiration</w:t>
            </w:r>
          </w:p>
        </w:tc>
      </w:tr>
      <w:tr>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Estimated</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3.39</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2.28</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0.98</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Rs 12 lakh at 10%</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Rs 26 lakh</w:t>
            </w:r>
          </w:p>
        </w:tc>
      </w:tr>
    </w:tbl>
    <w:p>
      <w:pPr>
        <w:spacing w:after="120" w:line="300"/>
      </w:pPr>
      <w:r>
        <w:rPr>
          <w:color w:val="1A1A1A"/>
          <w:sz w:val="20"/>
          <w:szCs w:val="20"/>
        </w:rPr>
        <w:t xml:space="preserve">Expected utility theory puts 80% of the corpus in the risky portfolio, from a relative risk aversion of 3.39 alone. The SP/A optimum is 100%, because the floor of Rs 12 lakh cannot be held to a 10% breach probability at the one-year mark above that weight. The 20% difference is the price of the floor, and it is a price this member has explicitly said they want to pay.</w:t>
      </w:r>
    </w:p>
    <w:p>
      <w:pPr>
        <w:spacing w:after="120" w:line="300"/>
      </w:pPr>
      <w:r>
        <w:rPr>
          <w:color w:val="1A1A1A"/>
          <w:sz w:val="20"/>
          <w:szCs w:val="20"/>
        </w:rPr>
        <w:t xml:space="preserve">The layered portfolio puts 58% in the security layer, 17% in the income layer and 25% in the aspiration layer. Together they come to 10.0% at 7.6% volatility, against the 10.2% the capital allocation line would have paid for the same risk. That is 19 basis points a year, or about Rs 2,858 on this corpus. It raises the chance of holding the floor and lowers the chance of reaching the aspiration, from 59% to 35%.</w:t>
      </w:r>
    </w:p>
    <w:p>
      <w:pPr>
        <w:spacing w:after="120" w:line="300"/>
      </w:pPr>
      <w:r>
        <w:rPr>
          <w:color w:val="1A1A1A"/>
          <w:sz w:val="19"/>
          <w:szCs w:val="19"/>
        </w:rPr>
        <w:t xml:space="preserve">Every domain sits within half a standard deviation of the norm and no preference parameter is extreme, so a standard advisory process is appropriate.</w:t>
      </w:r>
    </w:p>
    <w:p>
      <w:pPr>
        <w:pStyle w:val="Heading2"/>
        <w:keepNext/>
        <w:spacing w:after="110" w:before="300"/>
      </w:pPr>
      <w:r>
        <w:rPr>
          <w:b/>
          <w:bCs/>
          <w:color w:val="1A1A1A"/>
          <w:sz w:val="23"/>
          <w:szCs w:val="23"/>
        </w:rPr>
        <w:t xml:space="preserve">Member 3: Growth seeker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1500"/>
        <w:gridCol w:w="1350"/>
        <w:gridCol w:w="1500"/>
        <w:gridCol w:w="1500"/>
      </w:tblGrid>
      <w:tr>
        <w:trPr>
          <w:tblHeader/>
        </w:trPr>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Risk aversion</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Loss aversion</w:t>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Present bias</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Floor</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Aspiration</w:t>
            </w:r>
          </w:p>
        </w:tc>
      </w:tr>
      <w:tr>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Estimated</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1.49</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1.60</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1.00</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Rs 5 lakh at 20%</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Rs 30 lakh</w:t>
            </w:r>
          </w:p>
        </w:tc>
      </w:tr>
    </w:tbl>
    <w:p>
      <w:pPr>
        <w:spacing w:after="120" w:line="300"/>
      </w:pPr>
      <w:r>
        <w:rPr>
          <w:color w:val="1A1A1A"/>
          <w:sz w:val="20"/>
          <w:szCs w:val="20"/>
        </w:rPr>
        <w:t xml:space="preserve">Expected utility theory puts 100% of the corpus in the risky portfolio, from a relative risk aversion of 1.49 alone. Behavioral portfolio theory lands in the same place. The floor is loose enough relative to the horizon that it never binds, so the second question the behavioral model asks has no bite here, and the two theories agree.</w:t>
      </w:r>
    </w:p>
    <w:p>
      <w:pPr>
        <w:spacing w:after="120" w:line="300"/>
      </w:pPr>
      <w:r>
        <w:rPr>
          <w:color w:val="1A1A1A"/>
          <w:sz w:val="20"/>
          <w:szCs w:val="20"/>
        </w:rPr>
        <w:t xml:space="preserve">The layered portfolio puts 32% in the security layer, 0% in the income layer and 68% in the aspiration layer. Together they come to 12.1% at 13.6% volatility, against the 13.1% the capital allocation line would have paid for the same risk. That is 103 basis points a year, or about Rs 10,306 on this corpus. It raises the chance of holding the floor and lowers the chance of reaching the aspiration, from 38% to 19%.</w:t>
      </w:r>
    </w:p>
    <w:p>
      <w:pPr>
        <w:spacing w:after="120" w:line="300"/>
      </w:pPr>
      <w:r>
        <w:rPr>
          <w:b/>
          <w:bCs/>
          <w:color w:val="1A1A1A"/>
          <w:sz w:val="19"/>
          <w:szCs w:val="19"/>
        </w:rPr>
        <w:t xml:space="preserve">Low reactivity permits a higher equity weight than the risk score alone suggests. </w:t>
      </w:r>
      <w:r>
        <w:rPr>
          <w:color w:val="1A1A1A"/>
          <w:sz w:val="19"/>
          <w:szCs w:val="19"/>
        </w:rPr>
        <w:t xml:space="preserve">The mean-variance allocation can be implemented close to its unconstrained value. The risk here is the mirror image of anxiety: this member is unlikely to be shaken out of the position, but equally unlikely to review it, so put a calendar rebalance in place rather than relying on attention.</w:t>
      </w:r>
    </w:p>
    <w:p>
      <w:pPr>
        <w:spacing w:after="120" w:line="300"/>
      </w:pPr>
      <w:r>
        <w:rPr>
          <w:b/>
          <w:bCs/>
          <w:color w:val="1A1A1A"/>
          <w:sz w:val="19"/>
          <w:szCs w:val="19"/>
        </w:rPr>
        <w:t xml:space="preserve">Openness sustains the aspiration layer but invites thematic drift. </w:t>
      </w:r>
      <w:r>
        <w:rPr>
          <w:color w:val="1A1A1A"/>
          <w:sz w:val="19"/>
          <w:szCs w:val="19"/>
        </w:rPr>
        <w:t xml:space="preserve">Give the aspiration layer a real allocation, since suppressing it usually reappears as unsupervised trading outside the plan. Cap it in writing and require that any new theme be funded by selling something inside the same layer, so curiosity is spent from a fixed budget.</w:t>
      </w:r>
    </w:p>
    <w:p>
      <w:pPr>
        <w:spacing w:after="120" w:line="300"/>
      </w:pPr>
      <w:r>
        <w:rPr>
          <w:b/>
          <w:bCs/>
          <w:color w:val="1A1A1A"/>
          <w:sz w:val="19"/>
          <w:szCs w:val="19"/>
        </w:rPr>
        <w:t xml:space="preserve">Social comparison is the likely source of unplanned changes. </w:t>
      </w:r>
      <w:r>
        <w:rPr>
          <w:color w:val="1A1A1A"/>
          <w:sz w:val="19"/>
          <w:szCs w:val="19"/>
        </w:rPr>
        <w:t xml:space="preserve">Expect pressure from peer conversations about individual stocks. Pre-commit the review dates, and benchmark against the member's own goal funding level rather than against an index or against what a friend reports, since neither comparison is adjusted for risk.</w:t>
      </w:r>
    </w:p>
    <w:p>
      <w:pPr>
        <w:pStyle w:val="Heading2"/>
        <w:keepNext/>
        <w:spacing w:after="110" w:before="300"/>
      </w:pPr>
      <w:r>
        <w:rPr>
          <w:b/>
          <w:bCs/>
          <w:color w:val="1A1A1A"/>
          <w:sz w:val="23"/>
          <w:szCs w:val="23"/>
        </w:rPr>
        <w:t xml:space="preserve">Member 4: Impatient saver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1500"/>
        <w:gridCol w:w="1350"/>
        <w:gridCol w:w="1500"/>
        <w:gridCol w:w="1500"/>
      </w:tblGrid>
      <w:tr>
        <w:trPr>
          <w:tblHeader/>
        </w:trPr>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Risk aversion</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Loss aversion</w:t>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Present bias</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Floor</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Aspiration</w:t>
            </w:r>
          </w:p>
        </w:tc>
      </w:tr>
      <w:tr>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Estimated</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3.70</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2.46</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0.80</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Rs 4.50 lakh at 10%</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Rs 11 lakh</w:t>
            </w:r>
          </w:p>
        </w:tc>
      </w:tr>
    </w:tbl>
    <w:p>
      <w:pPr>
        <w:spacing w:after="120" w:line="300"/>
      </w:pPr>
      <w:r>
        <w:rPr>
          <w:color w:val="1A1A1A"/>
          <w:sz w:val="20"/>
          <w:szCs w:val="20"/>
        </w:rPr>
        <w:t xml:space="preserve">Expected utility theory puts 73% of the corpus in the risky portfolio, from a relative risk aversion of 3.70 alone. The SP/A optimum is 100%, because the floor of Rs 4.50 lakh cannot be held to a 10% breach probability at the one-year mark above that weight. The 27% difference is the price of the floor, and it is a price this member has explicitly said they want to pay.</w:t>
      </w:r>
    </w:p>
    <w:p>
      <w:pPr>
        <w:spacing w:after="120" w:line="300"/>
      </w:pPr>
      <w:r>
        <w:rPr>
          <w:color w:val="1A1A1A"/>
          <w:sz w:val="20"/>
          <w:szCs w:val="20"/>
        </w:rPr>
        <w:t xml:space="preserve">The layered portfolio puts 58% in the security layer, 0% in the income layer and 42% in the aspiration layer. Together they come to 9.9% at 8.4% volatility, against the 10.6% the capital allocation line would have paid for the same risk. That is 63 basis points a year, or about Rs 3,802 on this corpus. It raises the chance of holding the floor and lowers the chance of reaching the aspiration, from 32% to 9%.</w:t>
      </w:r>
    </w:p>
    <w:p>
      <w:pPr>
        <w:spacing w:after="120" w:line="300"/>
      </w:pPr>
      <w:r>
        <w:rPr>
          <w:b/>
          <w:bCs/>
          <w:color w:val="1A1A1A"/>
          <w:sz w:val="19"/>
          <w:szCs w:val="19"/>
        </w:rPr>
        <w:t xml:space="preserve">A small aspiration layer, explained in familiar terms. </w:t>
      </w:r>
      <w:r>
        <w:rPr>
          <w:color w:val="1A1A1A"/>
          <w:sz w:val="19"/>
          <w:szCs w:val="19"/>
        </w:rPr>
        <w:t xml:space="preserve">Keep the aspiration layer token or absent, and describe the core portfolio in terms of the companies inside it rather than the optimisation behind it. Novel structures will be read as risk regardless of their statistics.</w:t>
      </w:r>
    </w:p>
    <w:p>
      <w:pPr>
        <w:spacing w:after="120" w:line="300"/>
      </w:pPr>
      <w:r>
        <w:rPr>
          <w:b/>
          <w:bCs/>
          <w:color w:val="1A1A1A"/>
          <w:sz w:val="19"/>
          <w:szCs w:val="19"/>
        </w:rPr>
        <w:t xml:space="preserve">The plan will fail on execution rather than on design. </w:t>
      </w:r>
      <w:r>
        <w:rPr>
          <w:color w:val="1A1A1A"/>
          <w:sz w:val="19"/>
          <w:szCs w:val="19"/>
        </w:rPr>
        <w:t xml:space="preserve">Reduce the number of decisions to as close to zero as possible: standing instruction on the contribution date, automatic rebalancing at a fixed threshold, no discretionary top-ups. A slightly worse portfolio that is actually followed dominates the optimal one that is not.</w:t>
      </w:r>
    </w:p>
    <w:p>
      <w:pPr>
        <w:spacing w:after="120" w:line="300"/>
      </w:pPr>
      <w:r>
        <w:rPr>
          <w:b/>
          <w:bCs/>
          <w:color w:val="1A1A1A"/>
          <w:sz w:val="19"/>
          <w:szCs w:val="19"/>
        </w:rPr>
        <w:t xml:space="preserve">Social comparison is the likely source of unplanned changes. </w:t>
      </w:r>
      <w:r>
        <w:rPr>
          <w:color w:val="1A1A1A"/>
          <w:sz w:val="19"/>
          <w:szCs w:val="19"/>
        </w:rPr>
        <w:t xml:space="preserve">Expect pressure from peer conversations about individual stocks. Pre-commit the review dates, and benchmark against the member's own goal funding level rather than against an index or against what a friend reports, since neither comparison is adjusted for risk.</w:t>
      </w:r>
    </w:p>
    <w:p>
      <w:pPr>
        <w:pStyle w:val="Heading2"/>
        <w:keepNext/>
        <w:spacing w:after="110" w:before="300"/>
      </w:pPr>
      <w:r>
        <w:rPr>
          <w:b/>
          <w:bCs/>
          <w:color w:val="1A1A1A"/>
          <w:sz w:val="23"/>
          <w:szCs w:val="23"/>
        </w:rPr>
        <w:t xml:space="preserve">Member 5: Capital protector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1500"/>
        <w:gridCol w:w="1350"/>
        <w:gridCol w:w="1500"/>
        <w:gridCol w:w="1500"/>
      </w:tblGrid>
      <w:tr>
        <w:trPr>
          <w:tblHeader/>
        </w:trPr>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Risk aversion</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Loss aversion</w:t>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Present bias</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Floor</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Aspiration</w:t>
            </w:r>
          </w:p>
        </w:tc>
      </w:tr>
      <w:tr>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Estimated</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7.93</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3.44</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0.98</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Rs 24 lakh at 2%</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Rs 33 lakh</w:t>
            </w:r>
          </w:p>
        </w:tc>
      </w:tr>
    </w:tbl>
    <w:p>
      <w:pPr>
        <w:spacing w:after="120" w:line="300"/>
      </w:pPr>
      <w:r>
        <w:rPr>
          <w:color w:val="1A1A1A"/>
          <w:sz w:val="20"/>
          <w:szCs w:val="20"/>
        </w:rPr>
        <w:t xml:space="preserve">Expected utility theory puts 34% of the corpus in the risky portfolio, from a relative risk aversion of 7.93 alone. Behavioral portfolio theory lands in the same place. The floor is loose enough relative to the horizon that it never binds, so the second question the behavioral model asks has no bite here, and the two theories agree.</w:t>
      </w:r>
    </w:p>
    <w:p>
      <w:pPr>
        <w:spacing w:after="120" w:line="300"/>
      </w:pPr>
      <w:r>
        <w:rPr>
          <w:color w:val="1A1A1A"/>
          <w:sz w:val="20"/>
          <w:szCs w:val="20"/>
        </w:rPr>
        <w:t xml:space="preserve">The layered portfolio puts 70% in the security layer, 20% in the income layer and 10% in the aspiration layer. Together they come to 9.1% at 5.3% volatility, against the 9.1% the capital allocation line would have paid for the same risk. That is 2 basis points a year, or about Rs 548 on this corpus. It raises the chance of holding the floor and lowers the chance of reaching the aspiration, from 91% to 92%.</w:t>
      </w:r>
    </w:p>
    <w:p>
      <w:pPr>
        <w:spacing w:after="120" w:line="300"/>
      </w:pPr>
      <w:r>
        <w:rPr>
          <w:b/>
          <w:bCs/>
          <w:color w:val="1A1A1A"/>
          <w:sz w:val="19"/>
          <w:szCs w:val="19"/>
        </w:rPr>
        <w:t xml:space="preserve">Anxiety will be the binding constraint, not the risk budget. </w:t>
      </w:r>
      <w:r>
        <w:rPr>
          <w:color w:val="1A1A1A"/>
          <w:sz w:val="19"/>
          <w:szCs w:val="19"/>
        </w:rPr>
        <w:t xml:space="preserve">Fund the security layer first and show it as a separate line before any discussion of return. Report performance annually rather than monthly: at a 17.97% volatility the probability of seeing a loss over any given month is about 44%, against roughly 12% over a year, and each of those printed losses is scaled by this member's loss aversion. Automate the contribution so the decision is not re-taken every month.</w:t>
      </w:r>
    </w:p>
    <w:p>
      <w:pPr>
        <w:spacing w:after="120" w:line="300"/>
      </w:pPr>
      <w:r>
        <w:rPr>
          <w:b/>
          <w:bCs/>
          <w:color w:val="1A1A1A"/>
          <w:sz w:val="19"/>
          <w:szCs w:val="19"/>
        </w:rPr>
        <w:t xml:space="preserve">A small aspiration layer, explained in familiar terms. </w:t>
      </w:r>
      <w:r>
        <w:rPr>
          <w:color w:val="1A1A1A"/>
          <w:sz w:val="19"/>
          <w:szCs w:val="19"/>
        </w:rPr>
        <w:t xml:space="preserve">Keep the aspiration layer token or absent, and describe the core portfolio in terms of the companies inside it rather than the optimisation behind it. Novel structures will be read as risk regardless of their statistics.</w:t>
      </w:r>
    </w:p>
    <w:p>
      <w:pPr>
        <w:spacing w:after="120" w:line="300"/>
      </w:pPr>
      <w:r>
        <w:rPr>
          <w:b/>
          <w:bCs/>
          <w:color w:val="1A1A1A"/>
          <w:sz w:val="19"/>
          <w:szCs w:val="19"/>
        </w:rPr>
        <w:t xml:space="preserve">Execution is reliable, so the plan can carry more moving parts. </w:t>
      </w:r>
      <w:r>
        <w:rPr>
          <w:color w:val="1A1A1A"/>
          <w:sz w:val="19"/>
          <w:szCs w:val="19"/>
        </w:rPr>
        <w:t xml:space="preserve">Threshold rebalancing, tax-loss harvesting and a staged entry are all realistic here. The failure mode to watch is over-monitoring: set an explicit review cadence so diligence does not turn into trading.</w:t>
      </w:r>
    </w:p>
    <w:p>
      <w:pPr>
        <w:pStyle w:val="Heading2"/>
        <w:keepNext/>
        <w:spacing w:after="110" w:before="300"/>
      </w:pPr>
      <w:r>
        <w:rPr>
          <w:b/>
          <w:bCs/>
          <w:color w:val="1A1A1A"/>
          <w:sz w:val="23"/>
          <w:szCs w:val="23"/>
        </w:rPr>
        <w:t xml:space="preserve">Member 6: Lottery optimist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1500"/>
        <w:gridCol w:w="1350"/>
        <w:gridCol w:w="1500"/>
        <w:gridCol w:w="1500"/>
      </w:tblGrid>
      <w:tr>
        <w:trPr>
          <w:tblHeader/>
        </w:trPr>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Risk aversion</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Loss aversion</w:t>
            </w:r>
          </w:p>
        </w:tc>
        <w:tc>
          <w:tcPr>
            <w:tcW w:type="dxa" w:w="135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Present bias</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Floor</w:t>
            </w:r>
          </w:p>
        </w:tc>
        <w:tc>
          <w:tcPr>
            <w:tcW w:type="dxa" w:w="15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Aspiration</w:t>
            </w:r>
          </w:p>
        </w:tc>
      </w:tr>
      <w:tr>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Estimated</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2.25</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1.87</w:t>
            </w:r>
          </w:p>
        </w:tc>
        <w:tc>
          <w:tcPr>
            <w:tcW w:type="dxa" w:w="135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0.86</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Rs 3 lakh at 25%</w:t>
            </w:r>
          </w:p>
        </w:tc>
        <w:tc>
          <w:tcPr>
            <w:tcW w:type="dxa" w:w="15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Rs 28 lakh</w:t>
            </w:r>
          </w:p>
        </w:tc>
      </w:tr>
    </w:tbl>
    <w:p>
      <w:pPr>
        <w:spacing w:after="120" w:line="300"/>
      </w:pPr>
      <w:r>
        <w:rPr>
          <w:color w:val="1A1A1A"/>
          <w:sz w:val="20"/>
          <w:szCs w:val="20"/>
        </w:rPr>
        <w:t xml:space="preserve">Expected utility theory puts 100% of the corpus in the risky portfolio, from a relative risk aversion of 2.25 alone. Behavioral portfolio theory lands in the same place. The floor is loose enough relative to the horizon that it never binds, so the second question the behavioral model asks has no bite here, and the two theories agree.</w:t>
      </w:r>
    </w:p>
    <w:p>
      <w:pPr>
        <w:spacing w:after="120" w:line="300"/>
      </w:pPr>
      <w:r>
        <w:rPr>
          <w:color w:val="1A1A1A"/>
          <w:sz w:val="20"/>
          <w:szCs w:val="20"/>
        </w:rPr>
        <w:t xml:space="preserve">The layered portfolio puts 29% in the security layer, 0% in the income layer and 71% in the aspiration layer. Together they come to 12.3% at 14.2% volatility, against the 13.4% the capital allocation line would have paid for the same risk. That is 107 basis points a year, or about Rs 7,513 on this corpus. It raises the chance of holding the floor and lowers the chance of reaching the aspiration, from 10% to 2%.</w:t>
      </w:r>
    </w:p>
    <w:p>
      <w:pPr>
        <w:spacing w:after="120" w:line="300"/>
      </w:pPr>
      <w:r>
        <w:rPr>
          <w:b/>
          <w:bCs/>
          <w:color w:val="1A1A1A"/>
          <w:sz w:val="19"/>
          <w:szCs w:val="19"/>
        </w:rPr>
        <w:t xml:space="preserve">The plan will fail on execution rather than on design. </w:t>
      </w:r>
      <w:r>
        <w:rPr>
          <w:color w:val="1A1A1A"/>
          <w:sz w:val="19"/>
          <w:szCs w:val="19"/>
        </w:rPr>
        <w:t xml:space="preserve">Reduce the number of decisions to as close to zero as possible: standing instruction on the contribution date, automatic rebalancing at a fixed threshold, no discretionary top-ups. A slightly worse portfolio that is actually followed dominates the optimal one that is not.</w:t>
      </w:r>
    </w:p>
    <w:p>
      <w:pPr>
        <w:spacing w:after="120" w:line="300"/>
      </w:pPr>
      <w:r>
        <w:rPr>
          <w:b/>
          <w:bCs/>
          <w:color w:val="1A1A1A"/>
          <w:sz w:val="19"/>
          <w:szCs w:val="19"/>
        </w:rPr>
        <w:t xml:space="preserve">Social comparison is the likely source of unplanned changes. </w:t>
      </w:r>
      <w:r>
        <w:rPr>
          <w:color w:val="1A1A1A"/>
          <w:sz w:val="19"/>
          <w:szCs w:val="19"/>
        </w:rPr>
        <w:t xml:space="preserve">Expect pressure from peer conversations about individual stocks. Pre-commit the review dates, and benchmark against the member's own goal funding level rather than against an index or against what a friend reports, since neither comparison is adjusted for risk.</w:t>
      </w:r>
    </w:p>
    <w:p>
      <w:pPr>
        <w:spacing w:after="120" w:line="300"/>
      </w:pPr>
      <w:r>
        <w:rPr>
          <w:b/>
          <w:bCs/>
          <w:color w:val="1A1A1A"/>
          <w:sz w:val="19"/>
          <w:szCs w:val="19"/>
        </w:rPr>
        <w:t xml:space="preserve">Present bias of 0.86 threatens the contribution, not the allocation. </w:t>
      </w:r>
      <w:r>
        <w:rPr>
          <w:color w:val="1A1A1A"/>
          <w:sz w:val="19"/>
          <w:szCs w:val="19"/>
        </w:rPr>
        <w:t xml:space="preserve">The allocation can be correct and the plan still fail, because the money never arrives. Use a commitment device: auto-debit on the salary date, and hold the security layer in an instrument with a withdrawal penalty so the cost of raiding it is felt at the moment of temptation.</w:t>
      </w:r>
    </w:p>
    <w:p>
      <w:r>
        <w:br w:type="page"/>
      </w:r>
    </w:p>
    <w:p>
      <w:pPr>
        <w:pStyle w:val="Heading1"/>
        <w:keepNext/>
        <w:spacing w:after="160" w:before="380"/>
      </w:pPr>
      <w:r>
        <w:rPr>
          <w:b/>
          <w:bCs/>
          <w:color w:val="1A1A1A"/>
          <w:sz w:val="28"/>
          <w:szCs w:val="28"/>
        </w:rPr>
        <w:t xml:space="preserve">9. Personality, and what an adviser should do about it</w:t>
      </w:r>
    </w:p>
    <w:p>
      <w:pPr>
        <w:spacing w:after="120" w:line="300"/>
      </w:pPr>
      <w:r>
        <w:rPr>
          <w:color w:val="1A1A1A"/>
          <w:sz w:val="20"/>
          <w:szCs w:val="20"/>
        </w:rPr>
        <w:t xml:space="preserve">The assignment asks for a commentary on how the personality dimensions should be kept in consideration while advising. Our position is that they should change the process and not the weights, and it is worth saying why.</w:t>
      </w:r>
    </w:p>
    <w:p>
      <w:pPr>
        <w:spacing w:after="120" w:line="300"/>
      </w:pPr>
      <w:r>
        <w:rPr>
          <w:color w:val="1A1A1A"/>
          <w:sz w:val="20"/>
          <w:szCs w:val="20"/>
        </w:rPr>
        <w:t xml:space="preserve">A portfolio weight is an answer to a question about risk and return. Personality is not an input to that question, and pushing it in as a fudge factor on the equity weight would be double counting: risk aversion is already measured, directly, in Section 5. What personality predicts is not what the client should hold but whether they will hold it, how they will read the statement, what will make them abandon the plan, and what an adviser has to do to stop that happening. Those are process questions, and they are where the evidence actually is.</w:t>
      </w:r>
    </w:p>
    <w:p>
      <w:pPr>
        <w:spacing w:after="120" w:line="300"/>
      </w:pPr>
      <w:r>
        <w:rPr>
          <w:color w:val="1A1A1A"/>
          <w:sz w:val="20"/>
          <w:szCs w:val="20"/>
        </w:rPr>
        <w:t xml:space="preserve">The rules below are the ones implemented in the engine and in the portal. Each fires on a score at least half a standard deviation from the norming-sample mean, and each names a change to the process rather than to the allocation.</w:t>
      </w:r>
    </w:p>
    <w:p>
      <w:pPr>
        <w:pStyle w:val="Heading3"/>
        <w:keepNext/>
        <w:spacing w:after="110" w:before="220"/>
      </w:pPr>
      <w:r>
        <w:rPr>
          <w:b/>
          <w:bCs/>
          <w:color w:val="1A1A1A"/>
          <w:sz w:val="21"/>
          <w:szCs w:val="21"/>
        </w:rPr>
        <w:t xml:space="preserve">Negative Emotionality</w:t>
      </w:r>
    </w:p>
    <w:p>
      <w:pPr>
        <w:spacing w:after="120" w:line="300"/>
      </w:pPr>
      <w:r>
        <w:rPr>
          <w:b/>
          <w:bCs/>
          <w:color w:val="1A1A1A"/>
          <w:sz w:val="20"/>
          <w:szCs w:val="20"/>
        </w:rPr>
        <w:t xml:space="preserve">Anxiety will be the binding constraint, not the risk budget. </w:t>
      </w:r>
      <w:r>
        <w:rPr>
          <w:color w:val="1A1A1A"/>
          <w:sz w:val="20"/>
          <w:szCs w:val="20"/>
        </w:rPr>
        <w:t xml:space="preserve">Fund the security layer first and show it as a separate line before any discussion of return. Report performance annually rather than monthly: at a 17.97% volatility the probability of seeing a loss over any given month is about 44%, against roughly 12% over a year, and each of those printed losses is scaled by this member's loss aversion. Automate the contribution so the decision is not re-taken every month.</w:t>
      </w:r>
    </w:p>
    <w:p>
      <w:pPr>
        <w:pStyle w:val="Heading3"/>
        <w:keepNext/>
        <w:spacing w:after="110" w:before="220"/>
      </w:pPr>
      <w:r>
        <w:rPr>
          <w:b/>
          <w:bCs/>
          <w:color w:val="1A1A1A"/>
          <w:sz w:val="21"/>
          <w:szCs w:val="21"/>
        </w:rPr>
        <w:t xml:space="preserve">Open-Mindedness</w:t>
      </w:r>
    </w:p>
    <w:p>
      <w:pPr>
        <w:spacing w:after="120" w:line="300"/>
      </w:pPr>
      <w:r>
        <w:rPr>
          <w:b/>
          <w:bCs/>
          <w:color w:val="1A1A1A"/>
          <w:sz w:val="20"/>
          <w:szCs w:val="20"/>
        </w:rPr>
        <w:t xml:space="preserve">A small aspiration layer, explained in familiar terms. </w:t>
      </w:r>
      <w:r>
        <w:rPr>
          <w:color w:val="1A1A1A"/>
          <w:sz w:val="20"/>
          <w:szCs w:val="20"/>
        </w:rPr>
        <w:t xml:space="preserve">Keep the aspiration layer token or absent, and describe the core portfolio in terms of the companies inside it rather than the optimisation behind it. Novel structures will be read as risk regardless of their statistics.</w:t>
      </w:r>
    </w:p>
    <w:p>
      <w:pPr>
        <w:pStyle w:val="Heading3"/>
        <w:keepNext/>
        <w:spacing w:after="110" w:before="220"/>
      </w:pPr>
      <w:r>
        <w:rPr>
          <w:b/>
          <w:bCs/>
          <w:color w:val="1A1A1A"/>
          <w:sz w:val="21"/>
          <w:szCs w:val="21"/>
        </w:rPr>
        <w:t xml:space="preserve">Conscientiousness</w:t>
      </w:r>
    </w:p>
    <w:p>
      <w:pPr>
        <w:spacing w:after="120" w:line="300"/>
      </w:pPr>
      <w:r>
        <w:rPr>
          <w:b/>
          <w:bCs/>
          <w:color w:val="1A1A1A"/>
          <w:sz w:val="20"/>
          <w:szCs w:val="20"/>
        </w:rPr>
        <w:t xml:space="preserve">Execution is reliable, so the plan can carry more moving parts. </w:t>
      </w:r>
      <w:r>
        <w:rPr>
          <w:color w:val="1A1A1A"/>
          <w:sz w:val="20"/>
          <w:szCs w:val="20"/>
        </w:rPr>
        <w:t xml:space="preserve">Threshold rebalancing, tax-loss harvesting and a staged entry are all realistic here. The failure mode to watch is over-monitoring: set an explicit review cadence so diligence does not turn into trading.</w:t>
      </w:r>
    </w:p>
    <w:p>
      <w:pPr>
        <w:pStyle w:val="Heading3"/>
        <w:keepNext/>
        <w:spacing w:after="110" w:before="220"/>
      </w:pPr>
      <w:r>
        <w:rPr>
          <w:b/>
          <w:bCs/>
          <w:color w:val="1A1A1A"/>
          <w:sz w:val="21"/>
          <w:szCs w:val="21"/>
        </w:rPr>
        <w:t xml:space="preserve">Agreeableness</w:t>
      </w:r>
    </w:p>
    <w:p>
      <w:pPr>
        <w:spacing w:after="120" w:line="300"/>
      </w:pPr>
      <w:r>
        <w:rPr>
          <w:b/>
          <w:bCs/>
          <w:color w:val="1A1A1A"/>
          <w:sz w:val="20"/>
          <w:szCs w:val="20"/>
        </w:rPr>
        <w:t xml:space="preserve">High trust raises advice-taking but also herding risk. </w:t>
      </w:r>
      <w:r>
        <w:rPr>
          <w:color w:val="1A1A1A"/>
          <w:sz w:val="20"/>
          <w:szCs w:val="20"/>
        </w:rPr>
        <w:t xml:space="preserve">Recommendations will be accepted with little pushback, which shifts the burden of challenge onto the adviser. State the downside case explicitly and in rupees at every review, and record that it was stated.</w:t>
      </w:r>
    </w:p>
    <w:p>
      <w:pPr>
        <w:pStyle w:val="Heading3"/>
        <w:keepNext/>
        <w:spacing w:after="110" w:before="220"/>
      </w:pPr>
      <w:r>
        <w:rPr>
          <w:b/>
          <w:bCs/>
          <w:color w:val="1A1A1A"/>
          <w:sz w:val="21"/>
          <w:szCs w:val="21"/>
        </w:rPr>
        <w:t xml:space="preserve">Loss aversion</w:t>
      </w:r>
    </w:p>
    <w:p>
      <w:pPr>
        <w:spacing w:after="120" w:line="300"/>
      </w:pPr>
      <w:r>
        <w:rPr>
          <w:b/>
          <w:bCs/>
          <w:color w:val="1A1A1A"/>
          <w:sz w:val="20"/>
          <w:szCs w:val="20"/>
        </w:rPr>
        <w:t xml:space="preserve">Loss aversion of 2.94 makes reporting frequency a portfolio decision. </w:t>
      </w:r>
      <w:r>
        <w:rPr>
          <w:color w:val="1A1A1A"/>
          <w:sz w:val="20"/>
          <w:szCs w:val="20"/>
        </w:rPr>
        <w:t xml:space="preserve">At this lambda the portfolio's own volatility is less damaging than the rate at which it is observed. Myopic loss aversion says the same holding reviewed monthly and annually produces different behaviour from the same person, so the review interval belongs in the investment policy statement next to the asset weights.</w:t>
      </w:r>
    </w:p>
    <w:p>
      <w:pPr>
        <w:pStyle w:val="Heading3"/>
        <w:keepNext/>
        <w:spacing w:after="110" w:before="220"/>
      </w:pPr>
      <w:r>
        <w:rPr>
          <w:b/>
          <w:bCs/>
          <w:color w:val="1A1A1A"/>
          <w:sz w:val="21"/>
          <w:szCs w:val="21"/>
        </w:rPr>
        <w:t xml:space="preserve">Hope</w:t>
      </w:r>
    </w:p>
    <w:p>
      <w:pPr>
        <w:spacing w:after="120" w:line="300"/>
      </w:pPr>
      <w:r>
        <w:rPr>
          <w:b/>
          <w:bCs/>
          <w:color w:val="1A1A1A"/>
          <w:sz w:val="20"/>
          <w:szCs w:val="20"/>
        </w:rPr>
        <w:t xml:space="preserve">Strong overweighting of small probabilities. </w:t>
      </w:r>
      <w:r>
        <w:rPr>
          <w:color w:val="1A1A1A"/>
          <w:sz w:val="20"/>
          <w:szCs w:val="20"/>
        </w:rPr>
        <w:t xml:space="preserve">This member genuinely values lottery-like exposure, and prospect theory treats that as a preference rather than as an error. Meet it inside the aspiration layer, where it is sized and visible, instead of letting it leak into the core portfolio as position concentration.</w:t>
      </w:r>
    </w:p>
    <w:p>
      <w:pPr>
        <w:pStyle w:val="Heading3"/>
        <w:keepNext/>
        <w:spacing w:after="110" w:before="220"/>
      </w:pPr>
      <w:r>
        <w:rPr>
          <w:b/>
          <w:bCs/>
          <w:color w:val="1A1A1A"/>
          <w:sz w:val="21"/>
          <w:szCs w:val="21"/>
        </w:rPr>
        <w:t xml:space="preserve">Negative Emotionality</w:t>
      </w:r>
    </w:p>
    <w:p>
      <w:pPr>
        <w:spacing w:after="120" w:line="300"/>
      </w:pPr>
      <w:r>
        <w:rPr>
          <w:b/>
          <w:bCs/>
          <w:color w:val="1A1A1A"/>
          <w:sz w:val="20"/>
          <w:szCs w:val="20"/>
        </w:rPr>
        <w:t xml:space="preserve">Low reactivity permits a higher equity weight than the risk score alone suggests. </w:t>
      </w:r>
      <w:r>
        <w:rPr>
          <w:color w:val="1A1A1A"/>
          <w:sz w:val="20"/>
          <w:szCs w:val="20"/>
        </w:rPr>
        <w:t xml:space="preserve">The mean-variance allocation can be implemented close to its unconstrained value. The risk here is the mirror image of anxiety: this member is unlikely to be shaken out of the position, but equally unlikely to review it, so put a calendar rebalance in place rather than relying on attention.</w:t>
      </w:r>
    </w:p>
    <w:p>
      <w:pPr>
        <w:pStyle w:val="Heading3"/>
        <w:keepNext/>
        <w:spacing w:after="110" w:before="220"/>
      </w:pPr>
      <w:r>
        <w:rPr>
          <w:b/>
          <w:bCs/>
          <w:color w:val="1A1A1A"/>
          <w:sz w:val="21"/>
          <w:szCs w:val="21"/>
        </w:rPr>
        <w:t xml:space="preserve">Open-Mindedness</w:t>
      </w:r>
    </w:p>
    <w:p>
      <w:pPr>
        <w:spacing w:after="120" w:line="300"/>
      </w:pPr>
      <w:r>
        <w:rPr>
          <w:b/>
          <w:bCs/>
          <w:color w:val="1A1A1A"/>
          <w:sz w:val="20"/>
          <w:szCs w:val="20"/>
        </w:rPr>
        <w:t xml:space="preserve">Openness sustains the aspiration layer but invites thematic drift. </w:t>
      </w:r>
      <w:r>
        <w:rPr>
          <w:color w:val="1A1A1A"/>
          <w:sz w:val="20"/>
          <w:szCs w:val="20"/>
        </w:rPr>
        <w:t xml:space="preserve">Give the aspiration layer a real allocation, since suppressing it usually reappears as unsupervised trading outside the plan. Cap it in writing and require that any new theme be funded by selling something inside the same layer, so curiosity is spent from a fixed budget.</w:t>
      </w:r>
    </w:p>
    <w:p>
      <w:pPr>
        <w:pStyle w:val="Heading3"/>
        <w:keepNext/>
        <w:spacing w:after="110" w:before="220"/>
      </w:pPr>
      <w:r>
        <w:rPr>
          <w:b/>
          <w:bCs/>
          <w:color w:val="1A1A1A"/>
          <w:sz w:val="21"/>
          <w:szCs w:val="21"/>
        </w:rPr>
        <w:t xml:space="preserve">Extraversion</w:t>
      </w:r>
    </w:p>
    <w:p>
      <w:pPr>
        <w:spacing w:after="120" w:line="300"/>
      </w:pPr>
      <w:r>
        <w:rPr>
          <w:b/>
          <w:bCs/>
          <w:color w:val="1A1A1A"/>
          <w:sz w:val="20"/>
          <w:szCs w:val="20"/>
        </w:rPr>
        <w:t xml:space="preserve">Social comparison is the likely source of unplanned changes. </w:t>
      </w:r>
      <w:r>
        <w:rPr>
          <w:color w:val="1A1A1A"/>
          <w:sz w:val="20"/>
          <w:szCs w:val="20"/>
        </w:rPr>
        <w:t xml:space="preserve">Expect pressure from peer conversations about individual stocks. Pre-commit the review dates, and benchmark against the member's own goal funding level rather than against an index or against what a friend reports, since neither comparison is adjusted for risk.</w:t>
      </w:r>
    </w:p>
    <w:p>
      <w:pPr>
        <w:pStyle w:val="Heading3"/>
        <w:keepNext/>
        <w:spacing w:after="110" w:before="220"/>
      </w:pPr>
      <w:r>
        <w:rPr>
          <w:b/>
          <w:bCs/>
          <w:color w:val="1A1A1A"/>
          <w:sz w:val="21"/>
          <w:szCs w:val="21"/>
        </w:rPr>
        <w:t xml:space="preserve">Agreeableness</w:t>
      </w:r>
    </w:p>
    <w:p>
      <w:pPr>
        <w:spacing w:after="120" w:line="300"/>
      </w:pPr>
      <w:r>
        <w:rPr>
          <w:b/>
          <w:bCs/>
          <w:color w:val="1A1A1A"/>
          <w:sz w:val="20"/>
          <w:szCs w:val="20"/>
        </w:rPr>
        <w:t xml:space="preserve">Expect the reasoning to be audited, so lead with it. </w:t>
      </w:r>
      <w:r>
        <w:rPr>
          <w:color w:val="1A1A1A"/>
          <w:sz w:val="20"/>
          <w:szCs w:val="20"/>
        </w:rPr>
        <w:t xml:space="preserve">Present the screen, the covariance inputs and the constraint set before the recommendation. Buy-in here comes from the method rather than from the relationship, and an unexplained allocation will simply be overridden.</w:t>
      </w:r>
    </w:p>
    <w:p>
      <w:pPr>
        <w:pStyle w:val="Heading3"/>
        <w:keepNext/>
        <w:spacing w:after="110" w:before="220"/>
      </w:pPr>
      <w:r>
        <w:rPr>
          <w:b/>
          <w:bCs/>
          <w:color w:val="1A1A1A"/>
          <w:sz w:val="21"/>
          <w:szCs w:val="21"/>
        </w:rPr>
        <w:t xml:space="preserve">Conscientiousness</w:t>
      </w:r>
    </w:p>
    <w:p>
      <w:pPr>
        <w:spacing w:after="120" w:line="300"/>
      </w:pPr>
      <w:r>
        <w:rPr>
          <w:b/>
          <w:bCs/>
          <w:color w:val="1A1A1A"/>
          <w:sz w:val="20"/>
          <w:szCs w:val="20"/>
        </w:rPr>
        <w:t xml:space="preserve">The plan will fail on execution rather than on design. </w:t>
      </w:r>
      <w:r>
        <w:rPr>
          <w:color w:val="1A1A1A"/>
          <w:sz w:val="20"/>
          <w:szCs w:val="20"/>
        </w:rPr>
        <w:t xml:space="preserve">Reduce the number of decisions to as close to zero as possible: standing instruction on the contribution date, automatic rebalancing at a fixed threshold, no discretionary top-ups. A slightly worse portfolio that is actually followed dominates the optimal one that is not.</w:t>
      </w:r>
    </w:p>
    <w:p>
      <w:pPr>
        <w:pStyle w:val="Heading3"/>
        <w:keepNext/>
        <w:spacing w:after="110" w:before="220"/>
      </w:pPr>
      <w:r>
        <w:rPr>
          <w:b/>
          <w:bCs/>
          <w:color w:val="1A1A1A"/>
          <w:sz w:val="21"/>
          <w:szCs w:val="21"/>
        </w:rPr>
        <w:t xml:space="preserve">Present bias</w:t>
      </w:r>
    </w:p>
    <w:p>
      <w:pPr>
        <w:spacing w:after="120" w:line="300"/>
      </w:pPr>
      <w:r>
        <w:rPr>
          <w:b/>
          <w:bCs/>
          <w:color w:val="1A1A1A"/>
          <w:sz w:val="20"/>
          <w:szCs w:val="20"/>
        </w:rPr>
        <w:t xml:space="preserve">Present bias of 0.80 threatens the contribution, not the allocation. </w:t>
      </w:r>
      <w:r>
        <w:rPr>
          <w:color w:val="1A1A1A"/>
          <w:sz w:val="20"/>
          <w:szCs w:val="20"/>
        </w:rPr>
        <w:t xml:space="preserve">The allocation can be correct and the plan still fail, because the money never arrives. Use a commitment device: auto-debit on the salary date, and hold the security layer in an instrument with a withdrawal penalty so the cost of raiding it is felt at the moment of temptation.</w:t>
      </w:r>
    </w:p>
    <w:p>
      <w:pPr>
        <w:pStyle w:val="Heading3"/>
        <w:keepNext/>
        <w:spacing w:after="110" w:before="220"/>
      </w:pPr>
      <w:r>
        <w:rPr>
          <w:b/>
          <w:bCs/>
          <w:color w:val="1A1A1A"/>
          <w:sz w:val="21"/>
          <w:szCs w:val="21"/>
        </w:rPr>
        <w:t xml:space="preserve">Loss aversion</w:t>
      </w:r>
    </w:p>
    <w:p>
      <w:pPr>
        <w:spacing w:after="120" w:line="300"/>
      </w:pPr>
      <w:r>
        <w:rPr>
          <w:b/>
          <w:bCs/>
          <w:color w:val="1A1A1A"/>
          <w:sz w:val="20"/>
          <w:szCs w:val="20"/>
        </w:rPr>
        <w:t xml:space="preserve">Loss aversion of 3.44 makes reporting frequency a portfolio decision. </w:t>
      </w:r>
      <w:r>
        <w:rPr>
          <w:color w:val="1A1A1A"/>
          <w:sz w:val="20"/>
          <w:szCs w:val="20"/>
        </w:rPr>
        <w:t xml:space="preserve">At this lambda the portfolio's own volatility is less damaging than the rate at which it is observed. Myopic loss aversion says the same holding reviewed monthly and annually produces different behaviour from the same person, so the review interval belongs in the investment policy statement next to the asset weights.</w:t>
      </w:r>
    </w:p>
    <w:p>
      <w:pPr>
        <w:pStyle w:val="Heading3"/>
        <w:keepNext/>
        <w:spacing w:after="110" w:before="220"/>
      </w:pPr>
      <w:r>
        <w:rPr>
          <w:b/>
          <w:bCs/>
          <w:color w:val="1A1A1A"/>
          <w:sz w:val="21"/>
          <w:szCs w:val="21"/>
        </w:rPr>
        <w:t xml:space="preserve">Present bias</w:t>
      </w:r>
    </w:p>
    <w:p>
      <w:pPr>
        <w:spacing w:after="120" w:line="300"/>
      </w:pPr>
      <w:r>
        <w:rPr>
          <w:b/>
          <w:bCs/>
          <w:color w:val="1A1A1A"/>
          <w:sz w:val="20"/>
          <w:szCs w:val="20"/>
        </w:rPr>
        <w:t xml:space="preserve">Present bias of 0.86 threatens the contribution, not the allocation. </w:t>
      </w:r>
      <w:r>
        <w:rPr>
          <w:color w:val="1A1A1A"/>
          <w:sz w:val="20"/>
          <w:szCs w:val="20"/>
        </w:rPr>
        <w:t xml:space="preserve">The allocation can be correct and the plan still fail, because the money never arrives. Use a commitment device: auto-debit on the salary date, and hold the security layer in an instrument with a withdrawal penalty so the cost of raiding it is felt at the moment of temptation.</w:t>
      </w:r>
    </w:p>
    <w:p>
      <w:pPr>
        <w:pStyle w:val="Heading2"/>
        <w:keepNext/>
        <w:spacing w:after="110" w:before="300"/>
      </w:pPr>
      <w:r>
        <w:rPr>
          <w:b/>
          <w:bCs/>
          <w:color w:val="1A1A1A"/>
          <w:sz w:val="23"/>
          <w:szCs w:val="23"/>
        </w:rPr>
        <w:t xml:space="preserve">The one place personality does touch a number</w:t>
      </w:r>
    </w:p>
    <w:p>
      <w:pPr>
        <w:spacing w:after="120" w:line="300"/>
      </w:pPr>
      <w:r>
        <w:rPr>
          <w:color w:val="1A1A1A"/>
          <w:sz w:val="20"/>
          <w:szCs w:val="20"/>
        </w:rPr>
        <w:t xml:space="preserve">The size of the aspiration layer. An open-minded client who is given no aspiration layer does not stop wanting one; they fund it themselves, outside the plan, unsupervised and unsized. Meeting that demand inside the portfolio, capped and visible, is better than suppressing it and pretending it is gone. That is a genuine behavioral argument for a holding that mean-variance would call a mistake, and it is the strongest practical case behavioral portfolio theory makes.</w:t>
      </w:r>
    </w:p>
    <w:p>
      <w:pPr>
        <w:pStyle w:val="Heading1"/>
        <w:keepNext/>
        <w:spacing w:after="160" w:before="380"/>
      </w:pPr>
      <w:r>
        <w:rPr>
          <w:b/>
          <w:bCs/>
          <w:color w:val="1A1A1A"/>
          <w:sz w:val="28"/>
          <w:szCs w:val="28"/>
        </w:rPr>
        <w:t xml:space="preserve">10. What this does not establish</w:t>
      </w:r>
    </w:p>
    <w:p>
      <w:pPr>
        <w:spacing w:after="120" w:line="300"/>
      </w:pPr>
      <w:r>
        <w:rPr>
          <w:b/>
          <w:bCs/>
          <w:color w:val="1A1A1A"/>
          <w:sz w:val="20"/>
          <w:szCs w:val="20"/>
        </w:rPr>
        <w:t xml:space="preserve">The peer group data is a pilot, not a field sample. </w:t>
      </w:r>
      <w:r>
        <w:rPr>
          <w:color w:val="1A1A1A"/>
          <w:sz w:val="20"/>
          <w:szCs w:val="20"/>
        </w:rPr>
        <w:t xml:space="preserve">Six generated respondents cannot support any claim about a population. What they do support is a claim about the instrument and the engine, which is what Section 5.1 tests. Fielding the survey is the obvious next step and requires no change to any code.</w:t>
      </w:r>
    </w:p>
    <w:p>
      <w:pPr>
        <w:spacing w:after="120" w:line="300"/>
      </w:pPr>
      <w:r>
        <w:rPr>
          <w:b/>
          <w:bCs/>
          <w:color w:val="1A1A1A"/>
          <w:sz w:val="20"/>
          <w:szCs w:val="20"/>
        </w:rPr>
        <w:t xml:space="preserve">The expected returns are the weakest link, by a wide margin. </w:t>
      </w:r>
      <w:r>
        <w:rPr>
          <w:color w:val="1A1A1A"/>
          <w:sz w:val="20"/>
          <w:szCs w:val="20"/>
        </w:rPr>
        <w:t xml:space="preserve">We shrink them and we report three scenarios, but shrinkage is a patch on a genuinely hard problem. Nothing in this report should be read as a claim that the risky portfolio will return what any of the three scenarios says.</w:t>
      </w:r>
    </w:p>
    <w:p>
      <w:pPr>
        <w:spacing w:after="120" w:line="300"/>
      </w:pPr>
      <w:r>
        <w:rPr>
          <w:b/>
          <w:bCs/>
          <w:color w:val="1A1A1A"/>
          <w:sz w:val="20"/>
          <w:szCs w:val="20"/>
        </w:rPr>
        <w:t xml:space="preserve">Both models are single period, and we have applied them over multi-year horizons. </w:t>
      </w:r>
      <w:r>
        <w:rPr>
          <w:color w:val="1A1A1A"/>
          <w:sz w:val="20"/>
          <w:szCs w:val="20"/>
        </w:rPr>
        <w:t xml:space="preserve">The lognormal projection is consistent with a constant mix rebalanced continuously, with no contributions, no taxes and no transaction costs. Real plans have all four, and the income layer in particular would look different once withdrawal timing is modelled properly.</w:t>
      </w:r>
    </w:p>
    <w:p>
      <w:pPr>
        <w:spacing w:after="120" w:line="300"/>
      </w:pPr>
      <w:r>
        <w:rPr>
          <w:b/>
          <w:bCs/>
          <w:color w:val="1A1A1A"/>
          <w:sz w:val="20"/>
          <w:szCs w:val="20"/>
        </w:rPr>
        <w:t xml:space="preserve">The mapping from lambda and gamma w to the SP/A shape parameters is ours, not the literature's. </w:t>
      </w:r>
      <w:r>
        <w:rPr>
          <w:color w:val="1A1A1A"/>
          <w:sz w:val="20"/>
          <w:szCs w:val="20"/>
        </w:rPr>
        <w:t xml:space="preserve">Lopes does not say how to set fear and hope from elicited prospect-theory parameters. Our mappings are monotone and vanish at the neutral values, which is the minimum a defensible mapping should do, but a different monotone mapping would move the SP/A optimum. We report it as an assumption rather than as a result.</w:t>
      </w:r>
    </w:p>
    <w:p>
      <w:pPr>
        <w:spacing w:after="120" w:line="300"/>
      </w:pPr>
      <w:r>
        <w:rPr>
          <w:b/>
          <w:bCs/>
          <w:color w:val="1A1A1A"/>
          <w:sz w:val="20"/>
          <w:szCs w:val="20"/>
        </w:rPr>
        <w:t xml:space="preserve">Normality of returns is assumed throughout the probability statements. </w:t>
      </w:r>
      <w:r>
        <w:rPr>
          <w:color w:val="1A1A1A"/>
          <w:sz w:val="20"/>
          <w:szCs w:val="20"/>
        </w:rPr>
        <w:t xml:space="preserve">Terminal wealth is treated as lognormal, so every shortfall probability in this report understates the true tail. Equity returns are fat-tailed and negatively skewed, which means the floor breach probabilities we quote are optimistic, and the more so the tighter the floor.</w:t>
      </w:r>
    </w:p>
    <w:p>
      <w:pPr>
        <w:spacing w:after="120" w:line="300"/>
      </w:pPr>
      <w:r>
        <w:rPr>
          <w:b/>
          <w:bCs/>
          <w:color w:val="1A1A1A"/>
          <w:sz w:val="20"/>
          <w:szCs w:val="20"/>
        </w:rPr>
        <w:t xml:space="preserve">Survivorship bias is inherited from Problem Statement 1. </w:t>
      </w:r>
      <w:r>
        <w:rPr>
          <w:color w:val="1A1A1A"/>
          <w:sz w:val="20"/>
          <w:szCs w:val="20"/>
        </w:rPr>
        <w:t xml:space="preserve">The 60-name universe is drawn from today's index membership, so failed companies are absent and the historical statistics are flattering. This affects the level of every return estimate here, though not the comparison between the two theories, which is the point of the exercise.</w:t>
      </w:r>
    </w:p>
    <w:p>
      <w:pPr>
        <w:pStyle w:val="Heading1"/>
        <w:keepNext/>
        <w:spacing w:after="160" w:before="380"/>
      </w:pPr>
      <w:r>
        <w:rPr>
          <w:b/>
          <w:bCs/>
          <w:color w:val="1A1A1A"/>
          <w:sz w:val="28"/>
          <w:szCs w:val="28"/>
        </w:rPr>
        <w:t xml:space="preserve">11. The interactive portal</w:t>
      </w:r>
    </w:p>
    <w:p>
      <w:pPr>
        <w:spacing w:after="120" w:line="300"/>
      </w:pPr>
      <w:r>
        <w:rPr>
          <w:color w:val="1A1A1A"/>
          <w:sz w:val="20"/>
          <w:szCs w:val="20"/>
        </w:rPr>
        <w:t xml:space="preserve">The second deliverable is a working robo-advisory front end. It is a single static page with no server and no account, which means it can be hosted on GitHub Pages and opened on a phone in a classroom.</w:t>
      </w:r>
    </w:p>
    <w:p>
      <w:pPr>
        <w:spacing w:after="120" w:line="300"/>
      </w:pPr>
      <w:r>
        <w:rPr>
          <w:color w:val="1A1A1A"/>
          <w:sz w:val="20"/>
          <w:szCs w:val="20"/>
        </w:rPr>
        <w:t xml:space="preserve">It does four things. It fields the whole instrument, including the thirty personality items, with autosave and a progress bar. It fits every parameter in the browser, using the same estimators as the Python engine. It builds both portfolios and draws the fitted utility, value and weighting functions, the frontier with both portfolios marked, and the terminal wealth distributions. And it generates the personality commentary from the same rule set as Section 9.</w:t>
      </w:r>
    </w:p>
    <w:p>
      <w:pPr>
        <w:spacing w:after="120" w:line="300"/>
      </w:pPr>
      <w:r>
        <w:rPr>
          <w:color w:val="1A1A1A"/>
          <w:sz w:val="20"/>
          <w:szCs w:val="20"/>
        </w:rPr>
        <w:t xml:space="preserve">It also has an adviser view that loads several response files at once and compares the group, and a method tab that states every formula and every assumption on the same page as the output, so a user can see what is being done to their answers.</w:t>
      </w:r>
    </w:p>
    <w:p>
      <w:pPr>
        <w:spacing w:after="120" w:line="300"/>
      </w:pPr>
      <w:r>
        <w:rPr>
          <w:color w:val="1A1A1A"/>
          <w:sz w:val="20"/>
          <w:szCs w:val="20"/>
        </w:rPr>
        <w:t xml:space="preserve">The Python engine and the portal are cross-checked against each other automatically: the portal's pilot dataset is generated from the same response file the engine reads, and a test compares seventy-two quantities across the six members. They agree to within half a percent, the residual being a coarser search grid in the browser.</w:t>
      </w:r>
    </w:p>
    <w:p>
      <w:pPr>
        <w:pStyle w:val="Heading1"/>
        <w:keepNext/>
        <w:spacing w:after="160" w:before="380"/>
      </w:pPr>
      <w:r>
        <w:rPr>
          <w:b/>
          <w:bCs/>
          <w:color w:val="1A1A1A"/>
          <w:sz w:val="28"/>
          <w:szCs w:val="28"/>
        </w:rPr>
        <w:t xml:space="preserve">12. References</w:t>
      </w:r>
    </w:p>
    <w:p>
      <w:pPr>
        <w:spacing w:after="110" w:line="280"/>
        <w:ind w:left="340" w:hanging="340"/>
      </w:pPr>
      <w:r>
        <w:rPr>
          <w:color w:val="1A1A1A"/>
          <w:sz w:val="19"/>
          <w:szCs w:val="19"/>
        </w:rPr>
        <w:t xml:space="preserve">Das, S., Markowitz, H., Scheid, J. and Statman, M. (2010). Portfolio optimization with mental accounts. Journal of Financial and Quantitative Analysis, 45(2), 311-334.</w:t>
      </w:r>
    </w:p>
    <w:p>
      <w:pPr>
        <w:spacing w:after="110" w:line="280"/>
        <w:ind w:left="340" w:hanging="340"/>
      </w:pPr>
      <w:r>
        <w:rPr>
          <w:color w:val="1A1A1A"/>
          <w:sz w:val="19"/>
          <w:szCs w:val="19"/>
        </w:rPr>
        <w:t xml:space="preserve">Kahneman, D. and Tversky, A. (1979). Prospect theory: an analysis of decision under risk. Econometrica, 47(2), 263-291.</w:t>
      </w:r>
    </w:p>
    <w:p>
      <w:pPr>
        <w:spacing w:after="110" w:line="280"/>
        <w:ind w:left="340" w:hanging="340"/>
      </w:pPr>
      <w:r>
        <w:rPr>
          <w:color w:val="1A1A1A"/>
          <w:sz w:val="19"/>
          <w:szCs w:val="19"/>
        </w:rPr>
        <w:t xml:space="preserve">Lopes, L. (1987). Between hope and fear: the psychology of risk. Advances in Experimental Social Psychology, 20, 255-295.</w:t>
      </w:r>
    </w:p>
    <w:p>
      <w:pPr>
        <w:spacing w:after="110" w:line="280"/>
        <w:ind w:left="340" w:hanging="340"/>
      </w:pPr>
      <w:r>
        <w:rPr>
          <w:color w:val="1A1A1A"/>
          <w:sz w:val="19"/>
          <w:szCs w:val="19"/>
        </w:rPr>
        <w:t xml:space="preserve">Benartzi, S. and Thaler, R. (1995). Myopic loss aversion and the equity premium puzzle. Quarterly Journal of Economics, 110(1), 73-92.</w:t>
      </w:r>
    </w:p>
    <w:p>
      <w:pPr>
        <w:spacing w:after="110" w:line="280"/>
        <w:ind w:left="340" w:hanging="340"/>
      </w:pPr>
      <w:r>
        <w:rPr>
          <w:color w:val="1A1A1A"/>
          <w:sz w:val="19"/>
          <w:szCs w:val="19"/>
        </w:rPr>
        <w:t xml:space="preserve">Roy, A. D. (1952). Safety first and the holding of assets. Econometrica, 20(3), 431-449.</w:t>
      </w:r>
    </w:p>
    <w:p>
      <w:pPr>
        <w:spacing w:after="110" w:line="280"/>
        <w:ind w:left="340" w:hanging="340"/>
      </w:pPr>
      <w:r>
        <w:rPr>
          <w:color w:val="1A1A1A"/>
          <w:sz w:val="19"/>
          <w:szCs w:val="19"/>
        </w:rPr>
        <w:t xml:space="preserve">Shefrin, H. and Statman, M. (2000). Behavioral portfolio theory. Journal of Financial and Quantitative Analysis, 35(2), 127-151.</w:t>
      </w:r>
    </w:p>
    <w:p>
      <w:pPr>
        <w:spacing w:after="110" w:line="280"/>
        <w:ind w:left="340" w:hanging="340"/>
      </w:pPr>
      <w:r>
        <w:rPr>
          <w:color w:val="1A1A1A"/>
          <w:sz w:val="19"/>
          <w:szCs w:val="19"/>
        </w:rPr>
        <w:t xml:space="preserve">Soto, C. J. and John, O. P. (2017). Short and extra-short forms of the Big Five Inventory 2. Journal of Research in Personality, 68, 69-81.</w:t>
      </w:r>
    </w:p>
    <w:p>
      <w:pPr>
        <w:spacing w:after="110" w:line="280"/>
        <w:ind w:left="340" w:hanging="340"/>
      </w:pPr>
      <w:r>
        <w:rPr>
          <w:color w:val="1A1A1A"/>
          <w:sz w:val="19"/>
          <w:szCs w:val="19"/>
        </w:rPr>
        <w:t xml:space="preserve">Tversky, A. and Kahneman, A. (1992). Advances in prospect theory: cumulative representation of uncertainty. Journal of Risk and Uncertainty, 5(4), 297-323.</w:t>
      </w:r>
    </w:p>
    <w:p>
      <w:pPr>
        <w:spacing w:after="110" w:line="280"/>
        <w:ind w:left="340" w:hanging="340"/>
      </w:pPr>
      <w:r>
        <w:rPr>
          <w:color w:val="1A1A1A"/>
          <w:sz w:val="19"/>
          <w:szCs w:val="19"/>
        </w:rPr>
        <w:t xml:space="preserve">Wakker, P. and Deneffe, D. (1996). Eliciting von Neumann-Morgenstern utilities when probabilities are distorted or unknown. Management Science, 42(8), 1131-1150.</w:t>
      </w:r>
    </w:p>
    <w:p>
      <w:r>
        <w:br w:type="page"/>
      </w:r>
    </w:p>
    <w:p>
      <w:pPr>
        <w:pStyle w:val="Heading1"/>
        <w:keepNext/>
        <w:spacing w:after="160" w:before="380"/>
      </w:pPr>
      <w:r>
        <w:rPr>
          <w:b/>
          <w:bCs/>
          <w:color w:val="1A1A1A"/>
          <w:sz w:val="28"/>
          <w:szCs w:val="28"/>
        </w:rPr>
        <w:t xml:space="preserve">Appendix A. The instrument</w:t>
      </w:r>
    </w:p>
    <w:p>
      <w:pPr>
        <w:spacing w:after="120" w:line="300"/>
      </w:pPr>
      <w:r>
        <w:rPr>
          <w:color w:val="1A1A1A"/>
          <w:sz w:val="20"/>
          <w:szCs w:val="20"/>
        </w:rPr>
        <w:t xml:space="preserve">Reproduced as fielded. Sections 5, 6 and 7 are the ones that produce the curves, and are worth reading closely; the rest are conventional.</w:t>
      </w:r>
    </w:p>
    <w:p>
      <w:pPr>
        <w:pStyle w:val="Heading3"/>
        <w:keepNext/>
        <w:spacing w:after="110" w:before="220"/>
      </w:pPr>
      <w:r>
        <w:rPr>
          <w:b/>
          <w:bCs/>
          <w:color w:val="1A1A1A"/>
          <w:sz w:val="21"/>
          <w:szCs w:val="21"/>
        </w:rPr>
        <w:t xml:space="preserve">A.2 Risk ladder</w:t>
      </w:r>
    </w:p>
    <w:p>
      <w:pPr>
        <w:spacing w:after="120" w:line="300"/>
      </w:pPr>
      <w:r>
        <w:rPr>
          <w:color w:val="1A1A1A"/>
          <w:sz w:val="19"/>
          <w:szCs w:val="19"/>
        </w:rPr>
        <w:t xml:space="preserve">For each row: would you take this coin flip, or leave your corpus alone? Mark the first row you would accept.</w:t>
      </w:r>
    </w:p>
    <w:tbl>
      <w:tblPr>
        <w:tblW w:type="dxa" w:w="57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tblGrid>
      <w:tr>
        <w:trPr>
          <w:tblHeader/>
        </w:trPr>
        <w:tc>
          <w:tcPr>
            <w:tcW w:type="dxa" w:w="9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Row</w:t>
            </w:r>
          </w:p>
        </w:tc>
        <w:tc>
          <w:tcPr>
            <w:tcW w:type="dxa" w:w="24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Heads, you gain</w:t>
            </w:r>
          </w:p>
        </w:tc>
        <w:tc>
          <w:tcPr>
            <w:tcW w:type="dxa" w:w="2400"/>
            <w:tcBorders>
              <w:top w:val="single" w:color="D8D6D0" w:sz="2"/>
              <w:left w:val="none"/>
              <w:bottom w:val="single" w:color="D8D6D0" w:sz="8"/>
              <w:right w:val="none"/>
            </w:tcBorders>
            <w:tcMar>
              <w:top w:type="dxa" w:w="70"/>
              <w:left w:type="dxa" w:w="100"/>
              <w:bottom w:type="dxa" w:w="70"/>
              <w:right w:type="dxa" w:w="100"/>
            </w:tcMar>
          </w:tcPr>
          <w:p>
            <w:pPr>
              <w:spacing w:after="0" w:line="260"/>
              <w:jc w:val="right"/>
            </w:pPr>
            <w:r>
              <w:rPr>
                <w:b/>
                <w:bCs/>
                <w:color w:val="56554F"/>
                <w:sz w:val="17"/>
                <w:szCs w:val="17"/>
              </w:rPr>
              <w:t xml:space="preserve">Tails, you lose</w:t>
            </w:r>
          </w:p>
        </w:tc>
      </w:tr>
      <w:tr>
        <w:tc>
          <w:tcPr>
            <w:tcW w:type="dxa" w:w="9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1</w:t>
            </w:r>
          </w:p>
        </w:tc>
        <w:tc>
          <w:tcPr>
            <w:tcW w:type="dxa" w:w="24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+10% of your corpus</w:t>
            </w:r>
          </w:p>
        </w:tc>
        <w:tc>
          <w:tcPr>
            <w:tcW w:type="dxa" w:w="24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-10% of your corpus</w:t>
            </w:r>
          </w:p>
        </w:tc>
      </w:tr>
      <w:tr>
        <w:tc>
          <w:tcPr>
            <w:tcW w:type="dxa" w:w="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2</w:t>
            </w:r>
          </w:p>
        </w:tc>
        <w:tc>
          <w:tcPr>
            <w:tcW w:type="dxa" w:w="2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+15% of your corpus</w:t>
            </w:r>
          </w:p>
        </w:tc>
        <w:tc>
          <w:tcPr>
            <w:tcW w:type="dxa" w:w="2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-10% of your corpus</w:t>
            </w:r>
          </w:p>
        </w:tc>
      </w:tr>
      <w:tr>
        <w:tc>
          <w:tcPr>
            <w:tcW w:type="dxa" w:w="9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3</w:t>
            </w:r>
          </w:p>
        </w:tc>
        <w:tc>
          <w:tcPr>
            <w:tcW w:type="dxa" w:w="24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+20% of your corpus</w:t>
            </w:r>
          </w:p>
        </w:tc>
        <w:tc>
          <w:tcPr>
            <w:tcW w:type="dxa" w:w="24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-10% of your corpus</w:t>
            </w:r>
          </w:p>
        </w:tc>
      </w:tr>
      <w:tr>
        <w:tc>
          <w:tcPr>
            <w:tcW w:type="dxa" w:w="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4</w:t>
            </w:r>
          </w:p>
        </w:tc>
        <w:tc>
          <w:tcPr>
            <w:tcW w:type="dxa" w:w="2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+25% of your corpus</w:t>
            </w:r>
          </w:p>
        </w:tc>
        <w:tc>
          <w:tcPr>
            <w:tcW w:type="dxa" w:w="2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-10% of your corpus</w:t>
            </w:r>
          </w:p>
        </w:tc>
      </w:tr>
      <w:tr>
        <w:tc>
          <w:tcPr>
            <w:tcW w:type="dxa" w:w="9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5</w:t>
            </w:r>
          </w:p>
        </w:tc>
        <w:tc>
          <w:tcPr>
            <w:tcW w:type="dxa" w:w="24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+30% of your corpus</w:t>
            </w:r>
          </w:p>
        </w:tc>
        <w:tc>
          <w:tcPr>
            <w:tcW w:type="dxa" w:w="24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-10% of your corpus</w:t>
            </w:r>
          </w:p>
        </w:tc>
      </w:tr>
      <w:tr>
        <w:tc>
          <w:tcPr>
            <w:tcW w:type="dxa" w:w="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6</w:t>
            </w:r>
          </w:p>
        </w:tc>
        <w:tc>
          <w:tcPr>
            <w:tcW w:type="dxa" w:w="2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+40% of your corpus</w:t>
            </w:r>
          </w:p>
        </w:tc>
        <w:tc>
          <w:tcPr>
            <w:tcW w:type="dxa" w:w="2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-10% of your corpus</w:t>
            </w:r>
          </w:p>
        </w:tc>
      </w:tr>
      <w:tr>
        <w:tc>
          <w:tcPr>
            <w:tcW w:type="dxa" w:w="9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7</w:t>
            </w:r>
          </w:p>
        </w:tc>
        <w:tc>
          <w:tcPr>
            <w:tcW w:type="dxa" w:w="24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+50% of your corpus</w:t>
            </w:r>
          </w:p>
        </w:tc>
        <w:tc>
          <w:tcPr>
            <w:tcW w:type="dxa" w:w="24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-10% of your corpus</w:t>
            </w:r>
          </w:p>
        </w:tc>
      </w:tr>
      <w:tr>
        <w:tc>
          <w:tcPr>
            <w:tcW w:type="dxa" w:w="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8</w:t>
            </w:r>
          </w:p>
        </w:tc>
        <w:tc>
          <w:tcPr>
            <w:tcW w:type="dxa" w:w="2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+65% of your corpus</w:t>
            </w:r>
          </w:p>
        </w:tc>
        <w:tc>
          <w:tcPr>
            <w:tcW w:type="dxa" w:w="2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-10% of your corpus</w:t>
            </w:r>
          </w:p>
        </w:tc>
      </w:tr>
      <w:tr>
        <w:tc>
          <w:tcPr>
            <w:tcW w:type="dxa" w:w="9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9</w:t>
            </w:r>
          </w:p>
        </w:tc>
        <w:tc>
          <w:tcPr>
            <w:tcW w:type="dxa" w:w="24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+80% of your corpus</w:t>
            </w:r>
          </w:p>
        </w:tc>
        <w:tc>
          <w:tcPr>
            <w:tcW w:type="dxa" w:w="2400"/>
            <w:tcBorders>
              <w:top w:val="single" w:color="D8D6D0" w:sz="2"/>
              <w:left w:val="none"/>
              <w:bottom w:val="single" w:color="D8D6D0" w:sz="2"/>
              <w:right w:val="none"/>
            </w:tcBorders>
            <w:tcMar>
              <w:top w:type="dxa" w:w="70"/>
              <w:left w:type="dxa" w:w="100"/>
              <w:bottom w:type="dxa" w:w="70"/>
              <w:right w:type="dxa" w:w="100"/>
            </w:tcMar>
          </w:tcPr>
          <w:p>
            <w:pPr>
              <w:spacing w:after="0" w:line="260"/>
              <w:jc w:val="right"/>
            </w:pPr>
            <w:r>
              <w:rPr>
                <w:b w:val="false"/>
                <w:bCs w:val="false"/>
                <w:color w:val="1A1A1A"/>
                <w:sz w:val="18"/>
                <w:szCs w:val="18"/>
              </w:rPr>
              <w:t xml:space="preserve">-10% of your corpus</w:t>
            </w:r>
          </w:p>
        </w:tc>
      </w:tr>
      <w:tr>
        <w:tc>
          <w:tcPr>
            <w:tcW w:type="dxa" w:w="9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10</w:t>
            </w:r>
          </w:p>
        </w:tc>
        <w:tc>
          <w:tcPr>
            <w:tcW w:type="dxa" w:w="2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+100% of your corpus</w:t>
            </w:r>
          </w:p>
        </w:tc>
        <w:tc>
          <w:tcPr>
            <w:tcW w:type="dxa" w:w="2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jc w:val="right"/>
            </w:pPr>
            <w:r>
              <w:rPr>
                <w:b w:val="false"/>
                <w:bCs w:val="false"/>
                <w:color w:val="1A1A1A"/>
                <w:sz w:val="18"/>
                <w:szCs w:val="18"/>
              </w:rPr>
              <w:t xml:space="preserve">-10% of your corpus</w:t>
            </w:r>
          </w:p>
        </w:tc>
      </w:tr>
    </w:tbl>
    <w:p>
      <w:pPr>
        <w:pStyle w:val="Heading3"/>
        <w:keepNext/>
        <w:spacing w:after="110" w:before="220"/>
      </w:pPr>
      <w:r>
        <w:rPr>
          <w:b/>
          <w:bCs/>
          <w:color w:val="1A1A1A"/>
          <w:sz w:val="21"/>
          <w:szCs w:val="21"/>
        </w:rPr>
        <w:t xml:space="preserve">A.5 Utility function</w:t>
      </w:r>
    </w:p>
    <w:p>
      <w:pPr>
        <w:spacing w:after="120" w:line="300"/>
      </w:pPr>
      <w:r>
        <w:rPr>
          <w:color w:val="1A1A1A"/>
          <w:sz w:val="19"/>
          <w:szCs w:val="19"/>
        </w:rPr>
        <w:t xml:space="preserve">Worst outcome on the table: 85% of your corpus. Best outcome: 160%. For each row, what chance of the best outcome would make the certain amount and the gamble equally attractive?</w:t>
      </w:r>
    </w:p>
    <w:tbl>
      <w:tblPr>
        <w:tblW w:type="dxa" w:w="57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tblGrid>
      <w:tr>
        <w:trPr>
          <w:tblHeader/>
        </w:trPr>
        <w:tc>
          <w:tcPr>
            <w:tcW w:type="dxa" w:w="24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Certain amount</w:t>
            </w:r>
          </w:p>
        </w:tc>
        <w:tc>
          <w:tcPr>
            <w:tcW w:type="dxa" w:w="33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Your answer, as a probability of the best outcome</w:t>
            </w:r>
          </w:p>
        </w:tc>
      </w:tr>
      <w:tr>
        <w:tc>
          <w:tcPr>
            <w:tcW w:type="dxa" w:w="24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90% of your corpus</w:t>
            </w:r>
          </w:p>
        </w:tc>
        <w:tc>
          <w:tcPr>
            <w:tcW w:type="dxa" w:w="3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
            </w:r>
          </w:p>
        </w:tc>
      </w:tr>
      <w:tr>
        <w:tc>
          <w:tcPr>
            <w:tcW w:type="dxa" w:w="24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100% of your corpus</w:t>
            </w:r>
          </w:p>
        </w:tc>
        <w:tc>
          <w:tcPr>
            <w:tcW w:type="dxa" w:w="3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
            </w:r>
          </w:p>
        </w:tc>
      </w:tr>
      <w:tr>
        <w:tc>
          <w:tcPr>
            <w:tcW w:type="dxa" w:w="24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115% of your corpus</w:t>
            </w:r>
          </w:p>
        </w:tc>
        <w:tc>
          <w:tcPr>
            <w:tcW w:type="dxa" w:w="3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
            </w:r>
          </w:p>
        </w:tc>
      </w:tr>
      <w:tr>
        <w:tc>
          <w:tcPr>
            <w:tcW w:type="dxa" w:w="24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130% of your corpus</w:t>
            </w:r>
          </w:p>
        </w:tc>
        <w:tc>
          <w:tcPr>
            <w:tcW w:type="dxa" w:w="3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
            </w:r>
          </w:p>
        </w:tc>
      </w:tr>
      <w:tr>
        <w:tc>
          <w:tcPr>
            <w:tcW w:type="dxa" w:w="24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145% of your corpus</w:t>
            </w:r>
          </w:p>
        </w:tc>
        <w:tc>
          <w:tcPr>
            <w:tcW w:type="dxa" w:w="3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
            </w:r>
          </w:p>
        </w:tc>
      </w:tr>
    </w:tbl>
    <w:p>
      <w:pPr>
        <w:pStyle w:val="Heading3"/>
        <w:keepNext/>
        <w:spacing w:after="110" w:before="220"/>
      </w:pPr>
      <w:r>
        <w:rPr>
          <w:b/>
          <w:bCs/>
          <w:color w:val="1A1A1A"/>
          <w:sz w:val="21"/>
          <w:szCs w:val="21"/>
        </w:rPr>
        <w:t xml:space="preserve">A.6 Value function</w:t>
      </w:r>
    </w:p>
    <w:tbl>
      <w:tblPr>
        <w:tblW w:type="dxa" w:w="57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tblGrid>
      <w:tr>
        <w:trPr>
          <w:tblHeader/>
        </w:trPr>
        <w:tc>
          <w:tcPr>
            <w:tcW w:type="dxa" w:w="24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The certain outcome</w:t>
            </w:r>
          </w:p>
        </w:tc>
        <w:tc>
          <w:tcPr>
            <w:tcW w:type="dxa" w:w="33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Your answer, as a probability of the full 100% move</w:t>
            </w:r>
          </w:p>
        </w:tc>
      </w:tr>
      <w:tr>
        <w:tc>
          <w:tcPr>
            <w:tcW w:type="dxa" w:w="24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A certain gain of 10% of your corpus</w:t>
            </w:r>
          </w:p>
        </w:tc>
        <w:tc>
          <w:tcPr>
            <w:tcW w:type="dxa" w:w="3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
            </w:r>
          </w:p>
        </w:tc>
      </w:tr>
      <w:tr>
        <w:tc>
          <w:tcPr>
            <w:tcW w:type="dxa" w:w="2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A certain gain of 25% of your corpus</w:t>
            </w:r>
          </w:p>
        </w:tc>
        <w:tc>
          <w:tcPr>
            <w:tcW w:type="dxa" w:w="3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
            </w:r>
          </w:p>
        </w:tc>
      </w:tr>
      <w:tr>
        <w:tc>
          <w:tcPr>
            <w:tcW w:type="dxa" w:w="24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A certain gain of 50% of your corpus</w:t>
            </w:r>
          </w:p>
        </w:tc>
        <w:tc>
          <w:tcPr>
            <w:tcW w:type="dxa" w:w="3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
            </w:r>
          </w:p>
        </w:tc>
      </w:tr>
      <w:tr>
        <w:tc>
          <w:tcPr>
            <w:tcW w:type="dxa" w:w="2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A certain loss of 10% of your corpus</w:t>
            </w:r>
          </w:p>
        </w:tc>
        <w:tc>
          <w:tcPr>
            <w:tcW w:type="dxa" w:w="3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
            </w:r>
          </w:p>
        </w:tc>
      </w:tr>
      <w:tr>
        <w:tc>
          <w:tcPr>
            <w:tcW w:type="dxa" w:w="24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A certain loss of 25% of your corpus</w:t>
            </w:r>
          </w:p>
        </w:tc>
        <w:tc>
          <w:tcPr>
            <w:tcW w:type="dxa" w:w="3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
            </w:r>
          </w:p>
        </w:tc>
      </w:tr>
      <w:tr>
        <w:tc>
          <w:tcPr>
            <w:tcW w:type="dxa" w:w="24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A certain loss of 50% of your corpus</w:t>
            </w:r>
          </w:p>
        </w:tc>
        <w:tc>
          <w:tcPr>
            <w:tcW w:type="dxa" w:w="3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
            </w:r>
          </w:p>
        </w:tc>
      </w:tr>
    </w:tbl>
    <w:p>
      <w:pPr>
        <w:spacing w:after="120" w:line="300"/>
      </w:pPr>
      <w:r>
        <w:rPr>
          <w:color w:val="1A1A1A"/>
          <w:sz w:val="19"/>
          <w:szCs w:val="19"/>
        </w:rPr>
        <w:t xml:space="preserve">Then: a coin flip loses you Rs 10,000 on tails and wins you G on heads. What is the smallest G at which you would take it?</w:t>
      </w:r>
    </w:p>
    <w:p>
      <w:pPr>
        <w:pStyle w:val="Heading3"/>
        <w:keepNext/>
        <w:spacing w:after="110" w:before="220"/>
      </w:pPr>
      <w:r>
        <w:rPr>
          <w:b/>
          <w:bCs/>
          <w:color w:val="1A1A1A"/>
          <w:sz w:val="21"/>
          <w:szCs w:val="21"/>
        </w:rPr>
        <w:t xml:space="preserve">A.7 Probability weighting</w:t>
      </w:r>
    </w:p>
    <w:tbl>
      <w:tblPr>
        <w:tblW w:type="dxa" w:w="570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tblGrid>
      <w:tr>
        <w:trPr>
          <w:tblHeader/>
        </w:trPr>
        <w:tc>
          <w:tcPr>
            <w:tcW w:type="dxa" w:w="30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The prospect</w:t>
            </w:r>
          </w:p>
        </w:tc>
        <w:tc>
          <w:tcPr>
            <w:tcW w:type="dxa" w:w="27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The certain amount you would accept instead</w:t>
            </w:r>
          </w:p>
        </w:tc>
      </w:tr>
      <w:tr>
        <w:tc>
          <w:tcPr>
            <w:tcW w:type="dxa" w:w="30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A 10% chance of Rs 10,000, otherwise nothing</w:t>
            </w:r>
          </w:p>
        </w:tc>
        <w:tc>
          <w:tcPr>
            <w:tcW w:type="dxa" w:w="27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
            </w:r>
          </w:p>
        </w:tc>
      </w:tr>
      <w:tr>
        <w:tc>
          <w:tcPr>
            <w:tcW w:type="dxa" w:w="30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A 90% chance of Rs 10,000, otherwise nothing</w:t>
            </w:r>
          </w:p>
        </w:tc>
        <w:tc>
          <w:tcPr>
            <w:tcW w:type="dxa" w:w="27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
            </w:r>
          </w:p>
        </w:tc>
      </w:tr>
    </w:tbl>
    <w:p>
      <w:pPr>
        <w:pStyle w:val="Heading3"/>
        <w:keepNext/>
        <w:spacing w:after="110" w:before="220"/>
      </w:pPr>
      <w:r>
        <w:rPr>
          <w:b/>
          <w:bCs/>
          <w:color w:val="1A1A1A"/>
          <w:sz w:val="21"/>
          <w:szCs w:val="21"/>
        </w:rPr>
        <w:t xml:space="preserve">A.4 Personality items and scoring key</w:t>
      </w:r>
    </w:p>
    <w:p>
      <w:pPr>
        <w:spacing w:after="120" w:line="300"/>
      </w:pPr>
      <w:r>
        <w:rPr>
          <w:color w:val="1A1A1A"/>
          <w:sz w:val="19"/>
          <w:szCs w:val="19"/>
        </w:rPr>
        <w:t xml:space="preserve">Rated 1 (disagree strongly) to 5 (agree strongly). Items marked R are reverse keyed, so the score is 6 minus the response. Domain scores are the mean of the six items. This is a short form written for this project and aligned to the BFI-2 domain and facet structure. For a submitted dataset, administer the official BFI-2-S from the Colby personality lab and enter the domain scores directly.</w:t>
      </w:r>
    </w:p>
    <w:tbl>
      <w:tblPr>
        <w:tblW w:type="dxa" w:w="5700"/>
        <w:tblBorders>
          <w:top w:val="single" w:color="auto" w:sz="4"/>
          <w:left w:val="single" w:color="auto" w:sz="4"/>
          <w:bottom w:val="single" w:color="auto" w:sz="4"/>
          <w:right w:val="single" w:color="auto" w:sz="4"/>
          <w:insideH w:val="single" w:color="auto" w:sz="4"/>
          <w:insideV w:val="single" w:color="auto" w:sz="4"/>
        </w:tblBorders>
      </w:tblPr>
      <w:tblGrid>
        <w:gridCol w:w="550"/>
        <w:gridCol w:w="800"/>
        <w:gridCol w:w="1300"/>
        <w:gridCol w:w="3050"/>
      </w:tblGrid>
      <w:tr>
        <w:trPr>
          <w:tblHeader/>
        </w:trPr>
        <w:tc>
          <w:tcPr>
            <w:tcW w:type="dxa" w:w="55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w:t>
            </w:r>
          </w:p>
        </w:tc>
        <w:tc>
          <w:tcPr>
            <w:tcW w:type="dxa" w:w="8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Domain</w:t>
            </w:r>
          </w:p>
        </w:tc>
        <w:tc>
          <w:tcPr>
            <w:tcW w:type="dxa" w:w="130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Facet</w:t>
            </w:r>
          </w:p>
        </w:tc>
        <w:tc>
          <w:tcPr>
            <w:tcW w:type="dxa" w:w="3050"/>
            <w:tcBorders>
              <w:top w:val="single" w:color="D8D6D0" w:sz="2"/>
              <w:left w:val="none"/>
              <w:bottom w:val="single" w:color="D8D6D0" w:sz="8"/>
              <w:right w:val="none"/>
            </w:tcBorders>
            <w:tcMar>
              <w:top w:type="dxa" w:w="70"/>
              <w:left w:type="dxa" w:w="100"/>
              <w:bottom w:type="dxa" w:w="70"/>
              <w:right w:type="dxa" w:w="100"/>
            </w:tcMar>
          </w:tcPr>
          <w:p>
            <w:pPr>
              <w:spacing w:after="0" w:line="260"/>
            </w:pPr>
            <w:r>
              <w:rPr>
                <w:b/>
                <w:bCs/>
                <w:color w:val="56554F"/>
                <w:sz w:val="17"/>
                <w:szCs w:val="17"/>
              </w:rPr>
              <w:t xml:space="preserve">Statement</w:t>
            </w:r>
          </w:p>
        </w:tc>
      </w:tr>
      <w:tr>
        <w:tc>
          <w:tcPr>
            <w:tcW w:type="dxa" w:w="5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1</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Extraversion</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Sociability</w:t>
            </w:r>
          </w:p>
        </w:tc>
        <w:tc>
          <w:tcPr>
            <w:tcW w:type="dxa" w:w="30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I start conversations easily with people I do not know.</w:t>
            </w:r>
          </w:p>
        </w:tc>
      </w:tr>
      <w:tr>
        <w:tc>
          <w:tcPr>
            <w:tcW w:type="dxa" w:w="5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2</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Agreeableness</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Compassion</w:t>
            </w:r>
          </w:p>
        </w:tc>
        <w:tc>
          <w:tcPr>
            <w:tcW w:type="dxa" w:w="30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I feel genuinely concerned when someone is having a hard time.</w:t>
            </w:r>
          </w:p>
        </w:tc>
      </w:tr>
      <w:tr>
        <w:tc>
          <w:tcPr>
            <w:tcW w:type="dxa" w:w="5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3</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Conscientiousness</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Organization</w:t>
            </w:r>
          </w:p>
        </w:tc>
        <w:tc>
          <w:tcPr>
            <w:tcW w:type="dxa" w:w="30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I like to keep my things in order.</w:t>
            </w:r>
          </w:p>
        </w:tc>
      </w:tr>
      <w:tr>
        <w:tc>
          <w:tcPr>
            <w:tcW w:type="dxa" w:w="5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4</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Negative</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Anxiety</w:t>
            </w:r>
          </w:p>
        </w:tc>
        <w:tc>
          <w:tcPr>
            <w:tcW w:type="dxa" w:w="30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I worry a lot about things that might go wrong.</w:t>
            </w:r>
          </w:p>
        </w:tc>
      </w:tr>
      <w:tr>
        <w:tc>
          <w:tcPr>
            <w:tcW w:type="dxa" w:w="5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5</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Open-Mindedness</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Intellect</w:t>
            </w:r>
          </w:p>
        </w:tc>
        <w:tc>
          <w:tcPr>
            <w:tcW w:type="dxa" w:w="30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I enjoy thinking through complicated problems.</w:t>
            </w:r>
          </w:p>
        </w:tc>
      </w:tr>
      <w:tr>
        <w:tc>
          <w:tcPr>
            <w:tcW w:type="dxa" w:w="5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6 R</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Extraversion</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Sociability</w:t>
            </w:r>
          </w:p>
        </w:tc>
        <w:tc>
          <w:tcPr>
            <w:tcW w:type="dxa" w:w="30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I keep to myself at social gatherings.</w:t>
            </w:r>
          </w:p>
        </w:tc>
      </w:tr>
      <w:tr>
        <w:tc>
          <w:tcPr>
            <w:tcW w:type="dxa" w:w="5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7 R</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Agreeableness</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Compassion</w:t>
            </w:r>
          </w:p>
        </w:tc>
        <w:tc>
          <w:tcPr>
            <w:tcW w:type="dxa" w:w="30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I find it hard to care about other people's problems.</w:t>
            </w:r>
          </w:p>
        </w:tc>
      </w:tr>
      <w:tr>
        <w:tc>
          <w:tcPr>
            <w:tcW w:type="dxa" w:w="5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8 R</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Conscientiousness</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Organization</w:t>
            </w:r>
          </w:p>
        </w:tc>
        <w:tc>
          <w:tcPr>
            <w:tcW w:type="dxa" w:w="30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I leave a mess and deal with it later.</w:t>
            </w:r>
          </w:p>
        </w:tc>
      </w:tr>
      <w:tr>
        <w:tc>
          <w:tcPr>
            <w:tcW w:type="dxa" w:w="5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9 R</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Negative</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Anxiety</w:t>
            </w:r>
          </w:p>
        </w:tc>
        <w:tc>
          <w:tcPr>
            <w:tcW w:type="dxa" w:w="30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I stay relaxed even when under real pressure.</w:t>
            </w:r>
          </w:p>
        </w:tc>
      </w:tr>
      <w:tr>
        <w:tc>
          <w:tcPr>
            <w:tcW w:type="dxa" w:w="5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10</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Open-Mindedness</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Aesthetics</w:t>
            </w:r>
          </w:p>
        </w:tc>
        <w:tc>
          <w:tcPr>
            <w:tcW w:type="dxa" w:w="30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I am moved by art, music or good design.</w:t>
            </w:r>
          </w:p>
        </w:tc>
      </w:tr>
      <w:tr>
        <w:tc>
          <w:tcPr>
            <w:tcW w:type="dxa" w:w="5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11</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Extraversion</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Assertiveness</w:t>
            </w:r>
          </w:p>
        </w:tc>
        <w:tc>
          <w:tcPr>
            <w:tcW w:type="dxa" w:w="30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I speak up when I hold a strong opinion.</w:t>
            </w:r>
          </w:p>
        </w:tc>
      </w:tr>
      <w:tr>
        <w:tc>
          <w:tcPr>
            <w:tcW w:type="dxa" w:w="5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12</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Agreeableness</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Respectfulness</w:t>
            </w:r>
          </w:p>
        </w:tc>
        <w:tc>
          <w:tcPr>
            <w:tcW w:type="dxa" w:w="30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I stay courteous with people even when I disagree with them.</w:t>
            </w:r>
          </w:p>
        </w:tc>
      </w:tr>
      <w:tr>
        <w:tc>
          <w:tcPr>
            <w:tcW w:type="dxa" w:w="5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13</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Conscientiousness</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Productiveness</w:t>
            </w:r>
          </w:p>
        </w:tc>
        <w:tc>
          <w:tcPr>
            <w:tcW w:type="dxa" w:w="30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I finish what I start.</w:t>
            </w:r>
          </w:p>
        </w:tc>
      </w:tr>
      <w:tr>
        <w:tc>
          <w:tcPr>
            <w:tcW w:type="dxa" w:w="5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14</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Negative</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Depression</w:t>
            </w:r>
          </w:p>
        </w:tc>
        <w:tc>
          <w:tcPr>
            <w:tcW w:type="dxa" w:w="30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I often feel discouraged.</w:t>
            </w:r>
          </w:p>
        </w:tc>
      </w:tr>
      <w:tr>
        <w:tc>
          <w:tcPr>
            <w:tcW w:type="dxa" w:w="5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15 R</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Open-Mindedness</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Aesthetics</w:t>
            </w:r>
          </w:p>
        </w:tc>
        <w:tc>
          <w:tcPr>
            <w:tcW w:type="dxa" w:w="30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I have little interest in artistic things.</w:t>
            </w:r>
          </w:p>
        </w:tc>
      </w:tr>
      <w:tr>
        <w:tc>
          <w:tcPr>
            <w:tcW w:type="dxa" w:w="5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16 R</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Extraversion</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Assertiveness</w:t>
            </w:r>
          </w:p>
        </w:tc>
        <w:tc>
          <w:tcPr>
            <w:tcW w:type="dxa" w:w="30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I find it hard to take the lead in a group.</w:t>
            </w:r>
          </w:p>
        </w:tc>
      </w:tr>
      <w:tr>
        <w:tc>
          <w:tcPr>
            <w:tcW w:type="dxa" w:w="5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17 R</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Agreeableness</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Respectfulness</w:t>
            </w:r>
          </w:p>
        </w:tc>
        <w:tc>
          <w:tcPr>
            <w:tcW w:type="dxa" w:w="30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I can be blunt to the point of rudeness.</w:t>
            </w:r>
          </w:p>
        </w:tc>
      </w:tr>
      <w:tr>
        <w:tc>
          <w:tcPr>
            <w:tcW w:type="dxa" w:w="5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18 R</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Conscientiousness</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Productiveness</w:t>
            </w:r>
          </w:p>
        </w:tc>
        <w:tc>
          <w:tcPr>
            <w:tcW w:type="dxa" w:w="30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I put off tasks I find difficult.</w:t>
            </w:r>
          </w:p>
        </w:tc>
      </w:tr>
      <w:tr>
        <w:tc>
          <w:tcPr>
            <w:tcW w:type="dxa" w:w="5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19 R</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Negative</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Depression</w:t>
            </w:r>
          </w:p>
        </w:tc>
        <w:tc>
          <w:tcPr>
            <w:tcW w:type="dxa" w:w="30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I rarely feel down about things.</w:t>
            </w:r>
          </w:p>
        </w:tc>
      </w:tr>
      <w:tr>
        <w:tc>
          <w:tcPr>
            <w:tcW w:type="dxa" w:w="5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20</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Open-Mindedness</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Creativity</w:t>
            </w:r>
          </w:p>
        </w:tc>
        <w:tc>
          <w:tcPr>
            <w:tcW w:type="dxa" w:w="30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I come up with new ideas easily.</w:t>
            </w:r>
          </w:p>
        </w:tc>
      </w:tr>
      <w:tr>
        <w:tc>
          <w:tcPr>
            <w:tcW w:type="dxa" w:w="5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21</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Extraversion</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Energy</w:t>
            </w:r>
          </w:p>
        </w:tc>
        <w:tc>
          <w:tcPr>
            <w:tcW w:type="dxa" w:w="30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I have a lot of energy through the day.</w:t>
            </w:r>
          </w:p>
        </w:tc>
      </w:tr>
      <w:tr>
        <w:tc>
          <w:tcPr>
            <w:tcW w:type="dxa" w:w="5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22</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Agreeableness</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Trust</w:t>
            </w:r>
          </w:p>
        </w:tc>
        <w:tc>
          <w:tcPr>
            <w:tcW w:type="dxa" w:w="30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I assume people mean well until shown otherwise.</w:t>
            </w:r>
          </w:p>
        </w:tc>
      </w:tr>
      <w:tr>
        <w:tc>
          <w:tcPr>
            <w:tcW w:type="dxa" w:w="5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23</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Conscientiousness</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Responsibility</w:t>
            </w:r>
          </w:p>
        </w:tc>
        <w:tc>
          <w:tcPr>
            <w:tcW w:type="dxa" w:w="30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People can count on me to do what I said I would.</w:t>
            </w:r>
          </w:p>
        </w:tc>
      </w:tr>
      <w:tr>
        <w:tc>
          <w:tcPr>
            <w:tcW w:type="dxa" w:w="5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24</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Negative</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Volatility</w:t>
            </w:r>
          </w:p>
        </w:tc>
        <w:tc>
          <w:tcPr>
            <w:tcW w:type="dxa" w:w="30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My mood changes quickly.</w:t>
            </w:r>
          </w:p>
        </w:tc>
      </w:tr>
      <w:tr>
        <w:tc>
          <w:tcPr>
            <w:tcW w:type="dxa" w:w="5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25 R</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Open-Mindedness</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Creativity</w:t>
            </w:r>
          </w:p>
        </w:tc>
        <w:tc>
          <w:tcPr>
            <w:tcW w:type="dxa" w:w="30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I have trouble imagining things that do not exist.</w:t>
            </w:r>
          </w:p>
        </w:tc>
      </w:tr>
      <w:tr>
        <w:tc>
          <w:tcPr>
            <w:tcW w:type="dxa" w:w="5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26 R</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Extraversion</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Energy</w:t>
            </w:r>
          </w:p>
        </w:tc>
        <w:tc>
          <w:tcPr>
            <w:tcW w:type="dxa" w:w="30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I often feel low on energy.</w:t>
            </w:r>
          </w:p>
        </w:tc>
      </w:tr>
      <w:tr>
        <w:tc>
          <w:tcPr>
            <w:tcW w:type="dxa" w:w="5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27 R</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Agreeableness</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Trust</w:t>
            </w:r>
          </w:p>
        </w:tc>
        <w:tc>
          <w:tcPr>
            <w:tcW w:type="dxa" w:w="30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I am suspicious of other people's motives.</w:t>
            </w:r>
          </w:p>
        </w:tc>
      </w:tr>
      <w:tr>
        <w:tc>
          <w:tcPr>
            <w:tcW w:type="dxa" w:w="5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28 R</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Conscientiousness</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Responsibility</w:t>
            </w:r>
          </w:p>
        </w:tc>
        <w:tc>
          <w:tcPr>
            <w:tcW w:type="dxa" w:w="30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I can be careless about commitments I have made.</w:t>
            </w:r>
          </w:p>
        </w:tc>
      </w:tr>
      <w:tr>
        <w:tc>
          <w:tcPr>
            <w:tcW w:type="dxa" w:w="5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29 R</w:t>
            </w:r>
          </w:p>
        </w:tc>
        <w:tc>
          <w:tcPr>
            <w:tcW w:type="dxa" w:w="8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Negative</w:t>
            </w:r>
          </w:p>
        </w:tc>
        <w:tc>
          <w:tcPr>
            <w:tcW w:type="dxa" w:w="130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Volatility</w:t>
            </w:r>
          </w:p>
        </w:tc>
        <w:tc>
          <w:tcPr>
            <w:tcW w:type="dxa" w:w="3050"/>
            <w:tcBorders>
              <w:top w:val="single" w:color="D8D6D0" w:sz="2"/>
              <w:left w:val="none"/>
              <w:bottom w:val="single" w:color="D8D6D0" w:sz="2"/>
              <w:right w:val="none"/>
            </w:tcBorders>
            <w:tcMar>
              <w:top w:type="dxa" w:w="70"/>
              <w:left w:type="dxa" w:w="100"/>
              <w:bottom w:type="dxa" w:w="70"/>
              <w:right w:type="dxa" w:w="100"/>
            </w:tcMar>
          </w:tcPr>
          <w:p>
            <w:pPr>
              <w:spacing w:after="0" w:line="260"/>
            </w:pPr>
            <w:r>
              <w:rPr>
                <w:b w:val="false"/>
                <w:bCs w:val="false"/>
                <w:color w:val="1A1A1A"/>
                <w:sz w:val="18"/>
                <w:szCs w:val="18"/>
              </w:rPr>
              <w:t xml:space="preserve">My emotions stay steady through the day.</w:t>
            </w:r>
          </w:p>
        </w:tc>
      </w:tr>
      <w:tr>
        <w:tc>
          <w:tcPr>
            <w:tcW w:type="dxa" w:w="5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30 R</w:t>
            </w:r>
          </w:p>
        </w:tc>
        <w:tc>
          <w:tcPr>
            <w:tcW w:type="dxa" w:w="8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Open-Mindedness</w:t>
            </w:r>
          </w:p>
        </w:tc>
        <w:tc>
          <w:tcPr>
            <w:tcW w:type="dxa" w:w="130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Intellect</w:t>
            </w:r>
          </w:p>
        </w:tc>
        <w:tc>
          <w:tcPr>
            <w:tcW w:type="dxa" w:w="3050"/>
            <w:tcBorders>
              <w:top w:val="single" w:color="D8D6D0" w:sz="2"/>
              <w:left w:val="none"/>
              <w:bottom w:val="single" w:color="D8D6D0" w:sz="2"/>
              <w:right w:val="none"/>
            </w:tcBorders>
            <w:shd w:fill="F4F3F0" w:color="auto" w:val="clear"/>
            <w:tcMar>
              <w:top w:type="dxa" w:w="70"/>
              <w:left w:type="dxa" w:w="100"/>
              <w:bottom w:type="dxa" w:w="70"/>
              <w:right w:type="dxa" w:w="100"/>
            </w:tcMar>
          </w:tcPr>
          <w:p>
            <w:pPr>
              <w:spacing w:after="0" w:line="260"/>
            </w:pPr>
            <w:r>
              <w:rPr>
                <w:b w:val="false"/>
                <w:bCs w:val="false"/>
                <w:color w:val="1A1A1A"/>
                <w:sz w:val="18"/>
                <w:szCs w:val="18"/>
              </w:rPr>
              <w:t xml:space="preserve">I avoid subjects that need a lot of thought.</w:t>
            </w:r>
          </w:p>
        </w:tc>
      </w:tr>
    </w:tbl>
    <w:p>
      <w:pPr>
        <w:pStyle w:val="Heading3"/>
        <w:keepNext/>
        <w:spacing w:after="110" w:before="220"/>
      </w:pPr>
      <w:r>
        <w:rPr>
          <w:b/>
          <w:bCs/>
          <w:color w:val="1A1A1A"/>
          <w:sz w:val="21"/>
          <w:szCs w:val="21"/>
        </w:rPr>
        <w:t xml:space="preserve">Appendix B. How to reproduce every number in this report</w:t>
      </w:r>
    </w:p>
    <w:p>
      <w:pPr>
        <w:spacing w:after="120" w:line="300"/>
      </w:pPr>
      <w:r>
        <w:rPr>
          <w:color w:val="1A1A1A"/>
          <w:sz w:val="19"/>
          <w:szCs w:val="19"/>
        </w:rPr>
        <w:t xml:space="preserve">The pipeline is four commands, in order. Each reads only the output of the one before it, so there is no hidden state and no manual step.</w:t>
      </w:r>
    </w:p>
    <w:p>
      <w:pPr>
        <w:spacing w:after="120" w:line="300"/>
      </w:pPr>
      <w:r>
        <w:rPr>
          <w:rFonts w:ascii="Consolas" w:cs="Consolas" w:eastAsia="Consolas" w:hAnsi="Consolas"/>
          <w:b/>
          <w:bCs/>
          <w:color w:val="1A1A1A"/>
          <w:sz w:val="19"/>
          <w:szCs w:val="19"/>
        </w:rPr>
        <w:t xml:space="preserve">make_pilot_data.py</w:t>
      </w:r>
      <w:r>
        <w:rPr>
          <w:color w:val="1A1A1A"/>
          <w:sz w:val="19"/>
          <w:szCs w:val="19"/>
        </w:rPr>
        <w:t xml:space="preserve">   Generates responses.json from the assumed preference profiles. Replace this step with the real survey responses when the instrument is fielded.</w:t>
      </w:r>
    </w:p>
    <w:p>
      <w:pPr>
        <w:spacing w:after="120" w:line="300"/>
      </w:pPr>
      <w:r>
        <w:rPr>
          <w:rFonts w:ascii="Consolas" w:cs="Consolas" w:eastAsia="Consolas" w:hAnsi="Consolas"/>
          <w:b/>
          <w:bCs/>
          <w:color w:val="1A1A1A"/>
          <w:sz w:val="19"/>
          <w:szCs w:val="19"/>
        </w:rPr>
        <w:t xml:space="preserve">robo_engine.py</w:t>
      </w:r>
      <w:r>
        <w:rPr>
          <w:color w:val="1A1A1A"/>
          <w:sz w:val="19"/>
          <w:szCs w:val="19"/>
        </w:rPr>
        <w:t xml:space="preserve">   Fits every parameter and builds every portfolio. Writes outputs/analysis.json and outputs/summary.csv.</w:t>
      </w:r>
    </w:p>
    <w:p>
      <w:pPr>
        <w:spacing w:after="120" w:line="300"/>
      </w:pPr>
      <w:r>
        <w:rPr>
          <w:rFonts w:ascii="Consolas" w:cs="Consolas" w:eastAsia="Consolas" w:hAnsi="Consolas"/>
          <w:b/>
          <w:bCs/>
          <w:color w:val="1A1A1A"/>
          <w:sz w:val="19"/>
          <w:szCs w:val="19"/>
        </w:rPr>
        <w:t xml:space="preserve">make_figures.py</w:t>
      </w:r>
      <w:r>
        <w:rPr>
          <w:color w:val="1A1A1A"/>
          <w:sz w:val="19"/>
          <w:szCs w:val="19"/>
        </w:rPr>
        <w:t xml:space="preserve">   Draws Figures 1 to 10 into figures/.</w:t>
      </w:r>
    </w:p>
    <w:p>
      <w:pPr>
        <w:spacing w:after="120" w:line="300"/>
      </w:pPr>
      <w:r>
        <w:rPr>
          <w:rFonts w:ascii="Consolas" w:cs="Consolas" w:eastAsia="Consolas" w:hAnsi="Consolas"/>
          <w:b/>
          <w:bCs/>
          <w:color w:val="1A1A1A"/>
          <w:sz w:val="19"/>
          <w:szCs w:val="19"/>
        </w:rPr>
        <w:t xml:space="preserve">sync_portal_pilot.py</w:t>
      </w:r>
      <w:r>
        <w:rPr>
          <w:color w:val="1A1A1A"/>
          <w:sz w:val="19"/>
          <w:szCs w:val="19"/>
        </w:rPr>
        <w:t xml:space="preserve">   Rewrites the portal's bundled pilot dataset from responses.json, so the portal and the report cannot drift apart.</w:t>
      </w:r>
    </w:p>
    <w:p>
      <w:pPr>
        <w:spacing w:after="120" w:line="300"/>
      </w:pPr>
      <w:r>
        <w:rPr>
          <w:rFonts w:ascii="Consolas" w:cs="Consolas" w:eastAsia="Consolas" w:hAnsi="Consolas"/>
          <w:b/>
          <w:bCs/>
          <w:color w:val="1A1A1A"/>
          <w:sz w:val="19"/>
          <w:szCs w:val="19"/>
        </w:rPr>
        <w:t xml:space="preserve">make_report.js</w:t>
      </w:r>
      <w:r>
        <w:rPr>
          <w:color w:val="1A1A1A"/>
          <w:sz w:val="19"/>
          <w:szCs w:val="19"/>
        </w:rPr>
        <w:t xml:space="preserve">   Builds this document, reading every quoted figure from outputs/analysis.json.</w:t>
      </w:r>
    </w:p>
    <w:sectPr>
      <w:footerReference w:type="default" r:id="rId7"/>
      <w:pgSz w:w="11906" w:h="16838" w:orient="portrait"/>
      <w:pgMar w:top="1250" w:right="1150" w:bottom="12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554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rPr>
      <w:rFonts w:ascii="Calibri" w:cs="Calibri" w:eastAsia="Calibri" w:hAnsi="Calibri"/>
      <w:b/>
      <w:bCs/>
      <w:color w:val="1A1A1A"/>
      <w:sz w:val="28"/>
      <w:szCs w:val="28"/>
    </w:rPr>
  </w:style>
  <w:style w:type="paragraph" w:styleId="Heading2">
    <w:name w:val="Heading 2"/>
    <w:basedOn w:val="Normal"/>
    <w:qFormat/>
    <w:rPr>
      <w:rFonts w:ascii="Calibri" w:cs="Calibri" w:eastAsia="Calibri" w:hAnsi="Calibri"/>
      <w:b/>
      <w:bCs/>
      <w:color w:val="1A1A1A"/>
      <w:sz w:val="23"/>
      <w:szCs w:val="23"/>
    </w:rPr>
  </w:style>
  <w:style w:type="paragraph" w:styleId="Heading3">
    <w:name w:val="Heading 3"/>
    <w:basedOn w:val="Normal"/>
    <w:qFormat/>
    <w:rPr>
      <w:rFonts w:ascii="Calibri" w:cs="Calibri" w:eastAsia="Calibri" w:hAnsi="Calibri"/>
      <w:b/>
      <w:b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f76841c0daaa25cd9b0479d2d30efdd82699f10.png"/><Relationship Id="rId9" Type="http://schemas.openxmlformats.org/officeDocument/2006/relationships/image" Target="media/d13ccb7962d9de4f43acd881117398fc68ae9e25.png"/><Relationship Id="rId10" Type="http://schemas.openxmlformats.org/officeDocument/2006/relationships/image" Target="media/a45abe4799ec7e03f83d626e2d74ca4cb59cac11.png"/><Relationship Id="rId11" Type="http://schemas.openxmlformats.org/officeDocument/2006/relationships/image" Target="media/d384f6cc77bb0b1b706366917be23b0b4d72323b.png"/><Relationship Id="rId12" Type="http://schemas.openxmlformats.org/officeDocument/2006/relationships/image" Target="media/3a97a27cb16cc17f9f26e736757faf1a6f30c2a2.png"/><Relationship Id="rId13" Type="http://schemas.openxmlformats.org/officeDocument/2006/relationships/image" Target="media/ce51aa504220426f568e2be79490cde8a649e125.png"/><Relationship Id="rId14" Type="http://schemas.openxmlformats.org/officeDocument/2006/relationships/image" Target="media/5053443502d178faddedacfbcca34d357303bf31.png"/><Relationship Id="rId15" Type="http://schemas.openxmlformats.org/officeDocument/2006/relationships/image" Target="media/17da0764ae8d3a9d98d0bf6a62ce62f93471808b.png"/><Relationship Id="rId16" Type="http://schemas.openxmlformats.org/officeDocument/2006/relationships/image" Target="media/bcd1c69b73763f5c428e82f81684c343ca47df0c.png"/><Relationship Id="rId17" Type="http://schemas.openxmlformats.org/officeDocument/2006/relationships/image" Target="media/ce51cf5e2760303f980dff4187199b5b448c98f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Financial Planning and Robo-Advisory Design</dc:title>
  <dc:creator>MBA680 Problem Statement 2</dc:creator>
  <cp:lastModifiedBy>Un-named</cp:lastModifiedBy>
  <cp:revision>1</cp:revision>
  <dcterms:created xsi:type="dcterms:W3CDTF">2026-09-27T16:28:40.343Z</dcterms:created>
  <dcterms:modified xsi:type="dcterms:W3CDTF">2026-09-27T16:28:40.347Z</dcterms:modified>
</cp:coreProperties>
</file>

<file path=docProps/custom.xml><?xml version="1.0" encoding="utf-8"?>
<Properties xmlns="http://schemas.openxmlformats.org/officeDocument/2006/custom-properties" xmlns:vt="http://schemas.openxmlformats.org/officeDocument/2006/docPropsVTypes"/>
</file>