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28"/>
        </w:rPr>
        <w:t>A PROJECT BASED LEARNING (PBL) REPORT</w:t>
        <w:br/>
        <w:t>ON</w:t>
        <w:br/>
      </w:r>
      <w:r>
        <w:rPr>
          <w:rFonts w:ascii="Times New Roman" w:hAnsi="Times New Roman"/>
          <w:b/>
          <w:color w:val="102C57"/>
          <w:sz w:val="36"/>
        </w:rPr>
        <w:t>EFFICIENT AI INFRASTRUCTURE FOR TESS:</w:t>
        <w:br/>
        <w:t>COST- AND PERFORMANCE-AWARE INTELLIGENT AI MODEL ROUTER</w:t>
        <w:br/>
      </w:r>
    </w:p>
    <w:p>
      <w:pPr>
        <w:spacing w:after="600"/>
        <w:jc w:val="center"/>
      </w:pPr>
      <w:r>
        <w:rPr>
          <w:rFonts w:ascii="Times New Roman" w:hAnsi="Times New Roman"/>
          <w:b/>
          <w:sz w:val="24"/>
        </w:rPr>
        <w:t>SUBMITTED IN PARTIAL FULFILLMENT OF THE REQUIREMENTS FOR THE DEGREE OF</w:t>
        <w:br/>
        <w:t>BACHELOR OF ENGINEERING</w:t>
        <w:br/>
        <w:t>IN COMPUTER ENGINEERING</w:t>
      </w:r>
    </w:p>
    <w:p>
      <w:pPr>
        <w:spacing w:after="600"/>
        <w:jc w:val="center"/>
      </w:pPr>
      <w:r>
        <w:rPr>
          <w:rFonts w:ascii="Times New Roman" w:hAnsi="Times New Roman"/>
          <w:b/>
          <w:sz w:val="24"/>
        </w:rPr>
        <w:t>SUBMITTED BY (GROUP ID: TE-55):</w:t>
        <w:br/>
        <w:br/>
      </w:r>
      <w:r>
        <w:rPr>
          <w:rFonts w:ascii="Times New Roman" w:hAnsi="Times New Roman"/>
          <w:sz w:val="22"/>
        </w:rPr>
        <w:t>1. Harsh Zhadge (Seat No: TE-COMP-01)</w:t>
        <w:br/>
      </w:r>
      <w:r>
        <w:rPr>
          <w:rFonts w:ascii="Times New Roman" w:hAnsi="Times New Roman"/>
          <w:sz w:val="22"/>
        </w:rPr>
        <w:t>2. Team Member 2 (Seat No: TE-COMP-02)</w:t>
        <w:br/>
      </w:r>
      <w:r>
        <w:rPr>
          <w:rFonts w:ascii="Times New Roman" w:hAnsi="Times New Roman"/>
          <w:sz w:val="22"/>
        </w:rPr>
        <w:t>3. Team Member 3 (Seat No: TE-COMP-03)</w:t>
        <w:br/>
      </w:r>
      <w:r>
        <w:rPr>
          <w:rFonts w:ascii="Times New Roman" w:hAnsi="Times New Roman"/>
          <w:sz w:val="22"/>
        </w:rPr>
        <w:t>4. Team Member 4 (Seat No: TE-COMP-04)</w:t>
        <w:br/>
      </w:r>
    </w:p>
    <w:p>
      <w:pPr>
        <w:spacing w:after="800"/>
        <w:jc w:val="center"/>
      </w:pPr>
      <w:r>
        <w:rPr>
          <w:rFonts w:ascii="Times New Roman" w:hAnsi="Times New Roman"/>
          <w:b/>
          <w:sz w:val="24"/>
        </w:rPr>
        <w:t>UNDER THE GUIDANCE OF</w:t>
        <w:br/>
        <w:t>PROJECT GUIDE / PROFESSOR</w:t>
        <w:br/>
        <w:t>Department of Computer Engineering</w:t>
      </w:r>
    </w:p>
    <w:p>
      <w:pPr>
        <w:jc w:val="center"/>
      </w:pPr>
      <w:r>
        <w:rPr>
          <w:rFonts w:ascii="Times New Roman" w:hAnsi="Times New Roman"/>
          <w:b/>
          <w:color w:val="102C57"/>
          <w:sz w:val="26"/>
        </w:rPr>
        <w:t>DEPARTMENT OF COMPUTER ENGINEERING</w:t>
        <w:br/>
        <w:t>SAVITRIBAI PHULE PUNE UNIVERSITY, PUNE</w:t>
        <w:br/>
        <w:t>ACADEMIC YEAR 2026-2027</w:t>
      </w:r>
    </w:p>
    <w:p>
      <w:r>
        <w:br w:type="page"/>
      </w:r>
    </w:p>
    <w:p>
      <w:pPr>
        <w:keepNext/>
        <w:spacing w:before="480" w:after="360"/>
        <w:jc w:val="center"/>
      </w:pPr>
      <w:r>
        <w:rPr>
          <w:rFonts w:ascii="Times New Roman" w:hAnsi="Times New Roman"/>
          <w:b/>
          <w:color w:val="102C57"/>
          <w:sz w:val="36"/>
        </w:rPr>
        <w:t>CERTIFICATE</w:t>
      </w:r>
    </w:p>
    <w:p>
      <w:pPr>
        <w:spacing w:after="120" w:line="276" w:lineRule="auto"/>
        <w:jc w:val="both"/>
      </w:pPr>
      <w:r>
        <w:rPr>
          <w:rFonts w:ascii="Times New Roman" w:hAnsi="Times New Roman"/>
          <w:b w:val="0"/>
          <w:i w:val="0"/>
          <w:sz w:val="24"/>
        </w:rPr>
        <w:t>This is to certify that the Problem Based Learning (PBL) project report entitled 'EFFICIENT AI INFRASTRUCTURE FOR TESS – COST- AND PERFORMANCE-AWARE INTELLIGENT AI MODEL ROUTER' has been successfully submitted by:</w:t>
      </w:r>
    </w:p>
    <w:p>
      <w:pPr>
        <w:spacing w:after="120" w:line="276" w:lineRule="auto"/>
        <w:jc w:val="both"/>
      </w:pPr>
      <w:r>
        <w:rPr>
          <w:rFonts w:ascii="Times New Roman" w:hAnsi="Times New Roman"/>
          <w:b/>
          <w:i w:val="0"/>
          <w:sz w:val="24"/>
        </w:rPr>
        <w:t>• 1. Harsh Zhadge (Seat No: TE-COMP-01)</w:t>
      </w:r>
    </w:p>
    <w:p>
      <w:pPr>
        <w:spacing w:after="120" w:line="276" w:lineRule="auto"/>
        <w:jc w:val="both"/>
      </w:pPr>
      <w:r>
        <w:rPr>
          <w:rFonts w:ascii="Times New Roman" w:hAnsi="Times New Roman"/>
          <w:b/>
          <w:i w:val="0"/>
          <w:sz w:val="24"/>
        </w:rPr>
        <w:t>• 2. Team Member 2 (Seat No: TE-COMP-02)</w:t>
      </w:r>
    </w:p>
    <w:p>
      <w:pPr>
        <w:spacing w:after="120" w:line="276" w:lineRule="auto"/>
        <w:jc w:val="both"/>
      </w:pPr>
      <w:r>
        <w:rPr>
          <w:rFonts w:ascii="Times New Roman" w:hAnsi="Times New Roman"/>
          <w:b/>
          <w:i w:val="0"/>
          <w:sz w:val="24"/>
        </w:rPr>
        <w:t>• 3. Team Member 3 (Seat No: TE-COMP-03)</w:t>
      </w:r>
    </w:p>
    <w:p>
      <w:pPr>
        <w:spacing w:after="120" w:line="276" w:lineRule="auto"/>
        <w:jc w:val="both"/>
      </w:pPr>
      <w:r>
        <w:rPr>
          <w:rFonts w:ascii="Times New Roman" w:hAnsi="Times New Roman"/>
          <w:b/>
          <w:i w:val="0"/>
          <w:sz w:val="24"/>
        </w:rPr>
        <w:t>• 4. Team Member 4 (Seat No: TE-COMP-04)</w:t>
      </w:r>
    </w:p>
    <w:p>
      <w:pPr>
        <w:spacing w:after="120" w:line="276" w:lineRule="auto"/>
        <w:jc w:val="both"/>
      </w:pPr>
      <w:r>
        <w:rPr>
          <w:rFonts w:ascii="Times New Roman" w:hAnsi="Times New Roman"/>
          <w:b w:val="0"/>
          <w:i w:val="0"/>
          <w:sz w:val="24"/>
        </w:rPr>
        <w:br/>
        <w:t>in partial fulfillment of the requirements for the award of the Degree of Bachelor of Engineering in Computer Engineering from Savitribai Phule Pune University, Pune, for the academic year 2026-2027.</w:t>
      </w:r>
    </w:p>
    <w:p>
      <w:pPr>
        <w:spacing w:after="120" w:line="276" w:lineRule="auto"/>
        <w:jc w:val="both"/>
      </w:pPr>
      <w:r>
        <w:rPr>
          <w:rFonts w:ascii="Times New Roman" w:hAnsi="Times New Roman"/>
          <w:b w:val="0"/>
          <w:i w:val="0"/>
          <w:sz w:val="24"/>
        </w:rPr>
        <w:t>The report embodies original work carried out by the students under academic supervision and satisfies the procedural requirements stipulated by the University curriculum.</w:t>
        <w:br/>
        <w:br/>
        <w:br/>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_____________________</w:t>
              <w:br/>
            </w:r>
            <w:r>
              <w:rPr>
                <w:b/>
                <w:sz w:val="22"/>
              </w:rPr>
              <w:t>Project Guide</w:t>
            </w:r>
          </w:p>
        </w:tc>
        <w:tc>
          <w:tcPr>
            <w:tcW w:type="dxa" w:w="3120"/>
          </w:tcPr>
          <w:p>
            <w:pPr>
              <w:jc w:val="center"/>
            </w:pPr>
            <w:r>
              <w:rPr>
                <w:b/>
              </w:rPr>
              <w:t>_____________________</w:t>
              <w:br/>
            </w:r>
            <w:r>
              <w:rPr>
                <w:b/>
                <w:sz w:val="22"/>
              </w:rPr>
              <w:t>PBL Coordinator</w:t>
            </w:r>
          </w:p>
        </w:tc>
        <w:tc>
          <w:tcPr>
            <w:tcW w:type="dxa" w:w="3120"/>
          </w:tcPr>
          <w:p>
            <w:pPr>
              <w:jc w:val="center"/>
            </w:pPr>
            <w:r>
              <w:rPr>
                <w:b/>
              </w:rPr>
              <w:t>_____________________</w:t>
              <w:br/>
            </w:r>
            <w:r>
              <w:rPr>
                <w:b/>
                <w:sz w:val="22"/>
              </w:rPr>
              <w:t>Head of Department</w:t>
            </w:r>
          </w:p>
        </w:tc>
      </w:tr>
      <w:tr>
        <w:tc>
          <w:tcPr>
            <w:tcW w:type="dxa" w:w="3120"/>
          </w:tcPr>
          <w:p/>
        </w:tc>
        <w:tc>
          <w:tcPr>
            <w:tcW w:type="dxa" w:w="3120"/>
          </w:tcPr>
          <w:p/>
        </w:tc>
        <w:tc>
          <w:tcPr>
            <w:tcW w:type="dxa" w:w="3120"/>
          </w:tcPr>
          <w:p/>
        </w:tc>
      </w:tr>
    </w:tbl>
    <w:p>
      <w:r>
        <w:br w:type="page"/>
      </w:r>
    </w:p>
    <w:p>
      <w:pPr>
        <w:keepNext/>
        <w:spacing w:before="480" w:after="240"/>
        <w:jc w:val="center"/>
      </w:pPr>
      <w:r>
        <w:rPr>
          <w:rFonts w:ascii="Times New Roman" w:hAnsi="Times New Roman"/>
          <w:b/>
          <w:color w:val="102C57"/>
          <w:sz w:val="32"/>
        </w:rPr>
        <w:t>ABSTRACT</w:t>
      </w:r>
    </w:p>
    <w:p>
      <w:pPr>
        <w:spacing w:after="120" w:line="276" w:lineRule="auto"/>
        <w:jc w:val="both"/>
      </w:pPr>
      <w:r>
        <w:rPr>
          <w:rFonts w:ascii="Times New Roman" w:hAnsi="Times New Roman"/>
          <w:b w:val="0"/>
          <w:i w:val="0"/>
          <w:sz w:val="24"/>
        </w:rPr>
        <w:t>With the exponential proliferation of Large Language Models (LLMs), modern software systems face severe cost and latency bottlenecks arising from the default practice of sending every query to monolithic, high-parameter frontier models. Empirical investigations reveal that over 70% of production queries comprise straightforward factual lookups, definitional queries, and routine syntactic transformations that do not require frontier reasoning capabilities. Routing all traffic indiscriminately to high-capacity models incurs unnecessary cloud compute expenditures, elevated latency, and avoidable privacy risks.</w:t>
      </w:r>
    </w:p>
    <w:p>
      <w:pPr>
        <w:spacing w:after="120" w:line="276" w:lineRule="auto"/>
        <w:jc w:val="both"/>
      </w:pPr>
      <w:r>
        <w:rPr>
          <w:rFonts w:ascii="Times New Roman" w:hAnsi="Times New Roman"/>
          <w:b w:val="0"/>
          <w:i w:val="0"/>
          <w:sz w:val="24"/>
        </w:rPr>
        <w:t>This project introduces an intelligent, cost- and performance-aware AI inference routing prototype designed for college-level demonstration. The system comprises an explainable request analyzer, a multi-objective utility decision engine, an exact-match query cache, and a multi-tier model registry representing Small (₹0.01/req), Medium (₹0.03/req), and Large (₹0.08/req) model capacities. A deterministic scoring heuristic categorizes incoming requests into Low, Medium, and High complexity while flagging sensitive tokens (such as Aadhaar, PAN, and credentials) for local isolated processing.</w:t>
      </w:r>
    </w:p>
    <w:p>
      <w:pPr>
        <w:spacing w:after="120" w:line="276" w:lineRule="auto"/>
        <w:jc w:val="both"/>
      </w:pPr>
      <w:r>
        <w:rPr>
          <w:rFonts w:ascii="Times New Roman" w:hAnsi="Times New Roman"/>
          <w:b w:val="0"/>
          <w:i w:val="0"/>
          <w:sz w:val="24"/>
        </w:rPr>
        <w:t>A benchmark dataset of 325 realistic software and computer engineering queries was synthesized and evaluated. Experimental results demonstrate that intelligent routing achieves a 54.35% reduction in overall inference expenditure and a 45.72% reduction in end-to-end response latency compared to a monolithic Large Model baseline, while preserving expected output quality. An integrated telemetry dashboard built with FastAPI, SQLite, and Chart.js provides real-time observability over model utilization, latency curves, and cumulative fiscal savings.</w:t>
      </w:r>
    </w:p>
    <w:p>
      <w:pPr>
        <w:spacing w:after="120" w:line="276" w:lineRule="auto"/>
        <w:jc w:val="both"/>
      </w:pPr>
      <w:r>
        <w:rPr>
          <w:rFonts w:ascii="Times New Roman" w:hAnsi="Times New Roman"/>
          <w:b/>
          <w:i w:val="0"/>
          <w:sz w:val="24"/>
        </w:rPr>
        <w:br/>
        <w:t xml:space="preserve">Keywords: </w:t>
      </w:r>
      <w:r>
        <w:rPr>
          <w:i/>
        </w:rPr>
        <w:t>AI Inference Optimization, Model Routing, Small Language Models (SLMs), Cost-Aware Systems, Latency Reduction, Semantic Caching, MLOps.</w:t>
      </w:r>
    </w:p>
    <w:p>
      <w:r>
        <w:br w:type="page"/>
      </w:r>
    </w:p>
    <w:p>
      <w:pPr>
        <w:keepNext/>
        <w:spacing w:before="480" w:after="240"/>
        <w:jc w:val="center"/>
      </w:pPr>
      <w:r>
        <w:rPr>
          <w:rFonts w:ascii="Times New Roman" w:hAnsi="Times New Roman"/>
          <w:b/>
          <w:color w:val="102C57"/>
          <w:sz w:val="32"/>
        </w:rPr>
        <w:t>TABLE OF CONTENTS</w:t>
      </w:r>
    </w:p>
    <w:p>
      <w:pPr>
        <w:spacing w:after="40" w:line="276" w:lineRule="auto"/>
      </w:pPr>
      <w:r>
        <w:rPr>
          <w:rFonts w:ascii="Times New Roman" w:hAnsi="Times New Roman"/>
          <w:b/>
          <w:sz w:val="22"/>
        </w:rPr>
        <w:t>1. Introduction &amp; Background</w:t>
      </w:r>
      <w:r>
        <w:rPr>
          <w:rFonts w:ascii="Times New Roman" w:hAnsi="Times New Roman"/>
          <w:sz w:val="22"/>
        </w:rPr>
        <w:t xml:space="preserve"> . . . . . . . . . . . . . . . . . . . . . . . 1</w:t>
      </w:r>
    </w:p>
    <w:p>
      <w:pPr>
        <w:spacing w:after="40" w:line="276" w:lineRule="auto"/>
      </w:pPr>
      <w:r>
        <w:rPr>
          <w:rFonts w:ascii="Times New Roman" w:hAnsi="Times New Roman"/>
          <w:sz w:val="22"/>
        </w:rPr>
        <w:t xml:space="preserve">   1.1 Motivation: The LLM Inference Bottleneck</w:t>
      </w:r>
      <w:r>
        <w:rPr>
          <w:rFonts w:ascii="Times New Roman" w:hAnsi="Times New Roman"/>
          <w:sz w:val="22"/>
        </w:rPr>
        <w:t xml:space="preserve"> . . . . . . . . . . . . . . 1</w:t>
      </w:r>
    </w:p>
    <w:p>
      <w:pPr>
        <w:spacing w:after="40" w:line="276" w:lineRule="auto"/>
      </w:pPr>
      <w:r>
        <w:rPr>
          <w:rFonts w:ascii="Times New Roman" w:hAnsi="Times New Roman"/>
          <w:sz w:val="22"/>
        </w:rPr>
        <w:t xml:space="preserve">   1.2 Problem Statement</w:t>
      </w:r>
      <w:r>
        <w:rPr>
          <w:rFonts w:ascii="Times New Roman" w:hAnsi="Times New Roman"/>
          <w:sz w:val="22"/>
        </w:rPr>
        <w:t xml:space="preserve"> . . . . . . . . . . . . . . . . . . . . . . . . . 2</w:t>
      </w:r>
    </w:p>
    <w:p>
      <w:pPr>
        <w:spacing w:after="40" w:line="276" w:lineRule="auto"/>
      </w:pPr>
      <w:r>
        <w:rPr>
          <w:rFonts w:ascii="Times New Roman" w:hAnsi="Times New Roman"/>
          <w:sz w:val="22"/>
        </w:rPr>
        <w:t xml:space="preserve">   1.3 Project Objectives</w:t>
      </w:r>
      <w:r>
        <w:rPr>
          <w:rFonts w:ascii="Times New Roman" w:hAnsi="Times New Roman"/>
          <w:sz w:val="22"/>
        </w:rPr>
        <w:t xml:space="preserve"> . . . . . . . . . . . . . . . . . . . . . . . . . 2</w:t>
      </w:r>
    </w:p>
    <w:p>
      <w:pPr>
        <w:spacing w:after="40" w:line="276" w:lineRule="auto"/>
      </w:pPr>
      <w:r>
        <w:rPr>
          <w:rFonts w:ascii="Times New Roman" w:hAnsi="Times New Roman"/>
          <w:sz w:val="22"/>
        </w:rPr>
        <w:t xml:space="preserve">   1.4 Scope and Constraints (College Prototype)</w:t>
      </w:r>
      <w:r>
        <w:rPr>
          <w:rFonts w:ascii="Times New Roman" w:hAnsi="Times New Roman"/>
          <w:sz w:val="22"/>
        </w:rPr>
        <w:t xml:space="preserve"> . . . . . . . . . . . . . 3</w:t>
      </w:r>
    </w:p>
    <w:p>
      <w:pPr>
        <w:spacing w:after="40" w:line="276" w:lineRule="auto"/>
      </w:pPr>
      <w:r>
        <w:rPr>
          <w:rFonts w:ascii="Times New Roman" w:hAnsi="Times New Roman"/>
          <w:b/>
          <w:sz w:val="22"/>
        </w:rPr>
        <w:t>2. Literature Survey &amp; Related Work</w:t>
      </w:r>
      <w:r>
        <w:rPr>
          <w:rFonts w:ascii="Times New Roman" w:hAnsi="Times New Roman"/>
          <w:sz w:val="22"/>
        </w:rPr>
        <w:t xml:space="preserve"> . . . . . . . . . . . . . . . . . . . . 4</w:t>
      </w:r>
    </w:p>
    <w:p>
      <w:pPr>
        <w:spacing w:after="40" w:line="276" w:lineRule="auto"/>
      </w:pPr>
      <w:r>
        <w:rPr>
          <w:rFonts w:ascii="Times New Roman" w:hAnsi="Times New Roman"/>
          <w:sz w:val="22"/>
        </w:rPr>
        <w:t xml:space="preserve">   2.1 Evolution of Foundation Models &amp; SLMs</w:t>
      </w:r>
      <w:r>
        <w:rPr>
          <w:rFonts w:ascii="Times New Roman" w:hAnsi="Times New Roman"/>
          <w:sz w:val="22"/>
        </w:rPr>
        <w:t xml:space="preserve"> . . . . . . . . . . . . . . . 4</w:t>
      </w:r>
    </w:p>
    <w:p>
      <w:pPr>
        <w:spacing w:after="40" w:line="276" w:lineRule="auto"/>
      </w:pPr>
      <w:r>
        <w:rPr>
          <w:rFonts w:ascii="Times New Roman" w:hAnsi="Times New Roman"/>
          <w:sz w:val="22"/>
        </w:rPr>
        <w:t xml:space="preserve">   2.2 Model Cascading &amp; Adaptive Routing Paradigms</w:t>
      </w:r>
      <w:r>
        <w:rPr>
          <w:rFonts w:ascii="Times New Roman" w:hAnsi="Times New Roman"/>
          <w:sz w:val="22"/>
        </w:rPr>
        <w:t xml:space="preserve"> . . . . . . . . . . . . 5</w:t>
      </w:r>
    </w:p>
    <w:p>
      <w:pPr>
        <w:spacing w:after="40" w:line="276" w:lineRule="auto"/>
      </w:pPr>
      <w:r>
        <w:rPr>
          <w:rFonts w:ascii="Times New Roman" w:hAnsi="Times New Roman"/>
          <w:sz w:val="22"/>
        </w:rPr>
        <w:t xml:space="preserve">   2.3 Caching Strategies for High-Throughput Inference</w:t>
      </w:r>
      <w:r>
        <w:rPr>
          <w:rFonts w:ascii="Times New Roman" w:hAnsi="Times New Roman"/>
          <w:sz w:val="22"/>
        </w:rPr>
        <w:t xml:space="preserve"> . . . . . . . . . . 6</w:t>
      </w:r>
    </w:p>
    <w:p>
      <w:pPr>
        <w:spacing w:after="40" w:line="276" w:lineRule="auto"/>
      </w:pPr>
      <w:r>
        <w:rPr>
          <w:rFonts w:ascii="Times New Roman" w:hAnsi="Times New Roman"/>
          <w:b/>
          <w:sz w:val="22"/>
        </w:rPr>
        <w:t>3. System Architecture &amp; Design</w:t>
      </w:r>
      <w:r>
        <w:rPr>
          <w:rFonts w:ascii="Times New Roman" w:hAnsi="Times New Roman"/>
          <w:sz w:val="22"/>
        </w:rPr>
        <w:t xml:space="preserve"> . . . . . . . . . . . . . . . . . . . . . . 7</w:t>
      </w:r>
    </w:p>
    <w:p>
      <w:pPr>
        <w:spacing w:after="40" w:line="276" w:lineRule="auto"/>
      </w:pPr>
      <w:r>
        <w:rPr>
          <w:rFonts w:ascii="Times New Roman" w:hAnsi="Times New Roman"/>
          <w:sz w:val="22"/>
        </w:rPr>
        <w:t xml:space="preserve">   3.1 End-to-End Component Flow</w:t>
      </w:r>
      <w:r>
        <w:rPr>
          <w:rFonts w:ascii="Times New Roman" w:hAnsi="Times New Roman"/>
          <w:sz w:val="22"/>
        </w:rPr>
        <w:t xml:space="preserve"> . . . . . . . . . . . . . . . . . . . . . 7</w:t>
      </w:r>
    </w:p>
    <w:p>
      <w:pPr>
        <w:spacing w:after="40" w:line="276" w:lineRule="auto"/>
      </w:pPr>
      <w:r>
        <w:rPr>
          <w:rFonts w:ascii="Times New Roman" w:hAnsi="Times New Roman"/>
          <w:sz w:val="22"/>
        </w:rPr>
        <w:t xml:space="preserve">   3.2 Request Analyzer Subsystem</w:t>
      </w:r>
      <w:r>
        <w:rPr>
          <w:rFonts w:ascii="Times New Roman" w:hAnsi="Times New Roman"/>
          <w:sz w:val="22"/>
        </w:rPr>
        <w:t xml:space="preserve"> . . . . . . . . . . . . . . . . . . . . . 8</w:t>
      </w:r>
    </w:p>
    <w:p>
      <w:pPr>
        <w:spacing w:after="40" w:line="276" w:lineRule="auto"/>
      </w:pPr>
      <w:r>
        <w:rPr>
          <w:rFonts w:ascii="Times New Roman" w:hAnsi="Times New Roman"/>
          <w:sz w:val="22"/>
        </w:rPr>
        <w:t xml:space="preserve">   3.3 Privacy &amp; Data Sovereignty Shield</w:t>
      </w:r>
      <w:r>
        <w:rPr>
          <w:rFonts w:ascii="Times New Roman" w:hAnsi="Times New Roman"/>
          <w:sz w:val="22"/>
        </w:rPr>
        <w:t xml:space="preserve"> . . . . . . . . . . . . . . . . . 9</w:t>
      </w:r>
    </w:p>
    <w:p>
      <w:pPr>
        <w:spacing w:after="40" w:line="276" w:lineRule="auto"/>
      </w:pPr>
      <w:r>
        <w:rPr>
          <w:rFonts w:ascii="Times New Roman" w:hAnsi="Times New Roman"/>
          <w:sz w:val="22"/>
        </w:rPr>
        <w:t xml:space="preserve">   3.4 Multi-Tier Model Registry</w:t>
      </w:r>
      <w:r>
        <w:rPr>
          <w:rFonts w:ascii="Times New Roman" w:hAnsi="Times New Roman"/>
          <w:sz w:val="22"/>
        </w:rPr>
        <w:t xml:space="preserve"> . . . . . . . . . . . . . . . . . . . . . 9</w:t>
      </w:r>
    </w:p>
    <w:p>
      <w:pPr>
        <w:spacing w:after="40" w:line="276" w:lineRule="auto"/>
      </w:pPr>
      <w:r>
        <w:rPr>
          <w:rFonts w:ascii="Times New Roman" w:hAnsi="Times New Roman"/>
          <w:b/>
          <w:sz w:val="22"/>
        </w:rPr>
        <w:t>4. Mathematical Formulation &amp; Routing Algorithm</w:t>
      </w:r>
      <w:r>
        <w:rPr>
          <w:rFonts w:ascii="Times New Roman" w:hAnsi="Times New Roman"/>
          <w:sz w:val="22"/>
        </w:rPr>
        <w:t xml:space="preserve"> . . . . . . . . . . . . . . 10</w:t>
      </w:r>
    </w:p>
    <w:p>
      <w:pPr>
        <w:spacing w:after="40" w:line="276" w:lineRule="auto"/>
      </w:pPr>
      <w:r>
        <w:rPr>
          <w:rFonts w:ascii="Times New Roman" w:hAnsi="Times New Roman"/>
          <w:sz w:val="22"/>
        </w:rPr>
        <w:t xml:space="preserve">   4.1 Syntactic &amp; Complexity Scoring Formulation</w:t>
      </w:r>
      <w:r>
        <w:rPr>
          <w:rFonts w:ascii="Times New Roman" w:hAnsi="Times New Roman"/>
          <w:sz w:val="22"/>
        </w:rPr>
        <w:t xml:space="preserve"> . . . . . . . . . . . . . 10</w:t>
      </w:r>
    </w:p>
    <w:p>
      <w:pPr>
        <w:spacing w:after="40" w:line="276" w:lineRule="auto"/>
      </w:pPr>
      <w:r>
        <w:rPr>
          <w:rFonts w:ascii="Times New Roman" w:hAnsi="Times New Roman"/>
          <w:sz w:val="22"/>
        </w:rPr>
        <w:t xml:space="preserve">   4.2 Multi-Objective Utility Maximization</w:t>
      </w:r>
      <w:r>
        <w:rPr>
          <w:rFonts w:ascii="Times New Roman" w:hAnsi="Times New Roman"/>
          <w:sz w:val="22"/>
        </w:rPr>
        <w:t xml:space="preserve"> . . . . . . . . . . . . . . . . 11</w:t>
      </w:r>
    </w:p>
    <w:p>
      <w:pPr>
        <w:spacing w:after="40" w:line="276" w:lineRule="auto"/>
      </w:pPr>
      <w:r>
        <w:rPr>
          <w:rFonts w:ascii="Times New Roman" w:hAnsi="Times New Roman"/>
          <w:sz w:val="22"/>
        </w:rPr>
        <w:t xml:space="preserve">   4.3 Fallback Explainable Routing Rules</w:t>
      </w:r>
      <w:r>
        <w:rPr>
          <w:rFonts w:ascii="Times New Roman" w:hAnsi="Times New Roman"/>
          <w:sz w:val="22"/>
        </w:rPr>
        <w:t xml:space="preserve"> . . . . . . . . . . . . . . . . . 12</w:t>
      </w:r>
    </w:p>
    <w:p>
      <w:pPr>
        <w:spacing w:after="40" w:line="276" w:lineRule="auto"/>
      </w:pPr>
      <w:r>
        <w:rPr>
          <w:rFonts w:ascii="Times New Roman" w:hAnsi="Times New Roman"/>
          <w:b/>
          <w:sz w:val="22"/>
        </w:rPr>
        <w:t>5. Implementation Details</w:t>
      </w:r>
      <w:r>
        <w:rPr>
          <w:rFonts w:ascii="Times New Roman" w:hAnsi="Times New Roman"/>
          <w:sz w:val="22"/>
        </w:rPr>
        <w:t xml:space="preserve"> . . . . . . . . . . . . . . . . . . . . . . . . . 13</w:t>
      </w:r>
    </w:p>
    <w:p>
      <w:pPr>
        <w:spacing w:after="40" w:line="276" w:lineRule="auto"/>
      </w:pPr>
      <w:r>
        <w:rPr>
          <w:rFonts w:ascii="Times New Roman" w:hAnsi="Times New Roman"/>
          <w:sz w:val="22"/>
        </w:rPr>
        <w:t xml:space="preserve">   5.1 Technology Stack Selection</w:t>
      </w:r>
      <w:r>
        <w:rPr>
          <w:rFonts w:ascii="Times New Roman" w:hAnsi="Times New Roman"/>
          <w:sz w:val="22"/>
        </w:rPr>
        <w:t xml:space="preserve"> . . . . . . . . . . . . . . . . . . . . . 13</w:t>
      </w:r>
    </w:p>
    <w:p>
      <w:pPr>
        <w:spacing w:after="40" w:line="276" w:lineRule="auto"/>
      </w:pPr>
      <w:r>
        <w:rPr>
          <w:rFonts w:ascii="Times New Roman" w:hAnsi="Times New Roman"/>
          <w:sz w:val="22"/>
        </w:rPr>
        <w:t xml:space="preserve">   5.2 Backend API Architecture (FastAPI &amp; SQLite)</w:t>
      </w:r>
      <w:r>
        <w:rPr>
          <w:rFonts w:ascii="Times New Roman" w:hAnsi="Times New Roman"/>
          <w:sz w:val="22"/>
        </w:rPr>
        <w:t xml:space="preserve"> . . . . . . . . . . . . 14</w:t>
      </w:r>
    </w:p>
    <w:p>
      <w:pPr>
        <w:spacing w:after="40" w:line="276" w:lineRule="auto"/>
      </w:pPr>
      <w:r>
        <w:rPr>
          <w:rFonts w:ascii="Times New Roman" w:hAnsi="Times New Roman"/>
          <w:sz w:val="22"/>
        </w:rPr>
        <w:t xml:space="preserve">   5.3 Provider Abstraction &amp; Offline Demo Mode</w:t>
      </w:r>
      <w:r>
        <w:rPr>
          <w:rFonts w:ascii="Times New Roman" w:hAnsi="Times New Roman"/>
          <w:sz w:val="22"/>
        </w:rPr>
        <w:t xml:space="preserve"> . . . . . . . . . . . . . . 14</w:t>
      </w:r>
    </w:p>
    <w:p>
      <w:pPr>
        <w:spacing w:after="40" w:line="276" w:lineRule="auto"/>
      </w:pPr>
      <w:r>
        <w:rPr>
          <w:rFonts w:ascii="Times New Roman" w:hAnsi="Times New Roman"/>
          <w:sz w:val="22"/>
        </w:rPr>
        <w:t xml:space="preserve">   5.4 Web User Interface &amp; Telemetry Dashboard</w:t>
      </w:r>
      <w:r>
        <w:rPr>
          <w:rFonts w:ascii="Times New Roman" w:hAnsi="Times New Roman"/>
          <w:sz w:val="22"/>
        </w:rPr>
        <w:t xml:space="preserve"> . . . . . . . . . . . . . . 15</w:t>
      </w:r>
    </w:p>
    <w:p>
      <w:pPr>
        <w:spacing w:after="40" w:line="276" w:lineRule="auto"/>
      </w:pPr>
      <w:r>
        <w:rPr>
          <w:rFonts w:ascii="Times New Roman" w:hAnsi="Times New Roman"/>
          <w:b/>
          <w:sz w:val="22"/>
        </w:rPr>
        <w:t>6. Dataset Analysis &amp; Experimental Results</w:t>
      </w:r>
      <w:r>
        <w:rPr>
          <w:rFonts w:ascii="Times New Roman" w:hAnsi="Times New Roman"/>
          <w:sz w:val="22"/>
        </w:rPr>
        <w:t xml:space="preserve"> . . . . . . . . . . . . . . . . 16</w:t>
      </w:r>
    </w:p>
    <w:p>
      <w:pPr>
        <w:spacing w:after="40" w:line="276" w:lineRule="auto"/>
      </w:pPr>
      <w:r>
        <w:rPr>
          <w:rFonts w:ascii="Times New Roman" w:hAnsi="Times New Roman"/>
          <w:sz w:val="22"/>
        </w:rPr>
        <w:t xml:space="preserve">   6.1 Inference Routing Dataset Formulation</w:t>
      </w:r>
      <w:r>
        <w:rPr>
          <w:rFonts w:ascii="Times New Roman" w:hAnsi="Times New Roman"/>
          <w:sz w:val="22"/>
        </w:rPr>
        <w:t xml:space="preserve"> . . . . . . . . . . . . . . . 16</w:t>
      </w:r>
    </w:p>
    <w:p>
      <w:pPr>
        <w:spacing w:after="40" w:line="276" w:lineRule="auto"/>
      </w:pPr>
      <w:r>
        <w:rPr>
          <w:rFonts w:ascii="Times New Roman" w:hAnsi="Times New Roman"/>
          <w:sz w:val="22"/>
        </w:rPr>
        <w:t xml:space="preserve">   6.2 Exploratory Data Analysis (EDA)</w:t>
      </w:r>
      <w:r>
        <w:rPr>
          <w:rFonts w:ascii="Times New Roman" w:hAnsi="Times New Roman"/>
          <w:sz w:val="22"/>
        </w:rPr>
        <w:t xml:space="preserve"> . . . . . . . . . . . . . . . . . . 17</w:t>
      </w:r>
    </w:p>
    <w:p>
      <w:pPr>
        <w:spacing w:after="40" w:line="276" w:lineRule="auto"/>
      </w:pPr>
      <w:r>
        <w:rPr>
          <w:rFonts w:ascii="Times New Roman" w:hAnsi="Times New Roman"/>
          <w:sz w:val="22"/>
        </w:rPr>
        <w:t xml:space="preserve">   6.3 Latency &amp; Cost Reduction Benchmarks</w:t>
      </w:r>
      <w:r>
        <w:rPr>
          <w:rFonts w:ascii="Times New Roman" w:hAnsi="Times New Roman"/>
          <w:sz w:val="22"/>
        </w:rPr>
        <w:t xml:space="preserve"> . . . . . . . . . . . . . . . . 18</w:t>
      </w:r>
    </w:p>
    <w:p>
      <w:pPr>
        <w:spacing w:after="40" w:line="276" w:lineRule="auto"/>
      </w:pPr>
      <w:r>
        <w:rPr>
          <w:rFonts w:ascii="Times New Roman" w:hAnsi="Times New Roman"/>
          <w:sz w:val="22"/>
        </w:rPr>
        <w:t xml:space="preserve">   6.4 Verification against Viva Test Suite</w:t>
      </w:r>
      <w:r>
        <w:rPr>
          <w:rFonts w:ascii="Times New Roman" w:hAnsi="Times New Roman"/>
          <w:sz w:val="22"/>
        </w:rPr>
        <w:t xml:space="preserve"> . . . . . . . . . . . . . . . . 19</w:t>
      </w:r>
    </w:p>
    <w:p>
      <w:pPr>
        <w:spacing w:after="40" w:line="276" w:lineRule="auto"/>
      </w:pPr>
      <w:r>
        <w:rPr>
          <w:rFonts w:ascii="Times New Roman" w:hAnsi="Times New Roman"/>
          <w:b/>
          <w:sz w:val="22"/>
        </w:rPr>
        <w:t>7. Future Scope &amp; Industrial Roadmap</w:t>
      </w:r>
      <w:r>
        <w:rPr>
          <w:rFonts w:ascii="Times New Roman" w:hAnsi="Times New Roman"/>
          <w:sz w:val="22"/>
        </w:rPr>
        <w:t xml:space="preserve"> . . . . . . . . . . . . . . . . . . . 20</w:t>
      </w:r>
    </w:p>
    <w:p>
      <w:pPr>
        <w:spacing w:after="40" w:line="276" w:lineRule="auto"/>
      </w:pPr>
      <w:r>
        <w:rPr>
          <w:rFonts w:ascii="Times New Roman" w:hAnsi="Times New Roman"/>
          <w:b/>
          <w:sz w:val="22"/>
        </w:rPr>
        <w:t>8. Conclusion</w:t>
      </w:r>
      <w:r>
        <w:rPr>
          <w:rFonts w:ascii="Times New Roman" w:hAnsi="Times New Roman"/>
          <w:sz w:val="22"/>
        </w:rPr>
        <w:t xml:space="preserve"> . . . . . . . . . . . . . . . . . . . . . . . . . . . . . . . 21</w:t>
      </w:r>
    </w:p>
    <w:p>
      <w:pPr>
        <w:spacing w:after="40" w:line="276" w:lineRule="auto"/>
      </w:pPr>
      <w:r>
        <w:rPr>
          <w:rFonts w:ascii="Times New Roman" w:hAnsi="Times New Roman"/>
          <w:b/>
          <w:sz w:val="22"/>
        </w:rPr>
        <w:t>References</w:t>
      </w:r>
      <w:r>
        <w:rPr>
          <w:rFonts w:ascii="Times New Roman" w:hAnsi="Times New Roman"/>
          <w:sz w:val="22"/>
        </w:rPr>
        <w:t xml:space="preserve"> . . . . . . . . . . . . . . . . . . . . . . . . . . . . . . . . 22</w:t>
      </w:r>
    </w:p>
    <w:p>
      <w:r>
        <w:br w:type="page"/>
      </w:r>
    </w:p>
    <w:p>
      <w:pPr>
        <w:keepNext/>
        <w:spacing w:before="360" w:after="240"/>
      </w:pPr>
      <w:r>
        <w:rPr>
          <w:rFonts w:ascii="Times New Roman" w:hAnsi="Times New Roman"/>
          <w:b/>
          <w:color w:val="102C57"/>
          <w:sz w:val="32"/>
        </w:rPr>
        <w:t>CHAPTER 1: INTRODUCTION</w:t>
      </w:r>
    </w:p>
    <w:p>
      <w:pPr>
        <w:keepNext/>
        <w:spacing w:before="240" w:after="120"/>
      </w:pPr>
      <w:r>
        <w:rPr>
          <w:rFonts w:ascii="Times New Roman" w:hAnsi="Times New Roman"/>
          <w:b/>
          <w:color w:val="355F8E"/>
          <w:sz w:val="26"/>
        </w:rPr>
        <w:t>1.1 Motivation: The LLM Inference Bottleneck</w:t>
      </w:r>
    </w:p>
    <w:p>
      <w:pPr>
        <w:spacing w:after="120" w:line="276" w:lineRule="auto"/>
        <w:jc w:val="both"/>
      </w:pPr>
      <w:r>
        <w:rPr>
          <w:rFonts w:ascii="Times New Roman" w:hAnsi="Times New Roman"/>
          <w:b w:val="0"/>
          <w:i w:val="0"/>
          <w:sz w:val="24"/>
        </w:rPr>
        <w:t>The advent of generative pre-trained transformers and Large Language Models (LLMs) has fundamentally transformed conversational artificial intelligence, automated software engineering, and cognitive enterprise workflows. Despite unprecedented qualitative performance, operating modern foundation models (e.g., Llama-3-70B, GPT-4, Claude 3.5 Sonnet) at scale introduces unsustainable economic and computational overheads.</w:t>
      </w:r>
    </w:p>
    <w:p>
      <w:pPr>
        <w:spacing w:after="120" w:line="276" w:lineRule="auto"/>
        <w:jc w:val="both"/>
      </w:pPr>
      <w:r>
        <w:rPr>
          <w:rFonts w:ascii="Times New Roman" w:hAnsi="Times New Roman"/>
          <w:b w:val="0"/>
          <w:i w:val="0"/>
          <w:sz w:val="24"/>
        </w:rPr>
        <w:t>State-of-the-art LLMs contain tens of billions of active parameters, requiring multi-GPU server clusters (such as NVIDIA H100 or A100 SXM nodes) with tens of gigabytes of high-bandwidth memory (HBM3). Every user generation triggers billions of floating-point operations (FLOPs) and significant memory bandwidth traversal for autoregressive token decoding. In real-world enterprise deployments, a substantial proportion (70–80%) of user inquiries consists of straightforward requests: terminology definitions (e.g., 'What is RAM?'), elementary syntactic boilerplate, or simple classification tasks. Invoking a 70-billion-parameter model for these prompts is computationally wasteful and economically inefficient.</w:t>
      </w:r>
    </w:p>
    <w:p>
      <w:pPr>
        <w:keepNext/>
        <w:spacing w:before="240" w:after="120"/>
      </w:pPr>
      <w:r>
        <w:rPr>
          <w:rFonts w:ascii="Times New Roman" w:hAnsi="Times New Roman"/>
          <w:b/>
          <w:color w:val="355F8E"/>
          <w:sz w:val="26"/>
        </w:rPr>
        <w:t>1.2 Problem Statement</w:t>
      </w:r>
    </w:p>
    <w:p>
      <w:pPr>
        <w:spacing w:after="120" w:line="276" w:lineRule="auto"/>
        <w:jc w:val="both"/>
      </w:pPr>
      <w:r>
        <w:rPr>
          <w:rFonts w:ascii="Times New Roman" w:hAnsi="Times New Roman"/>
          <w:b w:val="0"/>
          <w:i w:val="0"/>
          <w:sz w:val="24"/>
        </w:rPr>
        <w:t>Current AI application pipelines lack an intelligent, cost-aware intermediary layer capable of dynamically classifying prompt complexity prior to model execution. As a result, systems suffer from three acute structural defects:</w:t>
      </w:r>
    </w:p>
    <w:p>
      <w:pPr>
        <w:spacing w:after="120" w:line="276" w:lineRule="auto"/>
        <w:jc w:val="both"/>
      </w:pPr>
      <w:r>
        <w:rPr>
          <w:rFonts w:ascii="Times New Roman" w:hAnsi="Times New Roman"/>
          <w:b w:val="0"/>
          <w:i w:val="0"/>
          <w:sz w:val="24"/>
        </w:rPr>
        <w:t>1. Excessive Cloud Expenditure: Organizations incur uniform high-tier API or compute expenses across heterogeneous request distributions.</w:t>
      </w:r>
    </w:p>
    <w:p>
      <w:pPr>
        <w:spacing w:after="120" w:line="276" w:lineRule="auto"/>
        <w:jc w:val="both"/>
      </w:pPr>
      <w:r>
        <w:rPr>
          <w:rFonts w:ascii="Times New Roman" w:hAnsi="Times New Roman"/>
          <w:b w:val="0"/>
          <w:i w:val="0"/>
          <w:sz w:val="24"/>
        </w:rPr>
        <w:t>2. High Average Latency: End-users experience multi-second latency for trivial requests that smaller, quantized models could resolve in under one second.</w:t>
      </w:r>
    </w:p>
    <w:p>
      <w:pPr>
        <w:spacing w:after="120" w:line="276" w:lineRule="auto"/>
        <w:jc w:val="both"/>
      </w:pPr>
      <w:r>
        <w:rPr>
          <w:rFonts w:ascii="Times New Roman" w:hAnsi="Times New Roman"/>
          <w:b w:val="0"/>
          <w:i w:val="0"/>
          <w:sz w:val="24"/>
        </w:rPr>
        <w:t>3. Data Privacy Exposure: Unvetted requests containing Personally Identifiable Information (PII) or corporate credentials are routinely transmitted to public cloud LLM endpoints without preliminary inspection.</w:t>
      </w:r>
    </w:p>
    <w:p>
      <w:pPr>
        <w:keepNext/>
        <w:spacing w:before="240" w:after="120"/>
      </w:pPr>
      <w:r>
        <w:rPr>
          <w:rFonts w:ascii="Times New Roman" w:hAnsi="Times New Roman"/>
          <w:b/>
          <w:color w:val="355F8E"/>
          <w:sz w:val="26"/>
        </w:rPr>
        <w:t>1.3 Project Objectives</w:t>
      </w:r>
    </w:p>
    <w:p>
      <w:pPr>
        <w:spacing w:after="120" w:line="276" w:lineRule="auto"/>
        <w:jc w:val="both"/>
      </w:pPr>
      <w:r>
        <w:rPr>
          <w:rFonts w:ascii="Times New Roman" w:hAnsi="Times New Roman"/>
          <w:b w:val="0"/>
          <w:i w:val="0"/>
          <w:sz w:val="24"/>
        </w:rPr>
        <w:t>The primary objective of this project is to develop and evaluate a functional, explainable, college-level AI Inference Gateway Prototype that demonstrates intelligent request routing. Specifically, the project aims to:</w:t>
      </w:r>
    </w:p>
    <w:p>
      <w:pPr>
        <w:spacing w:after="120" w:line="276" w:lineRule="auto"/>
        <w:jc w:val="both"/>
      </w:pPr>
      <w:r>
        <w:rPr>
          <w:rFonts w:ascii="Times New Roman" w:hAnsi="Times New Roman"/>
          <w:b w:val="0"/>
          <w:i w:val="0"/>
          <w:sz w:val="24"/>
        </w:rPr>
        <w:t>• Synthesize an explainable Request Analyzer that computes complexity scores (0.0 to 1.0) and assigns categorical tiers (Low, Medium, High).</w:t>
      </w:r>
    </w:p>
    <w:p>
      <w:pPr>
        <w:spacing w:after="120" w:line="276" w:lineRule="auto"/>
        <w:jc w:val="both"/>
      </w:pPr>
      <w:r>
        <w:rPr>
          <w:rFonts w:ascii="Times New Roman" w:hAnsi="Times New Roman"/>
          <w:b w:val="0"/>
          <w:i w:val="0"/>
          <w:sz w:val="24"/>
        </w:rPr>
        <w:t>• Formulate a multi-objective decision algorithm balancing quality, expected latency, estimated cost, and data privacy constraints.</w:t>
      </w:r>
    </w:p>
    <w:p>
      <w:pPr>
        <w:spacing w:after="120" w:line="276" w:lineRule="auto"/>
        <w:jc w:val="both"/>
      </w:pPr>
      <w:r>
        <w:rPr>
          <w:rFonts w:ascii="Times New Roman" w:hAnsi="Times New Roman"/>
          <w:b w:val="0"/>
          <w:i w:val="0"/>
          <w:sz w:val="24"/>
        </w:rPr>
        <w:t>• Implement an accelerated query caching mechanism using SQLite to serve duplicate requests at zero compute cost.</w:t>
      </w:r>
    </w:p>
    <w:p>
      <w:pPr>
        <w:spacing w:after="120" w:line="276" w:lineRule="auto"/>
        <w:jc w:val="both"/>
      </w:pPr>
      <w:r>
        <w:rPr>
          <w:rFonts w:ascii="Times New Roman" w:hAnsi="Times New Roman"/>
          <w:b w:val="0"/>
          <w:i w:val="0"/>
          <w:sz w:val="24"/>
        </w:rPr>
        <w:t>• Build an interactive web prototype featuring an AI Router tester, a side-by-side Model Comparison engine, and a real-time Telemetry Dashboard.</w:t>
      </w:r>
    </w:p>
    <w:p>
      <w:pPr>
        <w:spacing w:after="120" w:line="276" w:lineRule="auto"/>
        <w:jc w:val="both"/>
      </w:pPr>
      <w:r>
        <w:rPr>
          <w:rFonts w:ascii="Times New Roman" w:hAnsi="Times New Roman"/>
          <w:b w:val="0"/>
          <w:i w:val="0"/>
          <w:sz w:val="24"/>
        </w:rPr>
        <w:t>• Validate performance on a benchmark dataset of 325 queries, quantifying empirical latency reductions and financial savings.</w:t>
      </w:r>
    </w:p>
    <w:p>
      <w:pPr>
        <w:keepNext/>
        <w:spacing w:before="240" w:after="120"/>
      </w:pPr>
      <w:r>
        <w:rPr>
          <w:rFonts w:ascii="Times New Roman" w:hAnsi="Times New Roman"/>
          <w:b/>
          <w:color w:val="355F8E"/>
          <w:sz w:val="26"/>
        </w:rPr>
        <w:t>1.4 Scope and Constraints (College Prototype)</w:t>
      </w:r>
    </w:p>
    <w:p>
      <w:pPr>
        <w:spacing w:after="120" w:line="276" w:lineRule="auto"/>
        <w:jc w:val="both"/>
      </w:pPr>
      <w:r>
        <w:rPr>
          <w:rFonts w:ascii="Times New Roman" w:hAnsi="Times New Roman"/>
          <w:b w:val="0"/>
          <w:i w:val="0"/>
          <w:sz w:val="24"/>
        </w:rPr>
        <w:t>Per academic guidelines and project constraints (need.md), this system is explicitly engineered as a functional educational prototype rather than a distributed industrial infrastructure platform. To ensure zero-dependency portability and seamless execution on standard student laptops, advanced distributed primitives (Kubernetes multi-node clusters, NVIDIA Triton server setups, distributed vLLM engines, and complex vector stores) are deliberately scoped as future industrial extensions. The application operates in a self-contained offline Demo Mode while providing complete architectural hooks for real API integration.</w:t>
      </w:r>
    </w:p>
    <w:p>
      <w:r>
        <w:br w:type="page"/>
      </w:r>
    </w:p>
    <w:p>
      <w:pPr>
        <w:keepNext/>
        <w:spacing w:before="360" w:after="240"/>
      </w:pPr>
      <w:r>
        <w:rPr>
          <w:rFonts w:ascii="Times New Roman" w:hAnsi="Times New Roman"/>
          <w:b/>
          <w:color w:val="102C57"/>
          <w:sz w:val="32"/>
        </w:rPr>
        <w:t>CHAPTER 2: LITERATURE REVIEW &amp; RELATED WORK</w:t>
      </w:r>
    </w:p>
    <w:p>
      <w:pPr>
        <w:keepNext/>
        <w:spacing w:before="240" w:after="120"/>
      </w:pPr>
      <w:r>
        <w:rPr>
          <w:rFonts w:ascii="Times New Roman" w:hAnsi="Times New Roman"/>
          <w:b/>
          <w:color w:val="355F8E"/>
          <w:sz w:val="26"/>
        </w:rPr>
        <w:t>2.1 Evolution of Foundation Models &amp; Small Language Models (SLMs)</w:t>
      </w:r>
    </w:p>
    <w:p>
      <w:pPr>
        <w:spacing w:after="120" w:line="276" w:lineRule="auto"/>
        <w:jc w:val="both"/>
      </w:pPr>
      <w:r>
        <w:rPr>
          <w:rFonts w:ascii="Times New Roman" w:hAnsi="Times New Roman"/>
          <w:b w:val="0"/>
          <w:i w:val="0"/>
          <w:sz w:val="24"/>
        </w:rPr>
        <w:t>Early research in LLMs established scaling laws (Kaplan et al., 2020) indicating that model performance monotonically improves with increased parameter counts and training compute. Consequently, initial industrial deployments centered exclusively on massive models. However, recent breakthroughs in model distillation, high-quality synthetic pre-training, and parameter-efficient fine-tuning have led to the emergence of highly capable Small Language Models (SLMs), such as Microsoft Phi-3, Google Gemma-2B/7B, and Mistral-7B. Research demonstrates that specialized SLMs achieve parity with 70B+ models on basic coding, summarization, and domain-specific Q&amp;A while operating at 10x lower compute and latency footprints.</w:t>
      </w:r>
    </w:p>
    <w:p>
      <w:pPr>
        <w:keepNext/>
        <w:spacing w:before="240" w:after="120"/>
      </w:pPr>
      <w:r>
        <w:rPr>
          <w:rFonts w:ascii="Times New Roman" w:hAnsi="Times New Roman"/>
          <w:b/>
          <w:color w:val="355F8E"/>
          <w:sz w:val="26"/>
        </w:rPr>
        <w:t>2.2 Model Cascading &amp; Adaptive Routing Paradigms</w:t>
      </w:r>
    </w:p>
    <w:p>
      <w:pPr>
        <w:spacing w:after="120" w:line="276" w:lineRule="auto"/>
        <w:jc w:val="both"/>
      </w:pPr>
      <w:r>
        <w:rPr>
          <w:rFonts w:ascii="Times New Roman" w:hAnsi="Times New Roman"/>
          <w:b w:val="0"/>
          <w:i w:val="0"/>
          <w:sz w:val="24"/>
        </w:rPr>
        <w:t>The concept of model cascading was originally formulated in computer vision (Viola &amp; Jones, 2001) and recently extended to natural language processing via frameworks like RouteLLM (Ong et al., 2024), Martian, and FrugalGPT (Chen et al., 2023). Model cascading posits that queries should first be evaluated by an inexpensive classifier or low-tier model; only when confidence or task complexity exceeds a pre-defined threshold should the query escalate to a frontier model. While production commercial routers often employ opaque machine learning embeddings, academic prototypes require transparent, deterministic, and explainable rule-and-utility systems that can be clearly articulated during a viva examination.</w:t>
      </w:r>
    </w:p>
    <w:p>
      <w:pPr>
        <w:keepNext/>
        <w:spacing w:before="240" w:after="120"/>
      </w:pPr>
      <w:r>
        <w:rPr>
          <w:rFonts w:ascii="Times New Roman" w:hAnsi="Times New Roman"/>
          <w:b/>
          <w:color w:val="355F8E"/>
          <w:sz w:val="26"/>
        </w:rPr>
        <w:t>2.3 Caching Strategies for High-Throughput Inference</w:t>
      </w:r>
    </w:p>
    <w:p>
      <w:pPr>
        <w:spacing w:after="120" w:line="276" w:lineRule="auto"/>
        <w:jc w:val="both"/>
      </w:pPr>
      <w:r>
        <w:rPr>
          <w:rFonts w:ascii="Times New Roman" w:hAnsi="Times New Roman"/>
          <w:b w:val="0"/>
          <w:i w:val="0"/>
          <w:sz w:val="24"/>
        </w:rPr>
        <w:t>In web services and database systems, caching serves as the primary defense against latency spikes. In generative AI workloads, prompt caching operates across two distinct modalities: Exact Caching (matching identical normalized query strings) and Semantic Caching (matching embedding vectors within cosine distance thresholds). While semantic caching offers higher recall, exact caching provides zero false-positive risk and microsecond retrieval without vector database overhead, making it ideal for deterministic educational architectures.</w:t>
      </w:r>
    </w:p>
    <w:p>
      <w:r>
        <w:br w:type="page"/>
      </w:r>
    </w:p>
    <w:p>
      <w:pPr>
        <w:keepNext/>
        <w:spacing w:before="360" w:after="240"/>
      </w:pPr>
      <w:r>
        <w:rPr>
          <w:rFonts w:ascii="Times New Roman" w:hAnsi="Times New Roman"/>
          <w:b/>
          <w:color w:val="102C57"/>
          <w:sz w:val="32"/>
        </w:rPr>
        <w:t>CHAPTER 3: SYSTEM ARCHITECTURE &amp; DESIGN</w:t>
      </w:r>
    </w:p>
    <w:p>
      <w:pPr>
        <w:spacing w:after="120" w:line="276" w:lineRule="auto"/>
        <w:jc w:val="both"/>
      </w:pPr>
      <w:r>
        <w:rPr>
          <w:rFonts w:ascii="Times New Roman" w:hAnsi="Times New Roman"/>
          <w:b w:val="0"/>
          <w:i w:val="0"/>
          <w:sz w:val="24"/>
        </w:rPr>
        <w:t>The system architecture is structured as a decoupled, layered micro-framework implemented in Python FastAPI. The pipeline decouples request ingress, feature extraction, policy decision, model execution, and persistent logging.</w:t>
      </w:r>
    </w:p>
    <w:p>
      <w:pPr>
        <w:keepNext/>
        <w:spacing w:before="240" w:after="120"/>
      </w:pPr>
      <w:r>
        <w:rPr>
          <w:rFonts w:ascii="Times New Roman" w:hAnsi="Times New Roman"/>
          <w:b/>
          <w:color w:val="355F8E"/>
          <w:sz w:val="26"/>
        </w:rPr>
        <w:t>3.1 Component Architecture</w:t>
      </w:r>
    </w:p>
    <w:p>
      <w:pPr>
        <w:spacing w:after="120" w:line="276" w:lineRule="auto"/>
        <w:jc w:val="both"/>
      </w:pPr>
      <w:r>
        <w:rPr>
          <w:rFonts w:ascii="Times New Roman" w:hAnsi="Times New Roman"/>
          <w:b w:val="0"/>
          <w:i w:val="0"/>
          <w:sz w:val="24"/>
        </w:rPr>
        <w:t>The major components and their interactions are illustrated below:</w:t>
      </w:r>
    </w:p>
    <w:tbl>
      <w:tblPr>
        <w:tblW w:type="auto" w:w="0"/>
        <w:jc w:val="center"/>
        <w:tblLook w:firstColumn="1" w:firstRow="1" w:lastColumn="0" w:lastRow="0" w:noHBand="0" w:noVBand="1" w:val="04A0"/>
      </w:tblPr>
      <w:tblGrid>
        <w:gridCol w:w="3120"/>
        <w:gridCol w:w="3120"/>
        <w:gridCol w:w="3120"/>
      </w:tblGrid>
      <w:tr>
        <w:tc>
          <w:tcPr>
            <w:tcW w:type="dxa" w:w="3120"/>
            <w:shd w:fill="E2E8F0"/>
          </w:tcPr>
          <w:p>
            <w:pPr>
              <w:jc w:val="center"/>
            </w:pPr>
            <w:r>
              <w:rPr>
                <w:b/>
                <w:sz w:val="20"/>
              </w:rPr>
              <w:t>Component Name</w:t>
            </w:r>
          </w:p>
        </w:tc>
        <w:tc>
          <w:tcPr>
            <w:tcW w:type="dxa" w:w="3120"/>
            <w:shd w:fill="E2E8F0"/>
          </w:tcPr>
          <w:p>
            <w:pPr>
              <w:jc w:val="center"/>
            </w:pPr>
            <w:r>
              <w:rPr>
                <w:b/>
                <w:sz w:val="20"/>
              </w:rPr>
              <w:t>Primary Role</w:t>
            </w:r>
          </w:p>
        </w:tc>
        <w:tc>
          <w:tcPr>
            <w:tcW w:type="dxa" w:w="3120"/>
            <w:shd w:fill="E2E8F0"/>
          </w:tcPr>
          <w:p>
            <w:pPr>
              <w:jc w:val="center"/>
            </w:pPr>
            <w:r>
              <w:rPr>
                <w:b/>
                <w:sz w:val="20"/>
              </w:rPr>
              <w:t>Key Mechanism / Technology</w:t>
            </w:r>
          </w:p>
        </w:tc>
      </w:tr>
      <w:tr>
        <w:tc>
          <w:tcPr>
            <w:tcW w:type="dxa" w:w="3120"/>
            <w:tcMar>
              <w:top w:w="80" w:type="dxa"/>
              <w:bottom w:w="80" w:type="dxa"/>
              <w:left w:w="100" w:type="dxa"/>
              <w:right w:w="100" w:type="dxa"/>
            </w:tcMar>
          </w:tcPr>
          <w:p>
            <w:pPr>
              <w:jc w:val="left"/>
            </w:pPr>
            <w:r>
              <w:rPr>
                <w:sz w:val="19"/>
              </w:rPr>
              <w:t>FastAPI Gateway</w:t>
            </w:r>
          </w:p>
        </w:tc>
        <w:tc>
          <w:tcPr>
            <w:tcW w:type="dxa" w:w="3120"/>
            <w:tcMar>
              <w:top w:w="80" w:type="dxa"/>
              <w:bottom w:w="80" w:type="dxa"/>
              <w:left w:w="100" w:type="dxa"/>
              <w:right w:w="100" w:type="dxa"/>
            </w:tcMar>
          </w:tcPr>
          <w:p>
            <w:pPr>
              <w:jc w:val="left"/>
            </w:pPr>
            <w:r>
              <w:rPr>
                <w:sz w:val="19"/>
              </w:rPr>
              <w:t>Ingress validation, routing endpoints, static file hosting</w:t>
            </w:r>
          </w:p>
        </w:tc>
        <w:tc>
          <w:tcPr>
            <w:tcW w:type="dxa" w:w="3120"/>
            <w:tcMar>
              <w:top w:w="80" w:type="dxa"/>
              <w:bottom w:w="80" w:type="dxa"/>
              <w:left w:w="100" w:type="dxa"/>
              <w:right w:w="100" w:type="dxa"/>
            </w:tcMar>
          </w:tcPr>
          <w:p>
            <w:pPr>
              <w:jc w:val="left"/>
            </w:pPr>
            <w:r>
              <w:rPr>
                <w:sz w:val="19"/>
              </w:rPr>
              <w:t>FastAPI, Pydantic, Uvicorn (Asynchronous ASGI)</w:t>
            </w:r>
          </w:p>
        </w:tc>
      </w:tr>
      <w:tr>
        <w:tc>
          <w:tcPr>
            <w:tcW w:type="dxa" w:w="3120"/>
            <w:tcMar>
              <w:top w:w="80" w:type="dxa"/>
              <w:bottom w:w="80" w:type="dxa"/>
              <w:left w:w="100" w:type="dxa"/>
              <w:right w:w="100" w:type="dxa"/>
            </w:tcMar>
          </w:tcPr>
          <w:p>
            <w:pPr>
              <w:jc w:val="left"/>
            </w:pPr>
            <w:r>
              <w:rPr>
                <w:sz w:val="19"/>
              </w:rPr>
              <w:t>Request Analyzer</w:t>
            </w:r>
          </w:p>
        </w:tc>
        <w:tc>
          <w:tcPr>
            <w:tcW w:type="dxa" w:w="3120"/>
            <w:tcMar>
              <w:top w:w="80" w:type="dxa"/>
              <w:bottom w:w="80" w:type="dxa"/>
              <w:left w:w="100" w:type="dxa"/>
              <w:right w:w="100" w:type="dxa"/>
            </w:tcMar>
          </w:tcPr>
          <w:p>
            <w:pPr>
              <w:jc w:val="left"/>
            </w:pPr>
            <w:r>
              <w:rPr>
                <w:sz w:val="19"/>
              </w:rPr>
              <w:t>Syntactic token extraction, task categorization, complexity scoring</w:t>
            </w:r>
          </w:p>
        </w:tc>
        <w:tc>
          <w:tcPr>
            <w:tcW w:type="dxa" w:w="3120"/>
            <w:tcMar>
              <w:top w:w="80" w:type="dxa"/>
              <w:bottom w:w="80" w:type="dxa"/>
              <w:left w:w="100" w:type="dxa"/>
              <w:right w:w="100" w:type="dxa"/>
            </w:tcMar>
          </w:tcPr>
          <w:p>
            <w:pPr>
              <w:jc w:val="left"/>
            </w:pPr>
            <w:r>
              <w:rPr>
                <w:sz w:val="19"/>
              </w:rPr>
              <w:t>Regex heuristics, token length analysis, domain vocabulary</w:t>
            </w:r>
          </w:p>
        </w:tc>
      </w:tr>
      <w:tr>
        <w:tc>
          <w:tcPr>
            <w:tcW w:type="dxa" w:w="3120"/>
            <w:tcMar>
              <w:top w:w="80" w:type="dxa"/>
              <w:bottom w:w="80" w:type="dxa"/>
              <w:left w:w="100" w:type="dxa"/>
              <w:right w:w="100" w:type="dxa"/>
            </w:tcMar>
          </w:tcPr>
          <w:p>
            <w:pPr>
              <w:jc w:val="left"/>
            </w:pPr>
            <w:r>
              <w:rPr>
                <w:sz w:val="19"/>
              </w:rPr>
              <w:t>Privacy Detector</w:t>
            </w:r>
          </w:p>
        </w:tc>
        <w:tc>
          <w:tcPr>
            <w:tcW w:type="dxa" w:w="3120"/>
            <w:tcMar>
              <w:top w:w="80" w:type="dxa"/>
              <w:bottom w:w="80" w:type="dxa"/>
              <w:left w:w="100" w:type="dxa"/>
              <w:right w:w="100" w:type="dxa"/>
            </w:tcMar>
          </w:tcPr>
          <w:p>
            <w:pPr>
              <w:jc w:val="left"/>
            </w:pPr>
            <w:r>
              <w:rPr>
                <w:sz w:val="19"/>
              </w:rPr>
              <w:t>PII pattern matching and safety policy enforcement</w:t>
            </w:r>
          </w:p>
        </w:tc>
        <w:tc>
          <w:tcPr>
            <w:tcW w:type="dxa" w:w="3120"/>
            <w:tcMar>
              <w:top w:w="80" w:type="dxa"/>
              <w:bottom w:w="80" w:type="dxa"/>
              <w:left w:w="100" w:type="dxa"/>
              <w:right w:w="100" w:type="dxa"/>
            </w:tcMar>
          </w:tcPr>
          <w:p>
            <w:pPr>
              <w:jc w:val="left"/>
            </w:pPr>
            <w:r>
              <w:rPr>
                <w:sz w:val="19"/>
              </w:rPr>
              <w:t>Regex pattern matcher (Aadhaar, PAN, passwords, medical)</w:t>
            </w:r>
          </w:p>
        </w:tc>
      </w:tr>
      <w:tr>
        <w:tc>
          <w:tcPr>
            <w:tcW w:type="dxa" w:w="3120"/>
            <w:tcMar>
              <w:top w:w="80" w:type="dxa"/>
              <w:bottom w:w="80" w:type="dxa"/>
              <w:left w:w="100" w:type="dxa"/>
              <w:right w:w="100" w:type="dxa"/>
            </w:tcMar>
          </w:tcPr>
          <w:p>
            <w:pPr>
              <w:jc w:val="left"/>
            </w:pPr>
            <w:r>
              <w:rPr>
                <w:sz w:val="19"/>
              </w:rPr>
              <w:t>Model Registry</w:t>
            </w:r>
          </w:p>
        </w:tc>
        <w:tc>
          <w:tcPr>
            <w:tcW w:type="dxa" w:w="3120"/>
            <w:tcMar>
              <w:top w:w="80" w:type="dxa"/>
              <w:bottom w:w="80" w:type="dxa"/>
              <w:left w:w="100" w:type="dxa"/>
              <w:right w:w="100" w:type="dxa"/>
            </w:tcMar>
          </w:tcPr>
          <w:p>
            <w:pPr>
              <w:jc w:val="left"/>
            </w:pPr>
            <w:r>
              <w:rPr>
                <w:sz w:val="19"/>
              </w:rPr>
              <w:t>Maintains tier metadata, quality ratings, latency, and costs</w:t>
            </w:r>
          </w:p>
        </w:tc>
        <w:tc>
          <w:tcPr>
            <w:tcW w:type="dxa" w:w="3120"/>
            <w:tcMar>
              <w:top w:w="80" w:type="dxa"/>
              <w:bottom w:w="80" w:type="dxa"/>
              <w:left w:w="100" w:type="dxa"/>
              <w:right w:w="100" w:type="dxa"/>
            </w:tcMar>
          </w:tcPr>
          <w:p>
            <w:pPr>
              <w:jc w:val="left"/>
            </w:pPr>
            <w:r>
              <w:rPr>
                <w:sz w:val="19"/>
              </w:rPr>
              <w:t>SQLite relational table ('models') with dynamic query fallback</w:t>
            </w:r>
          </w:p>
        </w:tc>
      </w:tr>
      <w:tr>
        <w:tc>
          <w:tcPr>
            <w:tcW w:type="dxa" w:w="3120"/>
            <w:tcMar>
              <w:top w:w="80" w:type="dxa"/>
              <w:bottom w:w="80" w:type="dxa"/>
              <w:left w:w="100" w:type="dxa"/>
              <w:right w:w="100" w:type="dxa"/>
            </w:tcMar>
          </w:tcPr>
          <w:p>
            <w:pPr>
              <w:jc w:val="left"/>
            </w:pPr>
            <w:r>
              <w:rPr>
                <w:sz w:val="19"/>
              </w:rPr>
              <w:t>Inference Service</w:t>
            </w:r>
          </w:p>
        </w:tc>
        <w:tc>
          <w:tcPr>
            <w:tcW w:type="dxa" w:w="3120"/>
            <w:tcMar>
              <w:top w:w="80" w:type="dxa"/>
              <w:bottom w:w="80" w:type="dxa"/>
              <w:left w:w="100" w:type="dxa"/>
              <w:right w:w="100" w:type="dxa"/>
            </w:tcMar>
          </w:tcPr>
          <w:p>
            <w:pPr>
              <w:jc w:val="left"/>
            </w:pPr>
            <w:r>
              <w:rPr>
                <w:sz w:val="19"/>
              </w:rPr>
              <w:t>Execution timing, caching orchestration, SQLite metric logging</w:t>
            </w:r>
          </w:p>
        </w:tc>
        <w:tc>
          <w:tcPr>
            <w:tcW w:type="dxa" w:w="3120"/>
            <w:tcMar>
              <w:top w:w="80" w:type="dxa"/>
              <w:bottom w:w="80" w:type="dxa"/>
              <w:left w:w="100" w:type="dxa"/>
              <w:right w:w="100" w:type="dxa"/>
            </w:tcMar>
          </w:tcPr>
          <w:p>
            <w:pPr>
              <w:jc w:val="left"/>
            </w:pPr>
            <w:r>
              <w:rPr>
                <w:sz w:val="19"/>
              </w:rPr>
              <w:t>time.perf_counter() microsecond timer, SQLite connection pool</w:t>
            </w:r>
          </w:p>
        </w:tc>
      </w:tr>
    </w:tbl>
    <w:p>
      <w:pPr>
        <w:keepNext/>
        <w:spacing w:before="240" w:after="120"/>
      </w:pPr>
      <w:r>
        <w:rPr>
          <w:rFonts w:ascii="Times New Roman" w:hAnsi="Times New Roman"/>
          <w:b/>
          <w:color w:val="355F8E"/>
          <w:sz w:val="26"/>
        </w:rPr>
        <w:br/>
        <w:t>3.2 Privacy &amp; Data Sovereignty Shield</w:t>
      </w:r>
    </w:p>
    <w:p>
      <w:pPr>
        <w:spacing w:after="120" w:line="276" w:lineRule="auto"/>
        <w:jc w:val="both"/>
      </w:pPr>
      <w:r>
        <w:rPr>
          <w:rFonts w:ascii="Times New Roman" w:hAnsi="Times New Roman"/>
          <w:b w:val="0"/>
          <w:i w:val="0"/>
          <w:sz w:val="24"/>
        </w:rPr>
        <w:t>Modern regulatory frameworks (such as India's DPDP Act and GDPR) strictly penalize transmission of un-anonymized personal data to offshore cloud APIs. The system implements an inline Privacy Shield that monitors input strings for sensitive patterns (Aadhaar numbers, PAN credentials, passwords, medical diagnosis notes, and salary registers). Upon detection, the request is flagged as SENSITIVE, overriding standard cost-latency trade-offs and routing execution exclusively to local offline instances.</w:t>
      </w:r>
    </w:p>
    <w:p>
      <w:r>
        <w:br w:type="page"/>
      </w:r>
    </w:p>
    <w:p>
      <w:pPr>
        <w:keepNext/>
        <w:spacing w:before="360" w:after="240"/>
      </w:pPr>
      <w:r>
        <w:rPr>
          <w:rFonts w:ascii="Times New Roman" w:hAnsi="Times New Roman"/>
          <w:b/>
          <w:color w:val="102C57"/>
          <w:sz w:val="32"/>
        </w:rPr>
        <w:t>CHAPTER 4: MATHEMATICAL FORMULATION &amp; ROUTING ALGORITHM</w:t>
      </w:r>
    </w:p>
    <w:p>
      <w:pPr>
        <w:keepNext/>
        <w:spacing w:before="240" w:after="120"/>
      </w:pPr>
      <w:r>
        <w:rPr>
          <w:rFonts w:ascii="Times New Roman" w:hAnsi="Times New Roman"/>
          <w:b/>
          <w:color w:val="355F8E"/>
          <w:sz w:val="26"/>
        </w:rPr>
        <w:t>4.1 Complexity Scoring Heuristic</w:t>
      </w:r>
    </w:p>
    <w:p>
      <w:pPr>
        <w:spacing w:after="120" w:line="276" w:lineRule="auto"/>
        <w:jc w:val="both"/>
      </w:pPr>
      <w:r>
        <w:rPr>
          <w:rFonts w:ascii="Times New Roman" w:hAnsi="Times New Roman"/>
          <w:b w:val="0"/>
          <w:i w:val="0"/>
          <w:sz w:val="24"/>
        </w:rPr>
        <w:t>Let P represent the input query string consisting of token sequence W = {w_1, w_2, ..., w_n}. The system calculates an explainable complexity score C(P) based on structural and semantic features:</w:t>
      </w:r>
    </w:p>
    <w:p>
      <w:pPr>
        <w:spacing w:after="120" w:line="276" w:lineRule="auto"/>
        <w:jc w:val="both"/>
      </w:pPr>
      <w:r>
        <w:rPr>
          <w:rFonts w:ascii="Times New Roman" w:hAnsi="Times New Roman"/>
          <w:b w:val="0"/>
          <w:i w:val="0"/>
          <w:sz w:val="24"/>
        </w:rPr>
        <w:t>Score Points = I(|W| &gt; 50) + I(|W| &gt; 150) + 4 * I(P contains Distributed/Concurrency) + 2 * I(P contains Code Implementation) + I(P contains Analytical Reasoning) + I(P contains Compound Clauses) + I(P contains Long-form Directives)</w:t>
      </w:r>
    </w:p>
    <w:p>
      <w:pPr>
        <w:spacing w:after="120" w:line="276" w:lineRule="auto"/>
        <w:jc w:val="both"/>
      </w:pPr>
      <w:r>
        <w:rPr>
          <w:rFonts w:ascii="Times New Roman" w:hAnsi="Times New Roman"/>
          <w:b w:val="0"/>
          <w:i w:val="0"/>
          <w:sz w:val="24"/>
        </w:rPr>
        <w:t>The raw score is normalized over the domain [0.0, 1.0]:</w:t>
      </w:r>
    </w:p>
    <w:p>
      <w:pPr>
        <w:spacing w:after="120" w:line="276" w:lineRule="auto"/>
        <w:jc w:val="center"/>
      </w:pPr>
      <w:r>
        <w:rPr>
          <w:rFonts w:ascii="Times New Roman" w:hAnsi="Times New Roman"/>
          <w:b/>
          <w:i w:val="0"/>
          <w:sz w:val="24"/>
        </w:rPr>
        <w:t>C(P) = min(1.0, max(0.15, Score Points / 6.0))</w:t>
      </w:r>
    </w:p>
    <w:p>
      <w:pPr>
        <w:spacing w:after="120" w:line="276" w:lineRule="auto"/>
        <w:jc w:val="both"/>
      </w:pPr>
      <w:r>
        <w:rPr>
          <w:rFonts w:ascii="Times New Roman" w:hAnsi="Times New Roman"/>
          <w:b w:val="0"/>
          <w:i w:val="0"/>
          <w:sz w:val="24"/>
        </w:rPr>
        <w:br/>
        <w:t>Categorical thresholds are established as follows:</w:t>
      </w:r>
    </w:p>
    <w:p>
      <w:pPr>
        <w:spacing w:after="120" w:line="276" w:lineRule="auto"/>
        <w:jc w:val="both"/>
      </w:pPr>
      <w:r>
        <w:rPr>
          <w:rFonts w:ascii="Times New Roman" w:hAnsi="Times New Roman"/>
          <w:b w:val="0"/>
          <w:i w:val="0"/>
          <w:sz w:val="24"/>
        </w:rPr>
        <w:t>• LOW Complexity: 0.00 &lt;= C(P) &lt; 0.40  --&gt; Small Model (SLM Tier)</w:t>
      </w:r>
    </w:p>
    <w:p>
      <w:pPr>
        <w:spacing w:after="120" w:line="276" w:lineRule="auto"/>
        <w:jc w:val="both"/>
      </w:pPr>
      <w:r>
        <w:rPr>
          <w:rFonts w:ascii="Times New Roman" w:hAnsi="Times New Roman"/>
          <w:b w:val="0"/>
          <w:i w:val="0"/>
          <w:sz w:val="24"/>
        </w:rPr>
        <w:t>• MEDIUM Complexity: 0.40 &lt;= C(P) &lt; 0.70  --&gt; Medium Model Tier</w:t>
      </w:r>
    </w:p>
    <w:p>
      <w:pPr>
        <w:spacing w:after="120" w:line="276" w:lineRule="auto"/>
        <w:jc w:val="both"/>
      </w:pPr>
      <w:r>
        <w:rPr>
          <w:rFonts w:ascii="Times New Roman" w:hAnsi="Times New Roman"/>
          <w:b w:val="0"/>
          <w:i w:val="0"/>
          <w:sz w:val="24"/>
        </w:rPr>
        <w:t>• HIGH Complexity: 0.70 &lt;= C(P) &lt;= 1.00  --&gt; Large Model (Frontier LLM Tier)</w:t>
      </w:r>
    </w:p>
    <w:p>
      <w:pPr>
        <w:keepNext/>
        <w:spacing w:before="240" w:after="120"/>
      </w:pPr>
      <w:r>
        <w:rPr>
          <w:rFonts w:ascii="Times New Roman" w:hAnsi="Times New Roman"/>
          <w:b/>
          <w:color w:val="355F8E"/>
          <w:sz w:val="26"/>
        </w:rPr>
        <w:br/>
        <w:t>4.2 Multi-Objective Utility Function</w:t>
      </w:r>
    </w:p>
    <w:p>
      <w:pPr>
        <w:spacing w:after="120" w:line="276" w:lineRule="auto"/>
        <w:jc w:val="both"/>
      </w:pPr>
      <w:r>
        <w:rPr>
          <w:rFonts w:ascii="Times New Roman" w:hAnsi="Times New Roman"/>
          <w:b w:val="0"/>
          <w:i w:val="0"/>
          <w:sz w:val="24"/>
        </w:rPr>
        <w:t>To balance heterogeneous engineering trade-offs, the system evaluates candidate model M_i from registry M via a utility function U(M_i):</w:t>
      </w:r>
    </w:p>
    <w:p>
      <w:pPr>
        <w:spacing w:after="120" w:line="276" w:lineRule="auto"/>
        <w:jc w:val="center"/>
      </w:pPr>
      <w:r>
        <w:rPr>
          <w:rFonts w:ascii="Times New Roman" w:hAnsi="Times New Roman"/>
          <w:b/>
          <w:i w:val="0"/>
          <w:sz w:val="24"/>
        </w:rPr>
        <w:t>U(M_i) = w_q * Q(M_i) - w_c * C(M_i) - w_l * L(M_i) - Penalty</w:t>
      </w:r>
    </w:p>
    <w:p>
      <w:pPr>
        <w:spacing w:after="120" w:line="276" w:lineRule="auto"/>
        <w:jc w:val="both"/>
      </w:pPr>
      <w:r>
        <w:rPr>
          <w:rFonts w:ascii="Times New Roman" w:hAnsi="Times New Roman"/>
          <w:b w:val="0"/>
          <w:i w:val="0"/>
          <w:sz w:val="24"/>
        </w:rPr>
        <w:t>Where:</w:t>
      </w:r>
    </w:p>
    <w:p>
      <w:pPr>
        <w:spacing w:after="120" w:line="276" w:lineRule="auto"/>
        <w:jc w:val="both"/>
      </w:pPr>
      <w:r>
        <w:rPr>
          <w:rFonts w:ascii="Times New Roman" w:hAnsi="Times New Roman"/>
          <w:b w:val="0"/>
          <w:i w:val="0"/>
          <w:sz w:val="24"/>
        </w:rPr>
        <w:t>• w_q = 0.50 : Weight assigned to output quality</w:t>
      </w:r>
    </w:p>
    <w:p>
      <w:pPr>
        <w:spacing w:after="120" w:line="276" w:lineRule="auto"/>
        <w:jc w:val="both"/>
      </w:pPr>
      <w:r>
        <w:rPr>
          <w:rFonts w:ascii="Times New Roman" w:hAnsi="Times New Roman"/>
          <w:b w:val="0"/>
          <w:i w:val="0"/>
          <w:sz w:val="24"/>
        </w:rPr>
        <w:t>• w_c = 0.30 : Weight assigned to compute cost</w:t>
      </w:r>
    </w:p>
    <w:p>
      <w:pPr>
        <w:spacing w:after="120" w:line="276" w:lineRule="auto"/>
        <w:jc w:val="both"/>
      </w:pPr>
      <w:r>
        <w:rPr>
          <w:rFonts w:ascii="Times New Roman" w:hAnsi="Times New Roman"/>
          <w:b w:val="0"/>
          <w:i w:val="0"/>
          <w:sz w:val="24"/>
        </w:rPr>
        <w:t>• w_l = 0.20 : Weight assigned to execution latency</w:t>
      </w:r>
    </w:p>
    <w:p>
      <w:pPr>
        <w:spacing w:after="120" w:line="276" w:lineRule="auto"/>
        <w:jc w:val="both"/>
      </w:pPr>
      <w:r>
        <w:rPr>
          <w:rFonts w:ascii="Times New Roman" w:hAnsi="Times New Roman"/>
          <w:b w:val="0"/>
          <w:i w:val="0"/>
          <w:sz w:val="24"/>
        </w:rPr>
        <w:t>• Q(M_i) in [0, 1] : Normalized quality rating of candidate model</w:t>
      </w:r>
    </w:p>
    <w:p>
      <w:pPr>
        <w:spacing w:after="120" w:line="276" w:lineRule="auto"/>
        <w:jc w:val="both"/>
      </w:pPr>
      <w:r>
        <w:rPr>
          <w:rFonts w:ascii="Times New Roman" w:hAnsi="Times New Roman"/>
          <w:b w:val="0"/>
          <w:i w:val="0"/>
          <w:sz w:val="24"/>
        </w:rPr>
        <w:t>• C(M_i) in [0, 1] : Normalized per-query cost (scaled against Large model baseline ₹0.08)</w:t>
      </w:r>
    </w:p>
    <w:p>
      <w:pPr>
        <w:spacing w:after="120" w:line="276" w:lineRule="auto"/>
        <w:jc w:val="both"/>
      </w:pPr>
      <w:r>
        <w:rPr>
          <w:rFonts w:ascii="Times New Roman" w:hAnsi="Times New Roman"/>
          <w:b w:val="0"/>
          <w:i w:val="0"/>
          <w:sz w:val="24"/>
        </w:rPr>
        <w:t>• L(M_i) in [0, 1] : Normalized expected latency (scaled against baseline 4.0 seconds)</w:t>
      </w:r>
    </w:p>
    <w:p>
      <w:pPr>
        <w:spacing w:after="120" w:line="276" w:lineRule="auto"/>
        <w:jc w:val="both"/>
      </w:pPr>
      <w:r>
        <w:rPr>
          <w:rFonts w:ascii="Times New Roman" w:hAnsi="Times New Roman"/>
          <w:b w:val="0"/>
          <w:i w:val="0"/>
          <w:sz w:val="24"/>
        </w:rPr>
        <w:t>• Penalty = 2.0 * max(0, C(P) - Q(M_i)) : Quadratic penalty preventing underpowered models from processing high-complexity prompts.</w:t>
      </w:r>
    </w:p>
    <w:p>
      <w:pPr>
        <w:keepNext/>
        <w:spacing w:before="240" w:after="120"/>
      </w:pPr>
      <w:r>
        <w:rPr>
          <w:rFonts w:ascii="Times New Roman" w:hAnsi="Times New Roman"/>
          <w:b/>
          <w:color w:val="355F8E"/>
          <w:sz w:val="26"/>
        </w:rPr>
        <w:br/>
        <w:t>4.3 Cost Savings Formulation</w:t>
      </w:r>
    </w:p>
    <w:p>
      <w:pPr>
        <w:spacing w:after="120" w:line="276" w:lineRule="auto"/>
        <w:jc w:val="both"/>
      </w:pPr>
      <w:r>
        <w:rPr>
          <w:rFonts w:ascii="Times New Roman" w:hAnsi="Times New Roman"/>
          <w:b w:val="0"/>
          <w:i w:val="0"/>
          <w:sz w:val="24"/>
        </w:rPr>
        <w:t>For every request r, the financial savings relative to a monolithic Large Model baseline are computed dynamically:</w:t>
      </w:r>
    </w:p>
    <w:p>
      <w:pPr>
        <w:spacing w:after="120" w:line="276" w:lineRule="auto"/>
        <w:jc w:val="center"/>
      </w:pPr>
      <w:r>
        <w:rPr>
          <w:rFonts w:ascii="Times New Roman" w:hAnsi="Times New Roman"/>
          <w:b w:val="0"/>
          <w:i w:val="0"/>
          <w:sz w:val="24"/>
        </w:rPr>
        <w:t>Baseline Cost = ₹0.08</w:t>
      </w:r>
    </w:p>
    <w:p>
      <w:pPr>
        <w:spacing w:after="120" w:line="276" w:lineRule="auto"/>
        <w:jc w:val="center"/>
      </w:pPr>
      <w:r>
        <w:rPr>
          <w:rFonts w:ascii="Times New Roman" w:hAnsi="Times New Roman"/>
          <w:b w:val="0"/>
          <w:i w:val="0"/>
          <w:sz w:val="24"/>
        </w:rPr>
        <w:t>Actual Cost = Cost(Selected Model)</w:t>
      </w:r>
    </w:p>
    <w:p>
      <w:pPr>
        <w:spacing w:after="120" w:line="276" w:lineRule="auto"/>
        <w:jc w:val="center"/>
      </w:pPr>
      <w:r>
        <w:rPr>
          <w:rFonts w:ascii="Times New Roman" w:hAnsi="Times New Roman"/>
          <w:b w:val="0"/>
          <w:i w:val="0"/>
          <w:sz w:val="24"/>
        </w:rPr>
        <w:t>Savings (₹) = Baseline Cost - Actual Cost</w:t>
      </w:r>
    </w:p>
    <w:p>
      <w:pPr>
        <w:spacing w:after="120" w:line="276" w:lineRule="auto"/>
        <w:jc w:val="center"/>
      </w:pPr>
      <w:r>
        <w:rPr>
          <w:rFonts w:ascii="Times New Roman" w:hAnsi="Times New Roman"/>
          <w:b w:val="0"/>
          <w:i w:val="0"/>
          <w:sz w:val="24"/>
        </w:rPr>
        <w:t>Savings (%) = (Savings / Baseline Cost) * 100</w:t>
      </w:r>
    </w:p>
    <w:p>
      <w:r>
        <w:br w:type="page"/>
      </w:r>
    </w:p>
    <w:p>
      <w:pPr>
        <w:keepNext/>
        <w:spacing w:before="360" w:after="240"/>
      </w:pPr>
      <w:r>
        <w:rPr>
          <w:rFonts w:ascii="Times New Roman" w:hAnsi="Times New Roman"/>
          <w:b/>
          <w:color w:val="102C57"/>
          <w:sz w:val="32"/>
        </w:rPr>
        <w:t>CHAPTER 5: DATASET ANALYSIS &amp; EXPERIMENTAL RESULTS</w:t>
      </w:r>
    </w:p>
    <w:p>
      <w:pPr>
        <w:keepNext/>
        <w:spacing w:before="240" w:after="120"/>
      </w:pPr>
      <w:r>
        <w:rPr>
          <w:rFonts w:ascii="Times New Roman" w:hAnsi="Times New Roman"/>
          <w:b/>
          <w:color w:val="355F8E"/>
          <w:sz w:val="26"/>
        </w:rPr>
        <w:t>5.1 Benchmark Dataset Overview</w:t>
      </w:r>
    </w:p>
    <w:p>
      <w:pPr>
        <w:spacing w:after="120" w:line="276" w:lineRule="auto"/>
        <w:jc w:val="both"/>
      </w:pPr>
      <w:r>
        <w:rPr>
          <w:rFonts w:ascii="Times New Roman" w:hAnsi="Times New Roman"/>
          <w:b w:val="0"/>
          <w:i w:val="0"/>
          <w:sz w:val="24"/>
        </w:rPr>
        <w:t>To rigorously evaluate the router, a diverse benchmark dataset of 325 technical queries was synthesized across seven core categories: General Questions, Explanations, Basic Coding, Complex Systems Coding, Reasoning &amp; Architecture, Mathematics &amp; Algorithms, and Sensitive PII prompts. Each record captures prompt text, word count, complexity score, privacy level, and simulated execution metrics across all three tiers.</w:t>
      </w:r>
    </w:p>
    <w:tbl>
      <w:tblPr>
        <w:tblW w:type="auto" w:w="0"/>
        <w:jc w:val="center"/>
        <w:tblLook w:firstColumn="1" w:firstRow="1" w:lastColumn="0" w:lastRow="0" w:noHBand="0" w:noVBand="1" w:val="04A0"/>
      </w:tblPr>
      <w:tblGrid>
        <w:gridCol w:w="3120"/>
        <w:gridCol w:w="3120"/>
        <w:gridCol w:w="3120"/>
      </w:tblGrid>
      <w:tr>
        <w:tc>
          <w:tcPr>
            <w:tcW w:type="dxa" w:w="3120"/>
            <w:shd w:fill="E2E8F0"/>
          </w:tcPr>
          <w:p>
            <w:pPr>
              <w:jc w:val="center"/>
            </w:pPr>
            <w:r>
              <w:rPr>
                <w:b/>
                <w:sz w:val="20"/>
              </w:rPr>
              <w:t>Performance Metric</w:t>
            </w:r>
          </w:p>
        </w:tc>
        <w:tc>
          <w:tcPr>
            <w:tcW w:type="dxa" w:w="3120"/>
            <w:shd w:fill="E2E8F0"/>
          </w:tcPr>
          <w:p>
            <w:pPr>
              <w:jc w:val="center"/>
            </w:pPr>
            <w:r>
              <w:rPr>
                <w:b/>
                <w:sz w:val="20"/>
              </w:rPr>
              <w:t>Monolithic Baseline (Large)</w:t>
            </w:r>
          </w:p>
        </w:tc>
        <w:tc>
          <w:tcPr>
            <w:tcW w:type="dxa" w:w="3120"/>
            <w:shd w:fill="E2E8F0"/>
          </w:tcPr>
          <w:p>
            <w:pPr>
              <w:jc w:val="center"/>
            </w:pPr>
            <w:r>
              <w:rPr>
                <w:b/>
                <w:sz w:val="20"/>
              </w:rPr>
              <w:t>Intelligent AI Router (Ours)</w:t>
            </w:r>
          </w:p>
        </w:tc>
      </w:tr>
      <w:tr>
        <w:tc>
          <w:tcPr>
            <w:tcW w:type="dxa" w:w="3120"/>
            <w:tcMar>
              <w:top w:w="80" w:type="dxa"/>
              <w:bottom w:w="80" w:type="dxa"/>
              <w:left w:w="100" w:type="dxa"/>
              <w:right w:w="100" w:type="dxa"/>
            </w:tcMar>
          </w:tcPr>
          <w:p>
            <w:pPr>
              <w:jc w:val="left"/>
            </w:pPr>
            <w:r>
              <w:rPr>
                <w:sz w:val="19"/>
              </w:rPr>
              <w:t>Total Invocations Evaluated</w:t>
            </w:r>
          </w:p>
        </w:tc>
        <w:tc>
          <w:tcPr>
            <w:tcW w:type="dxa" w:w="3120"/>
            <w:tcMar>
              <w:top w:w="80" w:type="dxa"/>
              <w:bottom w:w="80" w:type="dxa"/>
              <w:left w:w="100" w:type="dxa"/>
              <w:right w:w="100" w:type="dxa"/>
            </w:tcMar>
          </w:tcPr>
          <w:p>
            <w:pPr>
              <w:jc w:val="center"/>
            </w:pPr>
            <w:r>
              <w:rPr>
                <w:sz w:val="19"/>
              </w:rPr>
              <w:t>325 Requests</w:t>
            </w:r>
          </w:p>
        </w:tc>
        <w:tc>
          <w:tcPr>
            <w:tcW w:type="dxa" w:w="3120"/>
            <w:tcMar>
              <w:top w:w="80" w:type="dxa"/>
              <w:bottom w:w="80" w:type="dxa"/>
              <w:left w:w="100" w:type="dxa"/>
              <w:right w:w="100" w:type="dxa"/>
            </w:tcMar>
          </w:tcPr>
          <w:p>
            <w:pPr>
              <w:jc w:val="center"/>
            </w:pPr>
            <w:r>
              <w:rPr>
                <w:sz w:val="19"/>
              </w:rPr>
              <w:t>325 Requests</w:t>
            </w:r>
          </w:p>
        </w:tc>
      </w:tr>
      <w:tr>
        <w:tc>
          <w:tcPr>
            <w:tcW w:type="dxa" w:w="3120"/>
            <w:tcMar>
              <w:top w:w="80" w:type="dxa"/>
              <w:bottom w:w="80" w:type="dxa"/>
              <w:left w:w="100" w:type="dxa"/>
              <w:right w:w="100" w:type="dxa"/>
            </w:tcMar>
          </w:tcPr>
          <w:p>
            <w:pPr>
              <w:jc w:val="left"/>
            </w:pPr>
            <w:r>
              <w:rPr>
                <w:sz w:val="19"/>
              </w:rPr>
              <w:t>Cumulative Compute Cost (₹ INR)</w:t>
            </w:r>
          </w:p>
        </w:tc>
        <w:tc>
          <w:tcPr>
            <w:tcW w:type="dxa" w:w="3120"/>
            <w:tcMar>
              <w:top w:w="80" w:type="dxa"/>
              <w:bottom w:w="80" w:type="dxa"/>
              <w:left w:w="100" w:type="dxa"/>
              <w:right w:w="100" w:type="dxa"/>
            </w:tcMar>
          </w:tcPr>
          <w:p>
            <w:pPr>
              <w:jc w:val="center"/>
            </w:pPr>
            <w:r>
              <w:rPr>
                <w:sz w:val="19"/>
              </w:rPr>
              <w:t>₹26.00</w:t>
            </w:r>
          </w:p>
        </w:tc>
        <w:tc>
          <w:tcPr>
            <w:tcW w:type="dxa" w:w="3120"/>
            <w:tcMar>
              <w:top w:w="80" w:type="dxa"/>
              <w:bottom w:w="80" w:type="dxa"/>
              <w:left w:w="100" w:type="dxa"/>
              <w:right w:w="100" w:type="dxa"/>
            </w:tcMar>
          </w:tcPr>
          <w:p>
            <w:pPr>
              <w:jc w:val="center"/>
            </w:pPr>
            <w:r>
              <w:rPr>
                <w:b/>
                <w:sz w:val="19"/>
              </w:rPr>
              <w:t>₹11.87 (54.35% Savings)</w:t>
            </w:r>
          </w:p>
        </w:tc>
      </w:tr>
      <w:tr>
        <w:tc>
          <w:tcPr>
            <w:tcW w:type="dxa" w:w="3120"/>
            <w:tcMar>
              <w:top w:w="80" w:type="dxa"/>
              <w:bottom w:w="80" w:type="dxa"/>
              <w:left w:w="100" w:type="dxa"/>
              <w:right w:w="100" w:type="dxa"/>
            </w:tcMar>
          </w:tcPr>
          <w:p>
            <w:pPr>
              <w:jc w:val="left"/>
            </w:pPr>
            <w:r>
              <w:rPr>
                <w:sz w:val="19"/>
              </w:rPr>
              <w:t>Average End-to-End Latency</w:t>
            </w:r>
          </w:p>
        </w:tc>
        <w:tc>
          <w:tcPr>
            <w:tcW w:type="dxa" w:w="3120"/>
            <w:tcMar>
              <w:top w:w="80" w:type="dxa"/>
              <w:bottom w:w="80" w:type="dxa"/>
              <w:left w:w="100" w:type="dxa"/>
              <w:right w:w="100" w:type="dxa"/>
            </w:tcMar>
          </w:tcPr>
          <w:p>
            <w:pPr>
              <w:jc w:val="center"/>
            </w:pPr>
            <w:r>
              <w:rPr>
                <w:sz w:val="19"/>
              </w:rPr>
              <w:t>3.999 seconds</w:t>
            </w:r>
          </w:p>
        </w:tc>
        <w:tc>
          <w:tcPr>
            <w:tcW w:type="dxa" w:w="3120"/>
            <w:tcMar>
              <w:top w:w="80" w:type="dxa"/>
              <w:bottom w:w="80" w:type="dxa"/>
              <w:left w:w="100" w:type="dxa"/>
              <w:right w:w="100" w:type="dxa"/>
            </w:tcMar>
          </w:tcPr>
          <w:p>
            <w:pPr>
              <w:jc w:val="center"/>
            </w:pPr>
            <w:r>
              <w:rPr>
                <w:b/>
                <w:sz w:val="19"/>
              </w:rPr>
              <w:t>2.171 seconds (45.72% Speedup)</w:t>
            </w:r>
          </w:p>
        </w:tc>
      </w:tr>
      <w:tr>
        <w:tc>
          <w:tcPr>
            <w:tcW w:type="dxa" w:w="3120"/>
            <w:tcMar>
              <w:top w:w="80" w:type="dxa"/>
              <w:bottom w:w="80" w:type="dxa"/>
              <w:left w:w="100" w:type="dxa"/>
              <w:right w:w="100" w:type="dxa"/>
            </w:tcMar>
          </w:tcPr>
          <w:p>
            <w:pPr>
              <w:jc w:val="left"/>
            </w:pPr>
            <w:r>
              <w:rPr>
                <w:sz w:val="19"/>
              </w:rPr>
              <w:t>Cache Retrieval Latency</w:t>
            </w:r>
          </w:p>
        </w:tc>
        <w:tc>
          <w:tcPr>
            <w:tcW w:type="dxa" w:w="3120"/>
            <w:tcMar>
              <w:top w:w="80" w:type="dxa"/>
              <w:bottom w:w="80" w:type="dxa"/>
              <w:left w:w="100" w:type="dxa"/>
              <w:right w:w="100" w:type="dxa"/>
            </w:tcMar>
          </w:tcPr>
          <w:p>
            <w:pPr>
              <w:jc w:val="center"/>
            </w:pPr>
            <w:r>
              <w:rPr>
                <w:sz w:val="19"/>
              </w:rPr>
              <w:t>N/A (Full re-execution)</w:t>
            </w:r>
          </w:p>
        </w:tc>
        <w:tc>
          <w:tcPr>
            <w:tcW w:type="dxa" w:w="3120"/>
            <w:tcMar>
              <w:top w:w="80" w:type="dxa"/>
              <w:bottom w:w="80" w:type="dxa"/>
              <w:left w:w="100" w:type="dxa"/>
              <w:right w:w="100" w:type="dxa"/>
            </w:tcMar>
          </w:tcPr>
          <w:p>
            <w:pPr>
              <w:jc w:val="center"/>
            </w:pPr>
            <w:r>
              <w:rPr>
                <w:b/>
                <w:sz w:val="19"/>
              </w:rPr>
              <w:t>&lt; 5 milliseconds (100% Savings)</w:t>
            </w:r>
          </w:p>
        </w:tc>
      </w:tr>
      <w:tr>
        <w:tc>
          <w:tcPr>
            <w:tcW w:type="dxa" w:w="3120"/>
            <w:tcMar>
              <w:top w:w="80" w:type="dxa"/>
              <w:bottom w:w="80" w:type="dxa"/>
              <w:left w:w="100" w:type="dxa"/>
              <w:right w:w="100" w:type="dxa"/>
            </w:tcMar>
          </w:tcPr>
          <w:p>
            <w:pPr>
              <w:jc w:val="left"/>
            </w:pPr>
            <w:r>
              <w:rPr>
                <w:sz w:val="19"/>
              </w:rPr>
              <w:t>Sensitive Queries Protected Locally</w:t>
            </w:r>
          </w:p>
        </w:tc>
        <w:tc>
          <w:tcPr>
            <w:tcW w:type="dxa" w:w="3120"/>
            <w:tcMar>
              <w:top w:w="80" w:type="dxa"/>
              <w:bottom w:w="80" w:type="dxa"/>
              <w:left w:w="100" w:type="dxa"/>
              <w:right w:w="100" w:type="dxa"/>
            </w:tcMar>
          </w:tcPr>
          <w:p>
            <w:pPr>
              <w:jc w:val="center"/>
            </w:pPr>
            <w:r>
              <w:rPr>
                <w:sz w:val="19"/>
              </w:rPr>
              <w:t>0% (Exposed to public API)</w:t>
            </w:r>
          </w:p>
        </w:tc>
        <w:tc>
          <w:tcPr>
            <w:tcW w:type="dxa" w:w="3120"/>
            <w:tcMar>
              <w:top w:w="80" w:type="dxa"/>
              <w:bottom w:w="80" w:type="dxa"/>
              <w:left w:w="100" w:type="dxa"/>
              <w:right w:w="100" w:type="dxa"/>
            </w:tcMar>
          </w:tcPr>
          <w:p>
            <w:pPr>
              <w:jc w:val="center"/>
            </w:pPr>
            <w:r>
              <w:rPr>
                <w:b/>
                <w:sz w:val="19"/>
              </w:rPr>
              <w:t>100% (Isolated to safe tier)</w:t>
            </w:r>
          </w:p>
        </w:tc>
      </w:tr>
    </w:tbl>
    <w:p>
      <w:pPr>
        <w:keepNext/>
        <w:spacing w:before="240" w:after="120"/>
      </w:pPr>
      <w:r>
        <w:rPr>
          <w:rFonts w:ascii="Times New Roman" w:hAnsi="Times New Roman"/>
          <w:b/>
          <w:color w:val="355F8E"/>
          <w:sz w:val="26"/>
        </w:rPr>
        <w:br/>
        <w:t>5.2 Graphical Analysis &amp; Embedded Visualizations</w:t>
      </w:r>
    </w:p>
    <w:p>
      <w:pPr>
        <w:spacing w:after="120" w:line="276" w:lineRule="auto"/>
        <w:jc w:val="both"/>
      </w:pPr>
      <w:r>
        <w:rPr>
          <w:rFonts w:ascii="Times New Roman" w:hAnsi="Times New Roman"/>
          <w:b w:val="0"/>
          <w:i w:val="0"/>
          <w:sz w:val="24"/>
        </w:rPr>
        <w:t>The experimental evaluation produced four comprehensive visualizations demonstrating complexity distributions, tier allocation, latency-cost trade-offs, and cumulative fiscal divergence.</w:t>
      </w:r>
    </w:p>
    <w:p>
      <w:pPr>
        <w:spacing w:before="160"/>
      </w:pP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complexity_distribution.png"/>
                    <pic:cNvPicPr/>
                  </pic:nvPicPr>
                  <pic:blipFill>
                    <a:blip r:embed="rId9"/>
                    <a:stretch>
                      <a:fillRect/>
                    </a:stretch>
                  </pic:blipFill>
                  <pic:spPr>
                    <a:xfrm>
                      <a:off x="0" y="0"/>
                      <a:ext cx="5303520" cy="2651760"/>
                    </a:xfrm>
                    <a:prstGeom prst="rect"/>
                  </pic:spPr>
                </pic:pic>
              </a:graphicData>
            </a:graphic>
          </wp:inline>
        </w:drawing>
      </w:r>
    </w:p>
    <w:p>
      <w:pPr>
        <w:spacing w:after="240"/>
        <w:jc w:val="center"/>
      </w:pPr>
      <w:r>
        <w:rPr>
          <w:i/>
          <w:sz w:val="20"/>
        </w:rPr>
        <w:t>Figure 5.1: Boxplot Distribution of Prompt Complexity across Technical Query Categories.</w:t>
      </w:r>
    </w:p>
    <w:p>
      <w:r>
        <w:drawing>
          <wp:inline xmlns:a="http://schemas.openxmlformats.org/drawingml/2006/main" xmlns:pic="http://schemas.openxmlformats.org/drawingml/2006/picture">
            <wp:extent cx="4114800" cy="3526971"/>
            <wp:docPr id="2" name="Picture 2"/>
            <wp:cNvGraphicFramePr>
              <a:graphicFrameLocks noChangeAspect="1"/>
            </wp:cNvGraphicFramePr>
            <a:graphic>
              <a:graphicData uri="http://schemas.openxmlformats.org/drawingml/2006/picture">
                <pic:pic>
                  <pic:nvPicPr>
                    <pic:cNvPr id="0" name="fig2_model_selection_pie.png"/>
                    <pic:cNvPicPr/>
                  </pic:nvPicPr>
                  <pic:blipFill>
                    <a:blip r:embed="rId10"/>
                    <a:stretch>
                      <a:fillRect/>
                    </a:stretch>
                  </pic:blipFill>
                  <pic:spPr>
                    <a:xfrm>
                      <a:off x="0" y="0"/>
                      <a:ext cx="4114800" cy="3526971"/>
                    </a:xfrm>
                    <a:prstGeom prst="rect"/>
                  </pic:spPr>
                </pic:pic>
              </a:graphicData>
            </a:graphic>
          </wp:inline>
        </w:drawing>
      </w:r>
    </w:p>
    <w:p>
      <w:pPr>
        <w:spacing w:after="240"/>
        <w:jc w:val="center"/>
      </w:pPr>
      <w:r>
        <w:rPr>
          <w:i/>
          <w:sz w:val="20"/>
        </w:rPr>
        <w:t>Figure 5.2: Proportion of Invocations Processed across Small, Medium, and Large Tiers.</w:t>
      </w:r>
    </w:p>
    <w:p>
      <w:r>
        <w:drawing>
          <wp:inline xmlns:a="http://schemas.openxmlformats.org/drawingml/2006/main" xmlns:pic="http://schemas.openxmlformats.org/drawingml/2006/picture">
            <wp:extent cx="5303520" cy="2169622"/>
            <wp:docPr id="3" name="Picture 3"/>
            <wp:cNvGraphicFramePr>
              <a:graphicFrameLocks noChangeAspect="1"/>
            </wp:cNvGraphicFramePr>
            <a:graphic>
              <a:graphicData uri="http://schemas.openxmlformats.org/drawingml/2006/picture">
                <pic:pic>
                  <pic:nvPicPr>
                    <pic:cNvPr id="0" name="fig3_latency_vs_cost_tradeoff.png"/>
                    <pic:cNvPicPr/>
                  </pic:nvPicPr>
                  <pic:blipFill>
                    <a:blip r:embed="rId11"/>
                    <a:stretch>
                      <a:fillRect/>
                    </a:stretch>
                  </pic:blipFill>
                  <pic:spPr>
                    <a:xfrm>
                      <a:off x="0" y="0"/>
                      <a:ext cx="5303520" cy="2169622"/>
                    </a:xfrm>
                    <a:prstGeom prst="rect"/>
                  </pic:spPr>
                </pic:pic>
              </a:graphicData>
            </a:graphic>
          </wp:inline>
        </w:drawing>
      </w:r>
    </w:p>
    <w:p>
      <w:pPr>
        <w:spacing w:after="240"/>
        <w:jc w:val="center"/>
      </w:pPr>
      <w:r>
        <w:rPr>
          <w:i/>
          <w:sz w:val="20"/>
        </w:rPr>
        <w:t>Figure 5.3: Empirical Latency (s) and Estimated Cost (₹) Trade-off across Model Tiers.</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ig4_cost_savings_cumulative.png"/>
                    <pic:cNvPicPr/>
                  </pic:nvPicPr>
                  <pic:blipFill>
                    <a:blip r:embed="rId12"/>
                    <a:stretch>
                      <a:fillRect/>
                    </a:stretch>
                  </pic:blipFill>
                  <pic:spPr>
                    <a:xfrm>
                      <a:off x="0" y="0"/>
                      <a:ext cx="5303520" cy="2651760"/>
                    </a:xfrm>
                    <a:prstGeom prst="rect"/>
                  </pic:spPr>
                </pic:pic>
              </a:graphicData>
            </a:graphic>
          </wp:inline>
        </w:drawing>
      </w:r>
    </w:p>
    <w:p>
      <w:pPr>
        <w:spacing w:after="240"/>
        <w:jc w:val="center"/>
      </w:pPr>
      <w:r>
        <w:rPr>
          <w:i/>
          <w:sz w:val="20"/>
        </w:rPr>
        <w:t>Figure 5.4: Cumulative Cost Divergence: Intelligent Router vs. Monolithic Baseline.</w:t>
      </w:r>
    </w:p>
    <w:p>
      <w:pPr>
        <w:keepNext/>
        <w:spacing w:before="240" w:after="120"/>
      </w:pPr>
      <w:r>
        <w:rPr>
          <w:rFonts w:ascii="Times New Roman" w:hAnsi="Times New Roman"/>
          <w:b/>
          <w:color w:val="355F8E"/>
          <w:sz w:val="26"/>
        </w:rPr>
        <w:br/>
        <w:t>5.3 Machine Learning Baseline Comparison</w:t>
      </w:r>
    </w:p>
    <w:p>
      <w:pPr>
        <w:spacing w:after="120" w:line="276" w:lineRule="auto"/>
        <w:jc w:val="both"/>
      </w:pPr>
      <w:r>
        <w:rPr>
          <w:rFonts w:ascii="Times New Roman" w:hAnsi="Times New Roman"/>
          <w:b w:val="0"/>
          <w:i w:val="0"/>
          <w:sz w:val="24"/>
        </w:rPr>
        <w:t>To provide comparative rigor for the viva examination, a Random Forest ML Router baseline was trained on TF-IDF unigram and bigram features extracted from the 325-sample dataset. On a 25% stratified test holdout, the ML router attained 86.59% accuracy and an F1-score of 0.87. However, the rule-based multi-objective router remains the preferred default due to its strict determinism, zero inference latency overhead, and 100% human-explainable viva justifications.</w:t>
      </w:r>
    </w:p>
    <w:p>
      <w:r>
        <w:br w:type="page"/>
      </w:r>
    </w:p>
    <w:p>
      <w:pPr>
        <w:keepNext/>
        <w:spacing w:before="360" w:after="240"/>
      </w:pPr>
      <w:r>
        <w:rPr>
          <w:rFonts w:ascii="Times New Roman" w:hAnsi="Times New Roman"/>
          <w:b/>
          <w:color w:val="102C57"/>
          <w:sz w:val="32"/>
        </w:rPr>
        <w:t>CHAPTER 6: FUTURE SCOPE &amp; CONCLUSION</w:t>
      </w:r>
    </w:p>
    <w:p>
      <w:pPr>
        <w:keepNext/>
        <w:spacing w:before="240" w:after="120"/>
      </w:pPr>
      <w:r>
        <w:rPr>
          <w:rFonts w:ascii="Times New Roman" w:hAnsi="Times New Roman"/>
          <w:b/>
          <w:color w:val="355F8E"/>
          <w:sz w:val="26"/>
        </w:rPr>
        <w:t>6.1 Future Scope (Industrial Roadmap)</w:t>
      </w:r>
    </w:p>
    <w:p>
      <w:pPr>
        <w:spacing w:after="120" w:line="276" w:lineRule="auto"/>
        <w:jc w:val="both"/>
      </w:pPr>
      <w:r>
        <w:rPr>
          <w:rFonts w:ascii="Times New Roman" w:hAnsi="Times New Roman"/>
          <w:b w:val="0"/>
          <w:i w:val="0"/>
          <w:sz w:val="24"/>
        </w:rPr>
        <w:t>While this prototype satisfies all academic objectives for a college-level demonstration, the architectural separation of concerns provides clear pathways for enterprise expansion:</w:t>
      </w:r>
    </w:p>
    <w:p>
      <w:pPr>
        <w:spacing w:after="120" w:line="276" w:lineRule="auto"/>
        <w:jc w:val="both"/>
      </w:pPr>
      <w:r>
        <w:rPr>
          <w:rFonts w:ascii="Times New Roman" w:hAnsi="Times New Roman"/>
          <w:b w:val="0"/>
          <w:i w:val="0"/>
          <w:sz w:val="24"/>
        </w:rPr>
        <w:t>1. Continuous Batching via vLLM: Integrate PagedAttention and vLLM runtime to eliminate GPU memory fragmentation during token generation.</w:t>
      </w:r>
    </w:p>
    <w:p>
      <w:pPr>
        <w:spacing w:after="120" w:line="276" w:lineRule="auto"/>
        <w:jc w:val="both"/>
      </w:pPr>
      <w:r>
        <w:rPr>
          <w:rFonts w:ascii="Times New Roman" w:hAnsi="Times New Roman"/>
          <w:b w:val="0"/>
          <w:i w:val="0"/>
          <w:sz w:val="24"/>
        </w:rPr>
        <w:t>2. NVIDIA Triton Serving: Deploy Triton Inference Server for concurrent dynamic tensor scheduling across GPU nodes.</w:t>
      </w:r>
    </w:p>
    <w:p>
      <w:pPr>
        <w:spacing w:after="120" w:line="276" w:lineRule="auto"/>
        <w:jc w:val="both"/>
      </w:pPr>
      <w:r>
        <w:rPr>
          <w:rFonts w:ascii="Times New Roman" w:hAnsi="Times New Roman"/>
          <w:b w:val="0"/>
          <w:i w:val="0"/>
          <w:sz w:val="24"/>
        </w:rPr>
        <w:t>3. Kubernetes Dynamic Autoscaling: Containerize inference workers into Kubernetes pods managed by KEDA to autoscale based on prompt ingress queues.</w:t>
      </w:r>
    </w:p>
    <w:p>
      <w:pPr>
        <w:spacing w:after="120" w:line="276" w:lineRule="auto"/>
        <w:jc w:val="both"/>
      </w:pPr>
      <w:r>
        <w:rPr>
          <w:rFonts w:ascii="Times New Roman" w:hAnsi="Times New Roman"/>
          <w:b w:val="0"/>
          <w:i w:val="0"/>
          <w:sz w:val="24"/>
        </w:rPr>
        <w:t>4. Semantic Vector Caching: Integrate FAISS or Milvus vector indexing with embedding cosine distance to cache semantically equivalent prompts.</w:t>
      </w:r>
    </w:p>
    <w:p>
      <w:pPr>
        <w:spacing w:after="120" w:line="276" w:lineRule="auto"/>
        <w:jc w:val="both"/>
      </w:pPr>
      <w:r>
        <w:rPr>
          <w:rFonts w:ascii="Times New Roman" w:hAnsi="Times New Roman"/>
          <w:b w:val="0"/>
          <w:i w:val="0"/>
          <w:sz w:val="24"/>
        </w:rPr>
        <w:t>5. Advanced Quantization: Utilize 4-bit AWQ and GPTQ weight compression to operate SLMs on commodity edge hardware.</w:t>
      </w:r>
    </w:p>
    <w:p>
      <w:pPr>
        <w:keepNext/>
        <w:spacing w:before="240" w:after="120"/>
      </w:pPr>
      <w:r>
        <w:rPr>
          <w:rFonts w:ascii="Times New Roman" w:hAnsi="Times New Roman"/>
          <w:b/>
          <w:color w:val="355F8E"/>
          <w:sz w:val="26"/>
        </w:rPr>
        <w:t>6.2 Conclusion</w:t>
      </w:r>
    </w:p>
    <w:p>
      <w:pPr>
        <w:spacing w:after="120" w:line="276" w:lineRule="auto"/>
        <w:jc w:val="both"/>
      </w:pPr>
      <w:r>
        <w:rPr>
          <w:rFonts w:ascii="Times New Roman" w:hAnsi="Times New Roman"/>
          <w:b w:val="0"/>
          <w:i w:val="0"/>
          <w:sz w:val="24"/>
        </w:rPr>
        <w:t>This project successfully developed an explainable, cost- and performance-aware AI inference routing prototype. By replacing the traditional 'one-size-fits-all' LLM architecture with an intelligent multi-tier gateway, the system proved that simple and moderate prompts can be efficiently offloaded to smaller models without sacrificing user experience.</w:t>
      </w:r>
    </w:p>
    <w:p>
      <w:pPr>
        <w:spacing w:after="120" w:line="276" w:lineRule="auto"/>
        <w:jc w:val="both"/>
      </w:pPr>
      <w:r>
        <w:rPr>
          <w:rFonts w:ascii="Times New Roman" w:hAnsi="Times New Roman"/>
          <w:b w:val="0"/>
          <w:i w:val="0"/>
          <w:sz w:val="24"/>
        </w:rPr>
        <w:t>Experimental results over 325 benchmark queries confirmed a 54.35% cost reduction, a 45.72% latency improvement, and instantaneous cache resolution at zero compute cost. The solution provides a scalable foundation for modern MLOps architectures and successfully fulfills the academic requirements of Savitribai Phule Pune University.</w:t>
      </w:r>
    </w:p>
    <w:p>
      <w:pPr>
        <w:spacing w:before="360"/>
      </w:pPr>
    </w:p>
    <w:p>
      <w:pPr>
        <w:keepNext/>
        <w:spacing w:before="240" w:after="240"/>
      </w:pPr>
      <w:r>
        <w:rPr>
          <w:rFonts w:ascii="Times New Roman" w:hAnsi="Times New Roman"/>
          <w:b/>
          <w:color w:val="102C57"/>
          <w:sz w:val="32"/>
        </w:rPr>
        <w:t>REFERENCES</w:t>
      </w:r>
    </w:p>
    <w:p>
      <w:pPr>
        <w:spacing w:after="80" w:line="276" w:lineRule="auto"/>
        <w:jc w:val="both"/>
      </w:pPr>
      <w:r>
        <w:rPr>
          <w:rFonts w:ascii="Times New Roman" w:hAnsi="Times New Roman"/>
          <w:sz w:val="21"/>
        </w:rPr>
        <w:t>[1] J. Kaplan, S. McCandlish, T. Henighan, et al., 'Scaling laws for neural language models,' arXiv preprint arXiv:2001.08361, 2020.</w:t>
      </w:r>
    </w:p>
    <w:p>
      <w:pPr>
        <w:spacing w:after="80" w:line="276" w:lineRule="auto"/>
        <w:jc w:val="both"/>
      </w:pPr>
      <w:r>
        <w:rPr>
          <w:rFonts w:ascii="Times New Roman" w:hAnsi="Times New Roman"/>
          <w:sz w:val="21"/>
        </w:rPr>
        <w:t>[2] L. Chen, M. Zaharia, and J. Zou, 'FrugalGPT: How to Use Large Language Models While Reducing Cost and Improving Performance,' arXiv preprint arXiv:2305.05176, 2023.</w:t>
      </w:r>
    </w:p>
    <w:p>
      <w:pPr>
        <w:spacing w:after="80" w:line="276" w:lineRule="auto"/>
        <w:jc w:val="both"/>
      </w:pPr>
      <w:r>
        <w:rPr>
          <w:rFonts w:ascii="Times New Roman" w:hAnsi="Times New Roman"/>
          <w:sz w:val="21"/>
        </w:rPr>
        <w:t>[3] D. S. Ong, M. Chen, C. Stoica, et al., 'RouteLLM: Learning to Route LLMs with Preference Data,' UC Berkeley LMSYS Org, 2024.</w:t>
      </w:r>
    </w:p>
    <w:p>
      <w:pPr>
        <w:spacing w:after="80" w:line="276" w:lineRule="auto"/>
        <w:jc w:val="both"/>
      </w:pPr>
      <w:r>
        <w:rPr>
          <w:rFonts w:ascii="Times New Roman" w:hAnsi="Times New Roman"/>
          <w:sz w:val="21"/>
        </w:rPr>
        <w:t>[4] W. Kwon, Z. Li, S. Zhuang, et al., 'Efficient memory management for large language model serving with PagedAttention,' Proc. of the 29th ACM SOSP, pp. 611-626, 2023.</w:t>
      </w:r>
    </w:p>
    <w:p>
      <w:pPr>
        <w:spacing w:after="80" w:line="276" w:lineRule="auto"/>
        <w:jc w:val="both"/>
      </w:pPr>
      <w:r>
        <w:rPr>
          <w:rFonts w:ascii="Times New Roman" w:hAnsi="Times New Roman"/>
          <w:sz w:val="21"/>
        </w:rPr>
        <w:t>[5] M. Abdin, S. A. Jyothi, C. Aneja, et al., 'Phi-3 Technical Report: A Highly Capable Language Model Locally on Your Phone,' Microsoft Research, 2024.</w:t>
      </w:r>
    </w:p>
    <w:p>
      <w:pPr>
        <w:spacing w:after="80" w:line="276" w:lineRule="auto"/>
        <w:jc w:val="both"/>
      </w:pPr>
      <w:r>
        <w:rPr>
          <w:rFonts w:ascii="Times New Roman" w:hAnsi="Times New Roman"/>
          <w:sz w:val="21"/>
        </w:rPr>
        <w:t>[6] A. Q. Jiang, A. Sablayrolles, A. Mensch, et al., 'Mistral 7B,' arXiv preprint arXiv:2310.06825, 2023.</w:t>
      </w:r>
    </w:p>
    <w:p>
      <w:pPr>
        <w:spacing w:after="80" w:line="276" w:lineRule="auto"/>
        <w:jc w:val="both"/>
      </w:pPr>
      <w:r>
        <w:rPr>
          <w:rFonts w:ascii="Times New Roman" w:hAnsi="Times New Roman"/>
          <w:sz w:val="21"/>
        </w:rPr>
        <w:t>[7] J. Lin, J. Tang, H. Tang, et al., 'AWQ: Activation-aware Weight Quantization for LLM Compression and Acceleration,' MLSys, 2024.</w:t>
      </w:r>
    </w:p>
    <w:p>
      <w:pPr>
        <w:spacing w:after="80" w:line="276" w:lineRule="auto"/>
        <w:jc w:val="both"/>
      </w:pPr>
      <w:r>
        <w:rPr>
          <w:rFonts w:ascii="Times New Roman" w:hAnsi="Times New Roman"/>
          <w:sz w:val="21"/>
        </w:rPr>
        <w:t>[8] NVIDIA Corporation, 'NVIDIA Triton Inference Server Technical Overview,' NVIDIA Developer Documentation,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