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npexfkhvn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Genre Prediction only by using the book title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BAGOFWORDS.ipynb: Implementation of the bag of words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d7zr3a2eb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b1oenuh2i2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Following libraries need to be installed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tflearn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DATA.csv is used for this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LogisticRegression.ipynb: Implementation of the logistic regression model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y47493kuo2l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Following libraries need to be installed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file can also be run with Google Colab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NaiveBayes.ipynb: Implementation of the Naive Bayes Model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Can be run using Google Colab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Goodreads_books.csv is used for running the naive bayes and logistic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