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color w:val="1E3A8A"/>
        </w:rPr>
        <w:t>High-Level Design (HLD)</w:t>
      </w:r>
    </w:p>
    <w:p>
      <w:pPr>
        <w:pStyle w:val="Heading2"/>
      </w:pPr>
      <w:r>
        <w:rPr>
          <w:b w:val="0"/>
          <w:color w:val="2563EB"/>
        </w:rPr>
        <w:t>LLM Evaluation Harness (</w:t>
      </w:r>
      <w:r>
        <w:rPr>
          <w:rFonts w:ascii="Consolas" w:hAnsi="Consolas"/>
          <w:color w:val="2563EB"/>
          <w:sz w:val="19"/>
        </w:rPr>
        <w:t>evalharness</w:t>
      </w:r>
      <w:r>
        <w:rPr>
          <w:b w:val="0"/>
          <w:color w:val="2563EB"/>
        </w:rPr>
        <w:t>)</w:t>
      </w:r>
    </w:p>
    <w:p>
      <w:pPr>
        <w:spacing w:after="120"/>
      </w:pPr>
      <w:r>
        <w:rPr>
          <w:b/>
        </w:rPr>
        <w:t>Version:</w:t>
      </w:r>
      <w:r>
        <w:rPr>
          <w:b w:val="0"/>
        </w:rPr>
        <w:t xml:space="preserve"> 1.0 </w:t>
      </w:r>
      <w:r>
        <w:rPr>
          <w:b/>
        </w:rPr>
        <w:t>Companion docs:</w:t>
      </w:r>
      <w:r>
        <w:rPr>
          <w:b w:val="0"/>
        </w:rPr>
        <w:t xml:space="preserve"> </w:t>
      </w:r>
      <w:r>
        <w:rPr>
          <w:rFonts w:ascii="Consolas" w:hAnsi="Consolas"/>
          <w:color w:val="B91C1C"/>
          <w:sz w:val="19"/>
        </w:rPr>
        <w:t>docs/SRS.md</w:t>
      </w:r>
      <w:r>
        <w:rPr>
          <w:b w:val="0"/>
        </w:rPr>
        <w:t xml:space="preserve"> (requirements), </w:t>
      </w:r>
      <w:r>
        <w:rPr>
          <w:rFonts w:ascii="Consolas" w:hAnsi="Consolas"/>
          <w:color w:val="B91C1C"/>
          <w:sz w:val="19"/>
        </w:rPr>
        <w:t>docs/LLD.md</w:t>
      </w:r>
      <w:r>
        <w:rPr>
          <w:b w:val="0"/>
        </w:rPr>
        <w:t xml:space="preserve"> (module-level detail), </w:t>
      </w:r>
      <w:r>
        <w:rPr>
          <w:rFonts w:ascii="Consolas" w:hAnsi="Consolas"/>
          <w:color w:val="B91C1C"/>
          <w:sz w:val="19"/>
        </w:rPr>
        <w:t>docs/DESIGN.md</w:t>
      </w:r>
      <w:r>
        <w:rPr>
          <w:b w:val="0"/>
        </w:rPr>
        <w:t xml:space="preserve"> (rationale &amp; trade-offs).</w:t>
      </w: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1. System Context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53080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ld_system_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5308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6B7280"/>
          <w:sz w:val="18"/>
        </w:rPr>
        <w:t>Figure: System context</w:t>
      </w:r>
    </w:p>
    <w:p>
      <w:pPr>
        <w:spacing w:after="120"/>
      </w:pPr>
      <w:r>
        <w:rPr>
          <w:b w:val="0"/>
        </w:rPr>
        <w:t xml:space="preserve">The harness is the only component the team owns. It talks to an LLM backend (Anthropic first, pluggable) for the *target* and *judge* calls, and to a </w:t>
      </w:r>
      <w:r>
        <w:rPr>
          <w:b/>
        </w:rPr>
        <w:t>local</w:t>
      </w:r>
      <w:r>
        <w:rPr>
          <w:b w:val="0"/>
        </w:rPr>
        <w:t xml:space="preserve"> embedding model for semantic scoring (Anthropic has no first-party embeddings endpoint, so keeping this local makes the scorer offline, free, and deterministic).</w:t>
      </w: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2. The Evaluation Pipeline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52347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ld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5234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6B7280"/>
          <w:sz w:val="18"/>
        </w:rPr>
        <w:t>Figure: The evaluation pipeline</w:t>
      </w: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3. Components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E3A8A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val="clear" w:fill="1E3A8A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880"/>
            <w:shd w:val="clear" w:fill="1E3A8A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 model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91C1C"/>
                <w:sz w:val="19"/>
              </w:rPr>
              <w:t>models.py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Immutable, typed representations of every entity (cases, results, baseline). Single source of truth for shapes.</w:t>
            </w:r>
          </w:p>
        </w:tc>
      </w:tr>
      <w:tr>
        <w:tc>
          <w:tcPr>
            <w:tcW w:type="dxa" w:w="2880"/>
            <w:shd w:val="clear" w:fill="EEF2FF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Config</w:t>
            </w:r>
          </w:p>
        </w:tc>
        <w:tc>
          <w:tcPr>
            <w:tcW w:type="dxa" w:w="2880"/>
            <w:shd w:val="clear" w:fill="EEF2FF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91C1C"/>
                <w:sz w:val="19"/>
              </w:rPr>
              <w:t>config.py</w:t>
            </w:r>
          </w:p>
        </w:tc>
        <w:tc>
          <w:tcPr>
            <w:tcW w:type="dxa" w:w="2880"/>
            <w:shd w:val="clear" w:fill="EEF2FF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Parse &amp; validate the suite config; resolve which provider, models, scorers, and thresholds to use.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Dataset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91C1C"/>
                <w:sz w:val="19"/>
              </w:rPr>
              <w:t>dataset.py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 xml:space="preserve">Load &amp; validate golden sets from YAML/JSONL into </w:t>
            </w:r>
            <w:r>
              <w:rPr>
                <w:rFonts w:ascii="Consolas" w:hAnsi="Consolas"/>
                <w:color w:val="B91C1C"/>
                <w:sz w:val="19"/>
              </w:rPr>
              <w:t>GoldenSet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color w:val="B91C1C"/>
                <w:sz w:val="19"/>
              </w:rPr>
              <w:t>TestCase</w:t>
            </w:r>
            <w:r>
              <w:rPr>
                <w:b w:val="0"/>
                <w:sz w:val="19"/>
              </w:rPr>
              <w:t>.</w:t>
            </w:r>
          </w:p>
        </w:tc>
      </w:tr>
      <w:tr>
        <w:tc>
          <w:tcPr>
            <w:tcW w:type="dxa" w:w="2880"/>
            <w:shd w:val="clear" w:fill="EEF2FF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Provider</w:t>
            </w:r>
          </w:p>
        </w:tc>
        <w:tc>
          <w:tcPr>
            <w:tcW w:type="dxa" w:w="2880"/>
            <w:shd w:val="clear" w:fill="EEF2FF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91C1C"/>
                <w:sz w:val="19"/>
              </w:rPr>
              <w:t>providers/</w:t>
            </w:r>
          </w:p>
        </w:tc>
        <w:tc>
          <w:tcPr>
            <w:tcW w:type="dxa" w:w="2880"/>
            <w:shd w:val="clear" w:fill="EEF2FF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 xml:space="preserve">Adapter to an LLM backend. </w:t>
            </w:r>
            <w:r>
              <w:rPr>
                <w:rFonts w:ascii="Consolas" w:hAnsi="Consolas"/>
                <w:color w:val="B91C1C"/>
                <w:sz w:val="19"/>
              </w:rPr>
              <w:t>base.py</w:t>
            </w:r>
            <w:r>
              <w:rPr>
                <w:b w:val="0"/>
                <w:sz w:val="19"/>
              </w:rPr>
              <w:t xml:space="preserve"> defines the interface; </w:t>
            </w:r>
            <w:r>
              <w:rPr>
                <w:rFonts w:ascii="Consolas" w:hAnsi="Consolas"/>
                <w:color w:val="B91C1C"/>
                <w:sz w:val="19"/>
              </w:rPr>
              <w:t>anthropic.py</w:t>
            </w:r>
            <w:r>
              <w:rPr>
                <w:b w:val="0"/>
                <w:sz w:val="19"/>
              </w:rPr>
              <w:t xml:space="preserve"> implements it; </w:t>
            </w:r>
            <w:r>
              <w:rPr>
                <w:rFonts w:ascii="Consolas" w:hAnsi="Consolas"/>
                <w:color w:val="B91C1C"/>
                <w:sz w:val="19"/>
              </w:rPr>
              <w:t>openai.py</w:t>
            </w:r>
            <w:r>
              <w:rPr>
                <w:b w:val="0"/>
                <w:sz w:val="19"/>
              </w:rPr>
              <w:t xml:space="preserve"> is a drop-in stub; a </w:t>
            </w:r>
            <w:r>
              <w:rPr>
                <w:rFonts w:ascii="Consolas" w:hAnsi="Consolas"/>
                <w:color w:val="B91C1C"/>
                <w:sz w:val="19"/>
              </w:rPr>
              <w:t>MockProvider</w:t>
            </w:r>
            <w:r>
              <w:rPr>
                <w:b w:val="0"/>
                <w:sz w:val="19"/>
              </w:rPr>
              <w:t xml:space="preserve"> powers offline tests.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Cache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91C1C"/>
                <w:sz w:val="19"/>
              </w:rPr>
              <w:t>cache.py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Content-addressed on-disk cache of provider responses for cheap, reproducible re-runs.</w:t>
            </w:r>
          </w:p>
        </w:tc>
      </w:tr>
      <w:tr>
        <w:tc>
          <w:tcPr>
            <w:tcW w:type="dxa" w:w="2880"/>
            <w:shd w:val="clear" w:fill="EEF2FF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Scorers</w:t>
            </w:r>
          </w:p>
        </w:tc>
        <w:tc>
          <w:tcPr>
            <w:tcW w:type="dxa" w:w="2880"/>
            <w:shd w:val="clear" w:fill="EEF2FF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91C1C"/>
                <w:sz w:val="19"/>
              </w:rPr>
              <w:t>scorers/</w:t>
            </w:r>
          </w:p>
        </w:tc>
        <w:tc>
          <w:tcPr>
            <w:tcW w:type="dxa" w:w="2880"/>
            <w:shd w:val="clear" w:fill="EEF2FF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 xml:space="preserve">Map </w:t>
            </w:r>
            <w:r>
              <w:rPr>
                <w:rFonts w:ascii="Consolas" w:hAnsi="Consolas"/>
                <w:color w:val="B91C1C"/>
                <w:sz w:val="19"/>
              </w:rPr>
              <w:t>(case, output) → ScoreResult</w:t>
            </w:r>
            <w:r>
              <w:rPr>
                <w:b w:val="0"/>
                <w:sz w:val="19"/>
              </w:rPr>
              <w:t>. Deterministic scorers + local embedding scorer + LLM-judge scorer.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Runner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91C1C"/>
                <w:sz w:val="19"/>
              </w:rPr>
              <w:t>runner.py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 xml:space="preserve">Orchestrate the pipeline; bounded concurrency; error isolation; produce a </w:t>
            </w:r>
            <w:r>
              <w:rPr>
                <w:rFonts w:ascii="Consolas" w:hAnsi="Consolas"/>
                <w:color w:val="B91C1C"/>
                <w:sz w:val="19"/>
              </w:rPr>
              <w:t>RunResult</w:t>
            </w:r>
            <w:r>
              <w:rPr>
                <w:b w:val="0"/>
                <w:sz w:val="19"/>
              </w:rPr>
              <w:t>.</w:t>
            </w:r>
          </w:p>
        </w:tc>
      </w:tr>
      <w:tr>
        <w:tc>
          <w:tcPr>
            <w:tcW w:type="dxa" w:w="2880"/>
            <w:shd w:val="clear" w:fill="EEF2FF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Regression</w:t>
            </w:r>
          </w:p>
        </w:tc>
        <w:tc>
          <w:tcPr>
            <w:tcW w:type="dxa" w:w="2880"/>
            <w:shd w:val="clear" w:fill="EEF2FF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91C1C"/>
                <w:sz w:val="19"/>
              </w:rPr>
              <w:t>regression.py</w:t>
            </w:r>
          </w:p>
        </w:tc>
        <w:tc>
          <w:tcPr>
            <w:tcW w:type="dxa" w:w="2880"/>
            <w:shd w:val="clear" w:fill="EEF2FF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 xml:space="preserve">Diff a run against a baseline; apply thresholds; emit a </w:t>
            </w:r>
            <w:r>
              <w:rPr>
                <w:rFonts w:ascii="Consolas" w:hAnsi="Consolas"/>
                <w:color w:val="B91C1C"/>
                <w:sz w:val="19"/>
              </w:rPr>
              <w:t>GateDecision</w:t>
            </w:r>
            <w:r>
              <w:rPr>
                <w:b w:val="0"/>
                <w:sz w:val="19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Reporting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91C1C"/>
                <w:sz w:val="19"/>
              </w:rPr>
              <w:t>report.py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Render terminal (rich) and self-contained HTML reports.</w:t>
            </w:r>
          </w:p>
        </w:tc>
      </w:tr>
      <w:tr>
        <w:tc>
          <w:tcPr>
            <w:tcW w:type="dxa" w:w="2880"/>
            <w:shd w:val="clear" w:fill="EEF2FF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CLI</w:t>
            </w:r>
          </w:p>
        </w:tc>
        <w:tc>
          <w:tcPr>
            <w:tcW w:type="dxa" w:w="2880"/>
            <w:shd w:val="clear" w:fill="EEF2FF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91C1C"/>
                <w:sz w:val="19"/>
              </w:rPr>
              <w:t>cli.py</w:t>
            </w:r>
          </w:p>
        </w:tc>
        <w:tc>
          <w:tcPr>
            <w:tcW w:type="dxa" w:w="2880"/>
            <w:shd w:val="clear" w:fill="EEF2FF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91C1C"/>
                <w:sz w:val="19"/>
              </w:rPr>
              <w:t>run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B91C1C"/>
                <w:sz w:val="19"/>
              </w:rPr>
              <w:t>baseline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B91C1C"/>
                <w:sz w:val="19"/>
              </w:rPr>
              <w:t>report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B91C1C"/>
                <w:sz w:val="19"/>
              </w:rPr>
              <w:t>gate</w:t>
            </w:r>
            <w:r>
              <w:rPr>
                <w:b w:val="0"/>
                <w:sz w:val="19"/>
              </w:rPr>
              <w:t xml:space="preserve">; maps </w:t>
            </w:r>
            <w:r>
              <w:rPr>
                <w:rFonts w:ascii="Consolas" w:hAnsi="Consolas"/>
                <w:color w:val="B91C1C"/>
                <w:sz w:val="19"/>
              </w:rPr>
              <w:t>gate</w:t>
            </w:r>
            <w:r>
              <w:rPr>
                <w:b w:val="0"/>
                <w:sz w:val="19"/>
              </w:rPr>
              <w:t xml:space="preserve"> failure to a non-zero exit code.</w:t>
            </w:r>
          </w:p>
        </w:tc>
      </w:tr>
    </w:tbl>
    <w:p>
      <w:pPr>
        <w:spacing w:after="80"/>
      </w:pP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4. Key Data Entities (overview; full shapes in LLD)</w:t>
      </w:r>
    </w:p>
    <w:p>
      <w:pPr>
        <w:pStyle w:val="ListBullet"/>
      </w:pPr>
      <w:r>
        <w:rPr>
          <w:rFonts w:ascii="Consolas" w:hAnsi="Consolas"/>
          <w:color w:val="B91C1C"/>
          <w:sz w:val="19"/>
        </w:rPr>
        <w:t>TestCase</w:t>
      </w:r>
      <w:r>
        <w:rPr>
          <w:b w:val="0"/>
        </w:rPr>
        <w:t xml:space="preserve"> — one input + expectations (</w:t>
      </w:r>
      <w:r>
        <w:rPr>
          <w:rFonts w:ascii="Consolas" w:hAnsi="Consolas"/>
          <w:color w:val="B91C1C"/>
          <w:sz w:val="19"/>
        </w:rPr>
        <w:t>expected</w:t>
      </w:r>
      <w:r>
        <w:rPr>
          <w:b w:val="0"/>
        </w:rPr>
        <w:t xml:space="preserve">, </w:t>
      </w:r>
      <w:r>
        <w:rPr>
          <w:rFonts w:ascii="Consolas" w:hAnsi="Consolas"/>
          <w:color w:val="B91C1C"/>
          <w:sz w:val="19"/>
        </w:rPr>
        <w:t>rubric</w:t>
      </w:r>
      <w:r>
        <w:rPr>
          <w:b w:val="0"/>
        </w:rPr>
        <w:t>) + tags/metadata.</w:t>
      </w:r>
    </w:p>
    <w:p>
      <w:pPr>
        <w:pStyle w:val="ListBullet"/>
      </w:pPr>
      <w:r>
        <w:rPr>
          <w:rFonts w:ascii="Consolas" w:hAnsi="Consolas"/>
          <w:color w:val="B91C1C"/>
          <w:sz w:val="19"/>
        </w:rPr>
        <w:t>GoldenSet</w:t>
      </w:r>
      <w:r>
        <w:rPr>
          <w:b w:val="0"/>
        </w:rPr>
        <w:t xml:space="preserve"> — named, versioned list of </w:t>
      </w:r>
      <w:r>
        <w:rPr>
          <w:rFonts w:ascii="Consolas" w:hAnsi="Consolas"/>
          <w:color w:val="B91C1C"/>
          <w:sz w:val="19"/>
        </w:rPr>
        <w:t>TestCase</w:t>
      </w:r>
      <w:r>
        <w:rPr>
          <w:b w:val="0"/>
        </w:rPr>
        <w:t>.</w:t>
      </w:r>
    </w:p>
    <w:p>
      <w:pPr>
        <w:pStyle w:val="ListBullet"/>
      </w:pPr>
      <w:r>
        <w:rPr>
          <w:rFonts w:ascii="Consolas" w:hAnsi="Consolas"/>
          <w:color w:val="B91C1C"/>
          <w:sz w:val="19"/>
        </w:rPr>
        <w:t>ProviderResponse</w:t>
      </w:r>
      <w:r>
        <w:rPr>
          <w:b w:val="0"/>
        </w:rPr>
        <w:t xml:space="preserve"> — output text + token </w:t>
      </w:r>
      <w:r>
        <w:rPr>
          <w:rFonts w:ascii="Consolas" w:hAnsi="Consolas"/>
          <w:color w:val="B91C1C"/>
          <w:sz w:val="19"/>
        </w:rPr>
        <w:t>usage</w:t>
      </w:r>
      <w:r>
        <w:rPr>
          <w:b w:val="0"/>
        </w:rPr>
        <w:t xml:space="preserve"> + model id + </w:t>
      </w:r>
      <w:r>
        <w:rPr>
          <w:rFonts w:ascii="Consolas" w:hAnsi="Consolas"/>
          <w:color w:val="B91C1C"/>
          <w:sz w:val="19"/>
        </w:rPr>
        <w:t>cached</w:t>
      </w:r>
      <w:r>
        <w:rPr>
          <w:b w:val="0"/>
        </w:rPr>
        <w:t xml:space="preserve"> flag.</w:t>
      </w:r>
    </w:p>
    <w:p>
      <w:pPr>
        <w:pStyle w:val="ListBullet"/>
      </w:pPr>
      <w:r>
        <w:rPr>
          <w:rFonts w:ascii="Consolas" w:hAnsi="Consolas"/>
          <w:color w:val="B91C1C"/>
          <w:sz w:val="19"/>
        </w:rPr>
        <w:t>ScoreResult</w:t>
      </w:r>
      <w:r>
        <w:rPr>
          <w:b w:val="0"/>
        </w:rPr>
        <w:t xml:space="preserve"> — scorer name, </w:t>
      </w:r>
      <w:r>
        <w:rPr>
          <w:rFonts w:ascii="Consolas" w:hAnsi="Consolas"/>
          <w:color w:val="B91C1C"/>
          <w:sz w:val="19"/>
        </w:rPr>
        <w:t>score∈[0,1]</w:t>
      </w:r>
      <w:r>
        <w:rPr>
          <w:b w:val="0"/>
        </w:rPr>
        <w:t xml:space="preserve">, </w:t>
      </w:r>
      <w:r>
        <w:rPr>
          <w:rFonts w:ascii="Consolas" w:hAnsi="Consolas"/>
          <w:color w:val="B91C1C"/>
          <w:sz w:val="19"/>
        </w:rPr>
        <w:t>passed</w:t>
      </w:r>
      <w:r>
        <w:rPr>
          <w:b w:val="0"/>
        </w:rPr>
        <w:t>, detail.</w:t>
      </w:r>
    </w:p>
    <w:p>
      <w:pPr>
        <w:pStyle w:val="ListBullet"/>
      </w:pPr>
      <w:r>
        <w:rPr>
          <w:rFonts w:ascii="Consolas" w:hAnsi="Consolas"/>
          <w:color w:val="B91C1C"/>
          <w:sz w:val="19"/>
        </w:rPr>
        <w:t>CaseResult</w:t>
      </w:r>
      <w:r>
        <w:rPr>
          <w:b w:val="0"/>
        </w:rPr>
        <w:t xml:space="preserve"> — case id, output, list of </w:t>
      </w:r>
      <w:r>
        <w:rPr>
          <w:rFonts w:ascii="Consolas" w:hAnsi="Consolas"/>
          <w:color w:val="B91C1C"/>
          <w:sz w:val="19"/>
        </w:rPr>
        <w:t>ScoreResult</w:t>
      </w:r>
      <w:r>
        <w:rPr>
          <w:b w:val="0"/>
        </w:rPr>
        <w:t xml:space="preserve">, overall </w:t>
      </w:r>
      <w:r>
        <w:rPr>
          <w:rFonts w:ascii="Consolas" w:hAnsi="Consolas"/>
          <w:color w:val="B91C1C"/>
          <w:sz w:val="19"/>
        </w:rPr>
        <w:t>passed</w:t>
      </w:r>
      <w:r>
        <w:rPr>
          <w:b w:val="0"/>
        </w:rPr>
        <w:t>, optional error.</w:t>
      </w:r>
    </w:p>
    <w:p>
      <w:pPr>
        <w:pStyle w:val="ListBullet"/>
      </w:pPr>
      <w:r>
        <w:rPr>
          <w:rFonts w:ascii="Consolas" w:hAnsi="Consolas"/>
          <w:color w:val="B91C1C"/>
          <w:sz w:val="19"/>
        </w:rPr>
        <w:t>RunResult</w:t>
      </w:r>
      <w:r>
        <w:rPr>
          <w:b w:val="0"/>
        </w:rPr>
        <w:t xml:space="preserve"> — suite name, model, list of </w:t>
      </w:r>
      <w:r>
        <w:rPr>
          <w:rFonts w:ascii="Consolas" w:hAnsi="Consolas"/>
          <w:color w:val="B91C1C"/>
          <w:sz w:val="19"/>
        </w:rPr>
        <w:t>CaseResult</w:t>
      </w:r>
      <w:r>
        <w:rPr>
          <w:b w:val="0"/>
        </w:rPr>
        <w:t>, aggregate metrics, cost.</w:t>
      </w:r>
    </w:p>
    <w:p>
      <w:pPr>
        <w:pStyle w:val="ListBullet"/>
      </w:pPr>
      <w:r>
        <w:rPr>
          <w:rFonts w:ascii="Consolas" w:hAnsi="Consolas"/>
          <w:color w:val="B91C1C"/>
          <w:sz w:val="19"/>
        </w:rPr>
        <w:t>Baseline</w:t>
      </w:r>
      <w:r>
        <w:rPr>
          <w:b w:val="0"/>
        </w:rPr>
        <w:t xml:space="preserve"> — a stored </w:t>
      </w:r>
      <w:r>
        <w:rPr>
          <w:rFonts w:ascii="Consolas" w:hAnsi="Consolas"/>
          <w:color w:val="B91C1C"/>
          <w:sz w:val="19"/>
        </w:rPr>
        <w:t>RunResult</w:t>
      </w:r>
      <w:r>
        <w:rPr>
          <w:b w:val="0"/>
        </w:rPr>
        <w:t xml:space="preserve"> + timestamp + optional git SHA.</w:t>
      </w:r>
    </w:p>
    <w:p>
      <w:pPr>
        <w:pStyle w:val="ListBullet"/>
      </w:pPr>
      <w:r>
        <w:rPr>
          <w:rFonts w:ascii="Consolas" w:hAnsi="Consolas"/>
          <w:color w:val="B91C1C"/>
          <w:sz w:val="19"/>
        </w:rPr>
        <w:t>GateDecision</w:t>
      </w:r>
      <w:r>
        <w:rPr>
          <w:b w:val="0"/>
        </w:rPr>
        <w:t xml:space="preserve"> — pass/fail + list of reasons (regressed cases, metric drops).</w:t>
      </w: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 xml:space="preserve">5. Control Flow of One </w:t>
      </w:r>
      <w:r>
        <w:rPr>
          <w:rFonts w:ascii="Consolas" w:hAnsi="Consolas"/>
          <w:color w:val="2563EB"/>
          <w:sz w:val="19"/>
        </w:rPr>
        <w:t>run</w:t>
      </w:r>
    </w:p>
    <w:p>
      <w:pPr>
        <w:pStyle w:val="ListNumber"/>
      </w:pPr>
      <w:r>
        <w:rPr>
          <w:b w:val="0"/>
        </w:rPr>
        <w:t>Load suite config → resolve provider, target model, scorers, thresholds.</w:t>
      </w:r>
    </w:p>
    <w:p>
      <w:pPr>
        <w:pStyle w:val="ListNumber"/>
      </w:pPr>
      <w:r>
        <w:rPr>
          <w:b w:val="0"/>
        </w:rPr>
        <w:t xml:space="preserve">Load golden set → validated </w:t>
      </w:r>
      <w:r>
        <w:rPr>
          <w:rFonts w:ascii="Consolas" w:hAnsi="Consolas"/>
          <w:color w:val="B91C1C"/>
          <w:sz w:val="19"/>
        </w:rPr>
        <w:t>GoldenSet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For each </w:t>
      </w:r>
      <w:r>
        <w:rPr>
          <w:rFonts w:ascii="Consolas" w:hAnsi="Consolas"/>
          <w:color w:val="B91C1C"/>
          <w:sz w:val="19"/>
        </w:rPr>
        <w:t>TestCase</w:t>
      </w:r>
      <w:r>
        <w:rPr>
          <w:b w:val="0"/>
        </w:rPr>
        <w:t xml:space="preserve"> (bounded concurrency):</w:t>
      </w:r>
    </w:p>
    <w:p>
      <w:pPr>
        <w:spacing w:after="120"/>
      </w:pPr>
      <w:r>
        <w:rPr>
          <w:b w:val="0"/>
        </w:rPr>
        <w:t xml:space="preserve">a. Render the prompt template with the case input. b. </w:t>
      </w:r>
      <w:r>
        <w:rPr>
          <w:rFonts w:ascii="Consolas" w:hAnsi="Consolas"/>
          <w:color w:val="B91C1C"/>
          <w:sz w:val="19"/>
        </w:rPr>
        <w:t>Provider.complete()</w:t>
      </w:r>
      <w:r>
        <w:rPr>
          <w:b w:val="0"/>
        </w:rPr>
        <w:t xml:space="preserve"> — checked against the </w:t>
      </w:r>
      <w:r>
        <w:rPr>
          <w:b/>
        </w:rPr>
        <w:t>cache</w:t>
      </w:r>
      <w:r>
        <w:rPr>
          <w:b w:val="0"/>
        </w:rPr>
        <w:t xml:space="preserve"> first. c. Run each configured scorer → </w:t>
      </w:r>
      <w:r>
        <w:rPr>
          <w:rFonts w:ascii="Consolas" w:hAnsi="Consolas"/>
          <w:color w:val="B91C1C"/>
          <w:sz w:val="19"/>
        </w:rPr>
        <w:t>ScoreResult</w:t>
      </w:r>
      <w:r>
        <w:rPr>
          <w:b w:val="0"/>
        </w:rPr>
        <w:t xml:space="preserve">s (the LLM-judge scorer itself calls the provider, also cached). d. Combine into a </w:t>
      </w:r>
      <w:r>
        <w:rPr>
          <w:rFonts w:ascii="Consolas" w:hAnsi="Consolas"/>
          <w:color w:val="B91C1C"/>
          <w:sz w:val="19"/>
        </w:rPr>
        <w:t>CaseResult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Aggregate into a </w:t>
      </w:r>
      <w:r>
        <w:rPr>
          <w:rFonts w:ascii="Consolas" w:hAnsi="Consolas"/>
          <w:color w:val="B91C1C"/>
          <w:sz w:val="19"/>
        </w:rPr>
        <w:t>RunResult</w:t>
      </w:r>
      <w:r>
        <w:rPr>
          <w:b w:val="0"/>
        </w:rPr>
        <w:t xml:space="preserve"> (pass rate, per-scorer means, tokens, cost).</w:t>
      </w:r>
    </w:p>
    <w:p>
      <w:pPr>
        <w:pStyle w:val="ListNumber"/>
      </w:pPr>
      <w:r>
        <w:rPr>
          <w:b w:val="0"/>
        </w:rPr>
        <w:t xml:space="preserve">Render reports; optionally save as baseline; optionally run regression → </w:t>
      </w:r>
      <w:r>
        <w:rPr>
          <w:rFonts w:ascii="Consolas" w:hAnsi="Consolas"/>
          <w:color w:val="B91C1C"/>
          <w:sz w:val="19"/>
        </w:rPr>
        <w:t>GateDecision</w:t>
      </w:r>
      <w:r>
        <w:rPr>
          <w:b w:val="0"/>
        </w:rPr>
        <w:t xml:space="preserve"> → exit code.</w:t>
      </w: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6. CI Integration Story</w:t>
      </w:r>
    </w:p>
    <w:p>
      <w:pPr>
        <w:pStyle w:val="ListBullet"/>
      </w:pPr>
      <w:r>
        <w:rPr>
          <w:b w:val="0"/>
        </w:rPr>
        <w:t xml:space="preserve">The team commits: the suite config, the golden set, and a </w:t>
      </w:r>
      <w:r>
        <w:rPr>
          <w:rFonts w:ascii="Consolas" w:hAnsi="Consolas"/>
          <w:color w:val="B91C1C"/>
          <w:sz w:val="19"/>
        </w:rPr>
        <w:t>baseline.json</w:t>
      </w:r>
      <w:r>
        <w:rPr>
          <w:b w:val="0"/>
        </w:rPr>
        <w:t>.</w:t>
      </w:r>
    </w:p>
    <w:p>
      <w:pPr>
        <w:pStyle w:val="ListBullet"/>
      </w:pPr>
      <w:r>
        <w:rPr>
          <w:rFonts w:ascii="Consolas" w:hAnsi="Consolas"/>
          <w:color w:val="B91C1C"/>
          <w:sz w:val="19"/>
        </w:rPr>
        <w:t>.github/workflows/eval.yml</w:t>
      </w:r>
      <w:r>
        <w:rPr>
          <w:b w:val="0"/>
        </w:rPr>
        <w:t>:</w:t>
      </w:r>
    </w:p>
    <w:p>
      <w:pPr>
        <w:pStyle w:val="ListNumber"/>
      </w:pPr>
      <w:r>
        <w:rPr>
          <w:b w:val="0"/>
        </w:rPr>
        <w:t>Installs the package.</w:t>
      </w:r>
    </w:p>
    <w:p>
      <w:pPr>
        <w:pStyle w:val="ListNumber"/>
      </w:pPr>
      <w:r>
        <w:rPr>
          <w:b w:val="0"/>
        </w:rPr>
        <w:t xml:space="preserve">Runs </w:t>
      </w:r>
      <w:r>
        <w:rPr>
          <w:rFonts w:ascii="Consolas" w:hAnsi="Consolas"/>
          <w:color w:val="B91C1C"/>
          <w:sz w:val="19"/>
        </w:rPr>
        <w:t>pytest</w:t>
      </w:r>
      <w:r>
        <w:rPr>
          <w:b w:val="0"/>
        </w:rPr>
        <w:t xml:space="preserve"> (offline, mock provider) — always.</w:t>
      </w:r>
    </w:p>
    <w:p>
      <w:pPr>
        <w:pStyle w:val="ListNumber"/>
      </w:pPr>
      <w:r>
        <w:rPr>
          <w:b w:val="0"/>
        </w:rPr>
        <w:t xml:space="preserve">If </w:t>
      </w:r>
      <w:r>
        <w:rPr>
          <w:rFonts w:ascii="Consolas" w:hAnsi="Consolas"/>
          <w:color w:val="B91C1C"/>
          <w:sz w:val="19"/>
        </w:rPr>
        <w:t>ANTHROPIC_API_KEY</w:t>
      </w:r>
      <w:r>
        <w:rPr>
          <w:b w:val="0"/>
        </w:rPr>
        <w:t xml:space="preserve"> secret is present: runs </w:t>
      </w:r>
      <w:r>
        <w:rPr>
          <w:rFonts w:ascii="Consolas" w:hAnsi="Consolas"/>
          <w:color w:val="B91C1C"/>
          <w:sz w:val="19"/>
        </w:rPr>
        <w:t>evalharness gate</w:t>
      </w:r>
      <w:r>
        <w:rPr>
          <w:b w:val="0"/>
        </w:rPr>
        <w:t xml:space="preserve"> against the committed baseline.</w:t>
      </w:r>
    </w:p>
    <w:p>
      <w:pPr>
        <w:pStyle w:val="ListNumber"/>
      </w:pPr>
      <w:r>
        <w:rPr>
          <w:b w:val="0"/>
        </w:rPr>
        <w:t>Uploads the HTML report as a build artifact.</w:t>
      </w:r>
    </w:p>
    <w:p>
      <w:pPr>
        <w:pStyle w:val="ListBullet"/>
      </w:pPr>
      <w:r>
        <w:rPr>
          <w:b w:val="0"/>
        </w:rPr>
        <w:t xml:space="preserve">A prompt/model change that regresses quality makes </w:t>
      </w:r>
      <w:r>
        <w:rPr>
          <w:rFonts w:ascii="Consolas" w:hAnsi="Consolas"/>
          <w:color w:val="B91C1C"/>
          <w:sz w:val="19"/>
        </w:rPr>
        <w:t>gate</w:t>
      </w:r>
      <w:r>
        <w:rPr>
          <w:b w:val="0"/>
        </w:rPr>
        <w:t xml:space="preserve"> exit non-zero → the PR check goes red.</w:t>
      </w: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7. Technology Choices &amp; Rationale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E3A8A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4320"/>
            <w:shd w:val="clear" w:fill="1E3A8A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Python 3.9+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Dominant language for LLM tooling; rich SDK ecosystem; natural pytest integration for the "test infra" framing. (Verified on 3.9; 3.11+ recommended.)</w:t>
            </w:r>
          </w:p>
        </w:tc>
      </w:tr>
      <w:tr>
        <w:tc>
          <w:tcPr>
            <w:tcW w:type="dxa" w:w="4320"/>
            <w:shd w:val="clear" w:fill="EEF2FF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Anthropic SDK, pluggable providers</w:t>
            </w:r>
          </w:p>
        </w:tc>
        <w:tc>
          <w:tcPr>
            <w:tcW w:type="dxa" w:w="4320"/>
            <w:shd w:val="clear" w:fill="EEF2FF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Ship a working Anthropic path now; keep the interface backend-agnostic so OpenAI/others are drop-in.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Pydantic models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Validation + serialization of golden sets, configs, and baselines for free.</w:t>
            </w:r>
          </w:p>
        </w:tc>
      </w:tr>
      <w:tr>
        <w:tc>
          <w:tcPr>
            <w:tcW w:type="dxa" w:w="4320"/>
            <w:shd w:val="clear" w:fill="EEF2FF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`messages.parse()` for the judge</w:t>
            </w:r>
          </w:p>
        </w:tc>
        <w:tc>
          <w:tcPr>
            <w:tcW w:type="dxa" w:w="4320"/>
            <w:shd w:val="clear" w:fill="EEF2FF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Structured, schema-validated judge verdicts instead of brittle string parsing.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Local `sentence-transformers`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Anthropic has no embeddings endpoint; local embeddings make the semantic scorer offline, free, deterministic.</w:t>
            </w:r>
          </w:p>
        </w:tc>
      </w:tr>
      <w:tr>
        <w:tc>
          <w:tcPr>
            <w:tcW w:type="dxa" w:w="4320"/>
            <w:shd w:val="clear" w:fill="EEF2FF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On-disk response cache</w:t>
            </w:r>
          </w:p>
        </w:tc>
        <w:tc>
          <w:tcPr>
            <w:tcW w:type="dxa" w:w="4320"/>
            <w:shd w:val="clear" w:fill="EEF2FF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Reproducible gates and near-zero re-run cost.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`rich` + inline-HTML reports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Readable locally; shareable as a CI artifact with no asset hosting.</w:t>
            </w:r>
          </w:p>
        </w:tc>
      </w:tr>
      <w:tr>
        <w:tc>
          <w:tcPr>
            <w:tcW w:type="dxa" w:w="4320"/>
            <w:shd w:val="clear" w:fill="EEF2FF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GitHub Actions</w:t>
            </w:r>
          </w:p>
        </w:tc>
        <w:tc>
          <w:tcPr>
            <w:tcW w:type="dxa" w:w="4320"/>
            <w:shd w:val="clear" w:fill="EEF2FF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Most common CI for portfolio/OSS; a plain non-zero exit integrates anywhere else too.</w:t>
            </w:r>
          </w:p>
        </w:tc>
      </w:tr>
    </w:tbl>
    <w:p>
      <w:pPr>
        <w:spacing w:after="80"/>
      </w:pP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8. Extension Points</w:t>
      </w:r>
    </w:p>
    <w:p>
      <w:pPr>
        <w:pStyle w:val="ListBullet"/>
      </w:pPr>
      <w:r>
        <w:rPr>
          <w:b/>
        </w:rPr>
        <w:t>New provider:</w:t>
      </w:r>
      <w:r>
        <w:rPr>
          <w:b w:val="0"/>
        </w:rPr>
        <w:t xml:space="preserve"> implement </w:t>
      </w:r>
      <w:r>
        <w:rPr>
          <w:rFonts w:ascii="Consolas" w:hAnsi="Consolas"/>
          <w:color w:val="B91C1C"/>
          <w:sz w:val="19"/>
        </w:rPr>
        <w:t>Provider</w:t>
      </w:r>
      <w:r>
        <w:rPr>
          <w:b w:val="0"/>
        </w:rPr>
        <w:t xml:space="preserve"> (</w:t>
      </w:r>
      <w:r>
        <w:rPr>
          <w:rFonts w:ascii="Consolas" w:hAnsi="Consolas"/>
          <w:color w:val="B91C1C"/>
          <w:sz w:val="19"/>
        </w:rPr>
        <w:t>complete()</w:t>
      </w:r>
      <w:r>
        <w:rPr>
          <w:b w:val="0"/>
        </w:rPr>
        <w:t xml:space="preserve"> + usage/cost), register it; runner and scorers are unchanged.</w:t>
      </w:r>
    </w:p>
    <w:p>
      <w:pPr>
        <w:pStyle w:val="ListBullet"/>
      </w:pPr>
      <w:r>
        <w:rPr>
          <w:b/>
        </w:rPr>
        <w:t>New scorer:</w:t>
      </w:r>
      <w:r>
        <w:rPr>
          <w:b w:val="0"/>
        </w:rPr>
        <w:t xml:space="preserve"> implement </w:t>
      </w:r>
      <w:r>
        <w:rPr>
          <w:rFonts w:ascii="Consolas" w:hAnsi="Consolas"/>
          <w:color w:val="B91C1C"/>
          <w:sz w:val="19"/>
        </w:rPr>
        <w:t>Scorer</w:t>
      </w:r>
      <w:r>
        <w:rPr>
          <w:b w:val="0"/>
        </w:rPr>
        <w:t xml:space="preserve"> (</w:t>
      </w:r>
      <w:r>
        <w:rPr>
          <w:rFonts w:ascii="Consolas" w:hAnsi="Consolas"/>
          <w:color w:val="B91C1C"/>
          <w:sz w:val="19"/>
        </w:rPr>
        <w:t>score(case, output) → ScoreResult</w:t>
      </w:r>
      <w:r>
        <w:rPr>
          <w:b w:val="0"/>
        </w:rPr>
        <w:t>), register it in the scorer registry, reference it by name in a suite config.</w:t>
      </w:r>
    </w:p>
    <w:p>
      <w:pPr>
        <w:pStyle w:val="ListBullet"/>
      </w:pPr>
      <w:r>
        <w:rPr>
          <w:b/>
        </w:rPr>
        <w:t>New report format:</w:t>
      </w:r>
      <w:r>
        <w:rPr>
          <w:b w:val="0"/>
        </w:rPr>
        <w:t xml:space="preserve"> add a renderer that consumes a </w:t>
      </w:r>
      <w:r>
        <w:rPr>
          <w:rFonts w:ascii="Consolas" w:hAnsi="Consolas"/>
          <w:color w:val="B91C1C"/>
          <w:sz w:val="19"/>
        </w:rPr>
        <w:t>RunResult</w:t>
      </w:r>
      <w:r>
        <w:rPr>
          <w:b w:val="0"/>
        </w:rPr>
        <w:t xml:space="preserve"> (+ optional </w:t>
      </w:r>
      <w:r>
        <w:rPr>
          <w:rFonts w:ascii="Consolas" w:hAnsi="Consolas"/>
          <w:color w:val="B91C1C"/>
          <w:sz w:val="19"/>
        </w:rPr>
        <w:t>GateDecision</w:t>
      </w:r>
      <w:r>
        <w:rPr>
          <w:b w:val="0"/>
        </w:rPr>
        <w:t>).</w:t>
      </w: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9. Cross-Cutting Concerns</w:t>
      </w:r>
    </w:p>
    <w:p>
      <w:pPr>
        <w:pStyle w:val="ListBullet"/>
      </w:pPr>
      <w:r>
        <w:rPr>
          <w:b/>
        </w:rPr>
        <w:t>Reproducibility:</w:t>
      </w:r>
      <w:r>
        <w:rPr>
          <w:b w:val="0"/>
        </w:rPr>
        <w:t xml:space="preserve"> pinned model IDs + response cache + deterministic scorers where possible.</w:t>
      </w:r>
    </w:p>
    <w:p>
      <w:pPr>
        <w:pStyle w:val="ListBullet"/>
      </w:pPr>
      <w:r>
        <w:rPr>
          <w:b/>
        </w:rPr>
        <w:t>Cost:</w:t>
      </w:r>
      <w:r>
        <w:rPr>
          <w:b w:val="0"/>
        </w:rPr>
        <w:t xml:space="preserve"> usage surfaced per response; judge runs cheap and cached; aggregate cost in every report.</w:t>
      </w:r>
    </w:p>
    <w:p>
      <w:pPr>
        <w:pStyle w:val="ListBullet"/>
      </w:pPr>
      <w:r>
        <w:rPr>
          <w:b/>
        </w:rPr>
        <w:t>Security:</w:t>
      </w:r>
      <w:r>
        <w:rPr>
          <w:b w:val="0"/>
        </w:rPr>
        <w:t xml:space="preserve"> keys via env/SDK auth only; never persisted to reports/baselines.</w:t>
      </w:r>
    </w:p>
    <w:p>
      <w:pPr>
        <w:pStyle w:val="ListBullet"/>
      </w:pPr>
      <w:r>
        <w:rPr>
          <w:b/>
        </w:rPr>
        <w:t>Resilience:</w:t>
      </w:r>
      <w:r>
        <w:rPr>
          <w:b w:val="0"/>
        </w:rPr>
        <w:t xml:space="preserve"> bounded retries in the provider; per-case error isolation in the runner.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