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BC069" w14:textId="77777777" w:rsidR="00D10198" w:rsidRPr="0087561A" w:rsidRDefault="00D10198">
      <w:pPr>
        <w:pStyle w:val="Heading1"/>
        <w:rPr>
          <w:rFonts w:asciiTheme="majorBidi" w:hAnsiTheme="majorBidi"/>
          <w:color w:val="000000" w:themeColor="text1"/>
        </w:rPr>
      </w:pPr>
    </w:p>
    <w:p w14:paraId="3CCA5424" w14:textId="77777777" w:rsidR="00D10198" w:rsidRPr="0087561A" w:rsidRDefault="00D10198">
      <w:pPr>
        <w:pStyle w:val="Heading1"/>
        <w:rPr>
          <w:rFonts w:asciiTheme="majorBidi" w:hAnsiTheme="majorBidi"/>
          <w:color w:val="000000" w:themeColor="text1"/>
        </w:rPr>
      </w:pPr>
    </w:p>
    <w:p w14:paraId="6D6A2CFD" w14:textId="77777777" w:rsidR="00D10198" w:rsidRPr="0087561A" w:rsidRDefault="00D10198">
      <w:pPr>
        <w:pStyle w:val="Heading1"/>
        <w:rPr>
          <w:rFonts w:asciiTheme="majorBidi" w:hAnsiTheme="majorBidi"/>
          <w:color w:val="000000" w:themeColor="text1"/>
        </w:rPr>
      </w:pPr>
    </w:p>
    <w:p w14:paraId="2994FEC0" w14:textId="77777777" w:rsidR="00D10198" w:rsidRPr="0087561A" w:rsidRDefault="00D10198">
      <w:pPr>
        <w:pStyle w:val="Heading1"/>
        <w:rPr>
          <w:rFonts w:asciiTheme="majorBidi" w:hAnsiTheme="majorBidi"/>
          <w:color w:val="000000" w:themeColor="text1"/>
        </w:rPr>
      </w:pPr>
    </w:p>
    <w:p w14:paraId="4BBA21EB" w14:textId="77777777" w:rsidR="00D10198" w:rsidRPr="0087561A" w:rsidRDefault="00D10198">
      <w:pPr>
        <w:pStyle w:val="Heading1"/>
        <w:rPr>
          <w:rFonts w:asciiTheme="majorBidi" w:hAnsiTheme="majorBidi"/>
          <w:color w:val="000000" w:themeColor="text1"/>
        </w:rPr>
      </w:pPr>
    </w:p>
    <w:p w14:paraId="3EB41721" w14:textId="77777777" w:rsidR="00D10198" w:rsidRPr="0087561A" w:rsidRDefault="00D10198" w:rsidP="00D10198">
      <w:pPr>
        <w:jc w:val="center"/>
        <w:rPr>
          <w:rFonts w:asciiTheme="majorBidi" w:hAnsiTheme="majorBidi" w:cstheme="majorBidi"/>
          <w:color w:val="000000" w:themeColor="text1"/>
        </w:rPr>
      </w:pPr>
      <w:r w:rsidRPr="0087561A">
        <w:rPr>
          <w:rFonts w:asciiTheme="majorBidi" w:hAnsiTheme="majorBidi" w:cstheme="majorBidi"/>
          <w:b/>
          <w:color w:val="000000" w:themeColor="text1"/>
          <w:sz w:val="44"/>
        </w:rPr>
        <w:t>PROJECT REPORT</w:t>
      </w:r>
    </w:p>
    <w:p w14:paraId="1DE80FE7" w14:textId="77777777" w:rsidR="00D10198" w:rsidRPr="0087561A" w:rsidRDefault="00D10198" w:rsidP="00D10198">
      <w:pPr>
        <w:jc w:val="center"/>
        <w:rPr>
          <w:rFonts w:asciiTheme="majorBidi" w:hAnsiTheme="majorBidi" w:cstheme="majorBidi"/>
          <w:color w:val="000000" w:themeColor="text1"/>
        </w:rPr>
      </w:pPr>
      <w:r w:rsidRPr="0087561A">
        <w:rPr>
          <w:rFonts w:asciiTheme="majorBidi" w:hAnsiTheme="majorBidi" w:cstheme="majorBidi"/>
          <w:b/>
          <w:color w:val="000000" w:themeColor="text1"/>
          <w:sz w:val="36"/>
        </w:rPr>
        <w:t>Clinical Trial Analytics Dashboard</w:t>
      </w:r>
    </w:p>
    <w:p w14:paraId="6AB6CC42" w14:textId="77777777" w:rsidR="00D10198" w:rsidRPr="0087561A" w:rsidRDefault="00D10198" w:rsidP="00D10198">
      <w:pPr>
        <w:jc w:val="center"/>
        <w:rPr>
          <w:rFonts w:asciiTheme="majorBidi" w:hAnsiTheme="majorBidi" w:cstheme="majorBidi"/>
          <w:color w:val="000000" w:themeColor="text1"/>
        </w:rPr>
      </w:pPr>
      <w:r w:rsidRPr="0087561A">
        <w:rPr>
          <w:rFonts w:asciiTheme="majorBidi" w:hAnsiTheme="majorBidi" w:cstheme="majorBidi"/>
          <w:color w:val="000000" w:themeColor="text1"/>
          <w:sz w:val="28"/>
        </w:rPr>
        <w:t>Analysis of 5,000 Clinical Trial Records</w:t>
      </w:r>
    </w:p>
    <w:p w14:paraId="01C6FACA" w14:textId="77777777" w:rsidR="00D10198" w:rsidRPr="0087561A" w:rsidRDefault="00D10198" w:rsidP="00D10198">
      <w:pPr>
        <w:jc w:val="center"/>
        <w:rPr>
          <w:rFonts w:asciiTheme="majorBidi" w:hAnsiTheme="majorBidi" w:cstheme="majorBidi"/>
          <w:i/>
          <w:color w:val="000000" w:themeColor="text1"/>
        </w:rPr>
      </w:pPr>
      <w:r w:rsidRPr="0087561A">
        <w:rPr>
          <w:rFonts w:asciiTheme="majorBidi" w:hAnsiTheme="majorBidi" w:cstheme="majorBidi"/>
          <w:i/>
          <w:color w:val="000000" w:themeColor="text1"/>
        </w:rPr>
        <w:t>Source workbook: Clinical_Trial_Data_Only.xlsx</w:t>
      </w:r>
    </w:p>
    <w:p w14:paraId="1AEFA854" w14:textId="77777777" w:rsidR="00D10198" w:rsidRPr="0087561A" w:rsidRDefault="00D10198" w:rsidP="00D10198">
      <w:pPr>
        <w:jc w:val="center"/>
        <w:rPr>
          <w:rFonts w:asciiTheme="majorBidi" w:hAnsiTheme="majorBidi" w:cstheme="majorBidi"/>
          <w:i/>
          <w:color w:val="000000" w:themeColor="text1"/>
        </w:rPr>
      </w:pPr>
    </w:p>
    <w:p w14:paraId="23511917" w14:textId="77777777" w:rsidR="00D10198" w:rsidRPr="0087561A" w:rsidRDefault="00D10198" w:rsidP="00D10198">
      <w:pPr>
        <w:jc w:val="center"/>
        <w:rPr>
          <w:rFonts w:asciiTheme="majorBidi" w:hAnsiTheme="majorBidi" w:cstheme="majorBidi"/>
          <w:i/>
          <w:color w:val="000000" w:themeColor="text1"/>
        </w:rPr>
      </w:pPr>
    </w:p>
    <w:p w14:paraId="1B7817B4" w14:textId="77777777" w:rsidR="00D10198" w:rsidRPr="0087561A" w:rsidRDefault="00D10198" w:rsidP="00D10198">
      <w:pPr>
        <w:jc w:val="center"/>
        <w:rPr>
          <w:rFonts w:asciiTheme="majorBidi" w:hAnsiTheme="majorBidi" w:cstheme="majorBidi"/>
          <w:i/>
          <w:color w:val="000000" w:themeColor="text1"/>
        </w:rPr>
      </w:pPr>
    </w:p>
    <w:p w14:paraId="3F7BA049" w14:textId="77777777" w:rsidR="00D10198" w:rsidRPr="0087561A" w:rsidRDefault="00D10198" w:rsidP="00D10198">
      <w:pPr>
        <w:jc w:val="center"/>
        <w:rPr>
          <w:rFonts w:asciiTheme="majorBidi" w:hAnsiTheme="majorBidi" w:cstheme="majorBidi"/>
          <w:i/>
          <w:color w:val="000000" w:themeColor="text1"/>
        </w:rPr>
      </w:pPr>
    </w:p>
    <w:p w14:paraId="78A9548E" w14:textId="77777777" w:rsidR="00D10198" w:rsidRPr="0087561A" w:rsidRDefault="00D10198" w:rsidP="00D10198">
      <w:pPr>
        <w:jc w:val="center"/>
        <w:rPr>
          <w:rFonts w:asciiTheme="majorBidi" w:hAnsiTheme="majorBidi" w:cstheme="majorBidi"/>
          <w:i/>
          <w:color w:val="000000" w:themeColor="text1"/>
        </w:rPr>
      </w:pPr>
    </w:p>
    <w:p w14:paraId="788A5CDA" w14:textId="77777777" w:rsidR="00D10198" w:rsidRDefault="00D10198" w:rsidP="00D10198">
      <w:pPr>
        <w:jc w:val="center"/>
        <w:rPr>
          <w:rFonts w:asciiTheme="majorBidi" w:hAnsiTheme="majorBidi" w:cstheme="majorBidi"/>
          <w:i/>
          <w:color w:val="000000" w:themeColor="text1"/>
        </w:rPr>
      </w:pPr>
    </w:p>
    <w:p w14:paraId="7F54C3B3" w14:textId="77777777" w:rsidR="0087561A" w:rsidRPr="0087561A" w:rsidRDefault="0087561A" w:rsidP="00D10198">
      <w:pPr>
        <w:jc w:val="center"/>
        <w:rPr>
          <w:rFonts w:asciiTheme="majorBidi" w:hAnsiTheme="majorBidi" w:cstheme="majorBidi"/>
          <w:i/>
          <w:color w:val="000000" w:themeColor="text1"/>
        </w:rPr>
      </w:pPr>
    </w:p>
    <w:p w14:paraId="2F3C260B" w14:textId="77777777" w:rsidR="00D10198" w:rsidRPr="0087561A" w:rsidRDefault="00D10198" w:rsidP="00D10198">
      <w:pPr>
        <w:jc w:val="center"/>
        <w:rPr>
          <w:rFonts w:asciiTheme="majorBidi" w:hAnsiTheme="majorBidi" w:cstheme="majorBidi"/>
          <w:i/>
          <w:color w:val="000000" w:themeColor="text1"/>
        </w:rPr>
      </w:pPr>
    </w:p>
    <w:p w14:paraId="6D50EAE5" w14:textId="77777777" w:rsidR="00D10198" w:rsidRPr="0087561A" w:rsidRDefault="00D10198" w:rsidP="00D10198">
      <w:pPr>
        <w:jc w:val="center"/>
        <w:rPr>
          <w:rFonts w:asciiTheme="majorBidi" w:hAnsiTheme="majorBidi" w:cstheme="majorBidi"/>
          <w:i/>
          <w:color w:val="000000" w:themeColor="text1"/>
        </w:rPr>
      </w:pPr>
    </w:p>
    <w:p w14:paraId="28B8DA26" w14:textId="77777777" w:rsidR="00D10198" w:rsidRPr="0087561A" w:rsidRDefault="00D10198" w:rsidP="00D10198">
      <w:pPr>
        <w:jc w:val="center"/>
        <w:rPr>
          <w:rFonts w:asciiTheme="majorBidi" w:hAnsiTheme="majorBidi" w:cstheme="majorBidi"/>
          <w:i/>
          <w:color w:val="000000" w:themeColor="text1"/>
        </w:rPr>
      </w:pPr>
    </w:p>
    <w:p w14:paraId="4466507E" w14:textId="77777777" w:rsidR="00D10198" w:rsidRPr="0087561A" w:rsidRDefault="00D10198" w:rsidP="00D10198">
      <w:pPr>
        <w:jc w:val="center"/>
        <w:rPr>
          <w:rFonts w:asciiTheme="majorBidi" w:hAnsiTheme="majorBidi" w:cstheme="majorBidi"/>
          <w:i/>
          <w:color w:val="000000" w:themeColor="text1"/>
        </w:rPr>
      </w:pPr>
    </w:p>
    <w:p w14:paraId="173CC9F2" w14:textId="77777777" w:rsidR="00D10198" w:rsidRPr="0087561A" w:rsidRDefault="00D10198" w:rsidP="00D10198">
      <w:pPr>
        <w:jc w:val="center"/>
        <w:rPr>
          <w:rFonts w:asciiTheme="majorBidi" w:hAnsiTheme="majorBidi" w:cstheme="majorBidi"/>
          <w:i/>
          <w:color w:val="000000" w:themeColor="text1"/>
        </w:rPr>
      </w:pPr>
    </w:p>
    <w:p w14:paraId="5774B113" w14:textId="77777777" w:rsidR="00D10198" w:rsidRPr="0087561A" w:rsidRDefault="00D10198" w:rsidP="00D10198">
      <w:pPr>
        <w:jc w:val="center"/>
        <w:rPr>
          <w:rFonts w:asciiTheme="majorBidi" w:hAnsiTheme="majorBidi" w:cstheme="majorBidi"/>
          <w:color w:val="000000" w:themeColor="text1"/>
        </w:rPr>
      </w:pPr>
    </w:p>
    <w:p w14:paraId="0B5D53C3" w14:textId="53FDD3FB" w:rsidR="00D254B2" w:rsidRPr="0087561A" w:rsidRDefault="00000000">
      <w:pPr>
        <w:pStyle w:val="Heading1"/>
        <w:rPr>
          <w:rFonts w:asciiTheme="majorBidi" w:hAnsiTheme="majorBidi"/>
          <w:color w:val="000000" w:themeColor="text1"/>
        </w:rPr>
      </w:pPr>
      <w:r w:rsidRPr="0087561A">
        <w:rPr>
          <w:rFonts w:asciiTheme="majorBidi" w:hAnsiTheme="majorBidi"/>
          <w:color w:val="000000" w:themeColor="text1"/>
        </w:rPr>
        <w:lastRenderedPageBreak/>
        <w:t>1. Project Overview</w:t>
      </w:r>
    </w:p>
    <w:p w14:paraId="16630947"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This project analyzes a structured dataset containing 5,000 clinical trial records. The workbook combines raw trial-level data with KPI calculations, pivot tables, and a dashboard designed to provide a compact view of trial activity. The analysis focuses on trial volume, enrollment, recruitment duration, therapeutic areas, funding patterns, study status, study design, safety-related measures, and data quality.</w:t>
      </w:r>
    </w:p>
    <w:p w14:paraId="7067AD6D" w14:textId="77777777" w:rsidR="00D254B2" w:rsidRPr="0087561A" w:rsidRDefault="00000000">
      <w:pPr>
        <w:pStyle w:val="Heading2"/>
        <w:rPr>
          <w:rFonts w:asciiTheme="majorBidi" w:hAnsiTheme="majorBidi"/>
          <w:color w:val="000000" w:themeColor="text1"/>
        </w:rPr>
      </w:pPr>
      <w:r w:rsidRPr="0087561A">
        <w:rPr>
          <w:rFonts w:asciiTheme="majorBidi" w:hAnsiTheme="majorBidi"/>
          <w:color w:val="000000" w:themeColor="text1"/>
        </w:rPr>
        <w:t>Problem Statement</w:t>
      </w:r>
    </w:p>
    <w:p w14:paraId="5475171F"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Clinical-trial datasets contain multiple dimensions that are difficult to evaluate efficiently from raw rows alone. A decision-maker needs a concise way to understand how trials are distributed across therapeutic areas, phases, funding sources, and statuses, while also monitoring enrollment, recruitment duration, adverse-event rates, and data quality. The project therefore converts the trial-level dataset into meaningful KPIs, summarized views, and an interactive-style dashboard structure that supports rapid interpretation.</w:t>
      </w:r>
    </w:p>
    <w:p w14:paraId="2B04E917" w14:textId="77777777" w:rsidR="00D254B2" w:rsidRPr="0087561A" w:rsidRDefault="00000000">
      <w:pPr>
        <w:pStyle w:val="Heading2"/>
        <w:rPr>
          <w:rFonts w:asciiTheme="majorBidi" w:hAnsiTheme="majorBidi"/>
          <w:color w:val="000000" w:themeColor="text1"/>
        </w:rPr>
      </w:pPr>
      <w:r w:rsidRPr="0087561A">
        <w:rPr>
          <w:rFonts w:asciiTheme="majorBidi" w:hAnsiTheme="majorBidi"/>
          <w:color w:val="000000" w:themeColor="text1"/>
        </w:rPr>
        <w:t>Project Aim</w:t>
      </w:r>
    </w:p>
    <w:p w14:paraId="766ECF40"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To analyze the clinical-trial dataset and develop a dashboard-oriented analytical framework that summarizes trial volume, participant enrollment, operational performance, therapeutic focus, funding structure, status distribution, and selected quality and safety indicators.</w:t>
      </w:r>
    </w:p>
    <w:p w14:paraId="1411B76C" w14:textId="77777777" w:rsidR="00D254B2" w:rsidRPr="0087561A" w:rsidRDefault="00000000">
      <w:pPr>
        <w:pStyle w:val="Heading2"/>
        <w:rPr>
          <w:rFonts w:asciiTheme="majorBidi" w:hAnsiTheme="majorBidi"/>
          <w:color w:val="000000" w:themeColor="text1"/>
        </w:rPr>
      </w:pPr>
      <w:r w:rsidRPr="0087561A">
        <w:rPr>
          <w:rFonts w:asciiTheme="majorBidi" w:hAnsiTheme="majorBidi"/>
          <w:color w:val="000000" w:themeColor="text1"/>
        </w:rPr>
        <w:t>Objectives</w:t>
      </w:r>
    </w:p>
    <w:p w14:paraId="06B676BD"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Understand the structure, dimensions, and measures available in the clinical-trial dataset.</w:t>
      </w:r>
    </w:p>
    <w:p w14:paraId="20F5F599"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Calculate and interpret major KPIs such as total trials, total enrollment, recruitment duration, data quality, and adverse-event rate.</w:t>
      </w:r>
    </w:p>
    <w:p w14:paraId="16DBA642"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Compare trials across therapeutic areas, phases, statuses, countries, sponsors, intervention types, and funding categories.</w:t>
      </w:r>
    </w:p>
    <w:p w14:paraId="0385E3E2"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Identify important patterns in trial design and operational characteristics.</w:t>
      </w:r>
    </w:p>
    <w:p w14:paraId="42840787"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Explain the dashboard components and how filters and visual summaries can be used for analysis.</w:t>
      </w:r>
    </w:p>
    <w:p w14:paraId="5E21A93F"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Provide concise, evidence-based findings that can guide further exploration of the dataset.</w:t>
      </w:r>
    </w:p>
    <w:p w14:paraId="4C66C29B" w14:textId="77777777" w:rsidR="00D254B2" w:rsidRPr="0087561A" w:rsidRDefault="00000000">
      <w:pPr>
        <w:pStyle w:val="Heading1"/>
        <w:rPr>
          <w:rFonts w:asciiTheme="majorBidi" w:hAnsiTheme="majorBidi"/>
          <w:color w:val="000000" w:themeColor="text1"/>
        </w:rPr>
      </w:pPr>
      <w:r w:rsidRPr="0087561A">
        <w:rPr>
          <w:rFonts w:asciiTheme="majorBidi" w:hAnsiTheme="majorBidi"/>
          <w:color w:val="000000" w:themeColor="text1"/>
        </w:rPr>
        <w:t>2. Dataset Description</w:t>
      </w:r>
    </w:p>
    <w:p w14:paraId="1D44A3A8"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The source workbook contains 5,000 records and 20 fields in the Clinical_Trial_Data sheet. Trial start dates range from 01 January 2018 to 28 June 2026. The completion-date field extends beyond the latest start date, which is expected for ongoing or recently initiated studies.</w:t>
      </w:r>
    </w:p>
    <w:tbl>
      <w:tblPr>
        <w:tblStyle w:val="TableGrid"/>
        <w:tblW w:w="0" w:type="auto"/>
        <w:jc w:val="center"/>
        <w:tblLook w:val="04A0" w:firstRow="1" w:lastRow="0" w:firstColumn="1" w:lastColumn="0" w:noHBand="0" w:noVBand="1"/>
      </w:tblPr>
      <w:tblGrid>
        <w:gridCol w:w="2399"/>
        <w:gridCol w:w="5355"/>
      </w:tblGrid>
      <w:tr w:rsidR="00D254B2" w:rsidRPr="0087561A" w14:paraId="1B719C8A" w14:textId="77777777" w:rsidTr="00086D96">
        <w:trPr>
          <w:trHeight w:val="323"/>
          <w:jc w:val="center"/>
        </w:trPr>
        <w:tc>
          <w:tcPr>
            <w:tcW w:w="2399" w:type="dxa"/>
          </w:tcPr>
          <w:p w14:paraId="6D47145C"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Field Group</w:t>
            </w:r>
          </w:p>
        </w:tc>
        <w:tc>
          <w:tcPr>
            <w:tcW w:w="5355" w:type="dxa"/>
          </w:tcPr>
          <w:p w14:paraId="5AE4ED54"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Purpose</w:t>
            </w:r>
          </w:p>
        </w:tc>
      </w:tr>
      <w:tr w:rsidR="00D254B2" w:rsidRPr="0087561A" w14:paraId="5905365C" w14:textId="77777777" w:rsidTr="00086D96">
        <w:trPr>
          <w:trHeight w:val="347"/>
          <w:jc w:val="center"/>
        </w:trPr>
        <w:tc>
          <w:tcPr>
            <w:tcW w:w="2399" w:type="dxa"/>
          </w:tcPr>
          <w:p w14:paraId="708F189F"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Trial_ID / NCT_ID</w:t>
            </w:r>
          </w:p>
        </w:tc>
        <w:tc>
          <w:tcPr>
            <w:tcW w:w="5355" w:type="dxa"/>
          </w:tcPr>
          <w:p w14:paraId="3CB07855"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Unique trial identifiers</w:t>
            </w:r>
          </w:p>
        </w:tc>
      </w:tr>
      <w:tr w:rsidR="00D254B2" w:rsidRPr="0087561A" w14:paraId="11D6D9E1" w14:textId="77777777" w:rsidTr="00086D96">
        <w:trPr>
          <w:trHeight w:val="323"/>
          <w:jc w:val="center"/>
        </w:trPr>
        <w:tc>
          <w:tcPr>
            <w:tcW w:w="2399" w:type="dxa"/>
          </w:tcPr>
          <w:p w14:paraId="38034D53"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Country / Sponsor</w:t>
            </w:r>
          </w:p>
        </w:tc>
        <w:tc>
          <w:tcPr>
            <w:tcW w:w="5355" w:type="dxa"/>
          </w:tcPr>
          <w:p w14:paraId="71BA4430"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Geographic and sponsoring-organization dimensions</w:t>
            </w:r>
          </w:p>
        </w:tc>
      </w:tr>
      <w:tr w:rsidR="00D254B2" w:rsidRPr="0087561A" w14:paraId="5FB37BE6" w14:textId="77777777" w:rsidTr="00086D96">
        <w:trPr>
          <w:trHeight w:val="347"/>
          <w:jc w:val="center"/>
        </w:trPr>
        <w:tc>
          <w:tcPr>
            <w:tcW w:w="2399" w:type="dxa"/>
          </w:tcPr>
          <w:p w14:paraId="7A714AB3"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Therapeutic_Area</w:t>
            </w:r>
          </w:p>
        </w:tc>
        <w:tc>
          <w:tcPr>
            <w:tcW w:w="5355" w:type="dxa"/>
          </w:tcPr>
          <w:p w14:paraId="674BBD8B"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Clinical domain of the trial</w:t>
            </w:r>
          </w:p>
        </w:tc>
      </w:tr>
      <w:tr w:rsidR="00D254B2" w:rsidRPr="0087561A" w14:paraId="1E44033B" w14:textId="77777777" w:rsidTr="00086D96">
        <w:trPr>
          <w:trHeight w:val="323"/>
          <w:jc w:val="center"/>
        </w:trPr>
        <w:tc>
          <w:tcPr>
            <w:tcW w:w="2399" w:type="dxa"/>
          </w:tcPr>
          <w:p w14:paraId="03A510CF"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Phase / Status</w:t>
            </w:r>
          </w:p>
        </w:tc>
        <w:tc>
          <w:tcPr>
            <w:tcW w:w="5355" w:type="dxa"/>
          </w:tcPr>
          <w:p w14:paraId="6E82780A"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Trial development stage and current status</w:t>
            </w:r>
          </w:p>
        </w:tc>
      </w:tr>
      <w:tr w:rsidR="00D254B2" w:rsidRPr="0087561A" w14:paraId="4288BB05" w14:textId="77777777" w:rsidTr="00086D96">
        <w:trPr>
          <w:trHeight w:val="347"/>
          <w:jc w:val="center"/>
        </w:trPr>
        <w:tc>
          <w:tcPr>
            <w:tcW w:w="2399" w:type="dxa"/>
          </w:tcPr>
          <w:p w14:paraId="323CC1FB"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Intervention / Study_Type</w:t>
            </w:r>
          </w:p>
        </w:tc>
        <w:tc>
          <w:tcPr>
            <w:tcW w:w="5355" w:type="dxa"/>
          </w:tcPr>
          <w:p w14:paraId="5FEA81F7"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Intervention category and interventional/observational design</w:t>
            </w:r>
          </w:p>
        </w:tc>
      </w:tr>
      <w:tr w:rsidR="00D254B2" w:rsidRPr="0087561A" w14:paraId="26BAD1AC" w14:textId="77777777" w:rsidTr="00086D96">
        <w:trPr>
          <w:trHeight w:val="323"/>
          <w:jc w:val="center"/>
        </w:trPr>
        <w:tc>
          <w:tcPr>
            <w:tcW w:w="2399" w:type="dxa"/>
          </w:tcPr>
          <w:p w14:paraId="127B83F0"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Start_Date / Completion_Date</w:t>
            </w:r>
          </w:p>
        </w:tc>
        <w:tc>
          <w:tcPr>
            <w:tcW w:w="5355" w:type="dxa"/>
          </w:tcPr>
          <w:p w14:paraId="27814EDA"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Trial timing fields</w:t>
            </w:r>
          </w:p>
        </w:tc>
      </w:tr>
      <w:tr w:rsidR="00D254B2" w:rsidRPr="0087561A" w14:paraId="6B1A616E" w14:textId="77777777" w:rsidTr="00086D96">
        <w:trPr>
          <w:trHeight w:val="347"/>
          <w:jc w:val="center"/>
        </w:trPr>
        <w:tc>
          <w:tcPr>
            <w:tcW w:w="2399" w:type="dxa"/>
          </w:tcPr>
          <w:p w14:paraId="680A6A1B"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Enrollment / Study_Sites</w:t>
            </w:r>
          </w:p>
        </w:tc>
        <w:tc>
          <w:tcPr>
            <w:tcW w:w="5355" w:type="dxa"/>
          </w:tcPr>
          <w:p w14:paraId="7295779B"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Participant and site-scale measures</w:t>
            </w:r>
          </w:p>
        </w:tc>
      </w:tr>
      <w:tr w:rsidR="00D254B2" w:rsidRPr="0087561A" w14:paraId="12DE32A8" w14:textId="77777777" w:rsidTr="00086D96">
        <w:trPr>
          <w:trHeight w:val="323"/>
          <w:jc w:val="center"/>
        </w:trPr>
        <w:tc>
          <w:tcPr>
            <w:tcW w:w="2399" w:type="dxa"/>
          </w:tcPr>
          <w:p w14:paraId="6E1896FE"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Age_Group / Gender</w:t>
            </w:r>
          </w:p>
        </w:tc>
        <w:tc>
          <w:tcPr>
            <w:tcW w:w="5355" w:type="dxa"/>
          </w:tcPr>
          <w:p w14:paraId="40658CFA"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Participant eligibility characteristics</w:t>
            </w:r>
          </w:p>
        </w:tc>
      </w:tr>
      <w:tr w:rsidR="00D254B2" w:rsidRPr="0087561A" w14:paraId="0A8C3333" w14:textId="77777777" w:rsidTr="00086D96">
        <w:trPr>
          <w:trHeight w:val="347"/>
          <w:jc w:val="center"/>
        </w:trPr>
        <w:tc>
          <w:tcPr>
            <w:tcW w:w="2399" w:type="dxa"/>
          </w:tcPr>
          <w:p w14:paraId="714A16B8"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Funding_Type</w:t>
            </w:r>
          </w:p>
        </w:tc>
        <w:tc>
          <w:tcPr>
            <w:tcW w:w="5355" w:type="dxa"/>
          </w:tcPr>
          <w:p w14:paraId="425679D2"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Funding classification</w:t>
            </w:r>
          </w:p>
        </w:tc>
      </w:tr>
      <w:tr w:rsidR="00D254B2" w:rsidRPr="0087561A" w14:paraId="6164114F" w14:textId="77777777" w:rsidTr="00086D96">
        <w:trPr>
          <w:trHeight w:val="323"/>
          <w:jc w:val="center"/>
        </w:trPr>
        <w:tc>
          <w:tcPr>
            <w:tcW w:w="2399" w:type="dxa"/>
          </w:tcPr>
          <w:p w14:paraId="3F94F110"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Protocol_Amendments</w:t>
            </w:r>
          </w:p>
        </w:tc>
        <w:tc>
          <w:tcPr>
            <w:tcW w:w="5355" w:type="dxa"/>
          </w:tcPr>
          <w:p w14:paraId="4FF0BBDE"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Number of protocol changes</w:t>
            </w:r>
          </w:p>
        </w:tc>
      </w:tr>
      <w:tr w:rsidR="00D254B2" w:rsidRPr="0087561A" w14:paraId="09E62163" w14:textId="77777777" w:rsidTr="00086D96">
        <w:trPr>
          <w:trHeight w:val="347"/>
          <w:jc w:val="center"/>
        </w:trPr>
        <w:tc>
          <w:tcPr>
            <w:tcW w:w="2399" w:type="dxa"/>
          </w:tcPr>
          <w:p w14:paraId="56F8DF7C"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Adverse_Event_Rate_Pct</w:t>
            </w:r>
          </w:p>
        </w:tc>
        <w:tc>
          <w:tcPr>
            <w:tcW w:w="5355" w:type="dxa"/>
          </w:tcPr>
          <w:p w14:paraId="24A28572"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Safety-related percentage measure</w:t>
            </w:r>
          </w:p>
        </w:tc>
      </w:tr>
      <w:tr w:rsidR="00D254B2" w:rsidRPr="0087561A" w14:paraId="1CA13155" w14:textId="77777777" w:rsidTr="00086D96">
        <w:trPr>
          <w:trHeight w:val="323"/>
          <w:jc w:val="center"/>
        </w:trPr>
        <w:tc>
          <w:tcPr>
            <w:tcW w:w="2399" w:type="dxa"/>
          </w:tcPr>
          <w:p w14:paraId="5C9B8491"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lastRenderedPageBreak/>
              <w:t>Data_Quality_Score</w:t>
            </w:r>
          </w:p>
        </w:tc>
        <w:tc>
          <w:tcPr>
            <w:tcW w:w="5355" w:type="dxa"/>
          </w:tcPr>
          <w:p w14:paraId="553991F4"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Data-quality indicator</w:t>
            </w:r>
          </w:p>
        </w:tc>
      </w:tr>
      <w:tr w:rsidR="00D254B2" w:rsidRPr="0087561A" w14:paraId="4FE3DF1B" w14:textId="77777777" w:rsidTr="00086D96">
        <w:trPr>
          <w:trHeight w:val="323"/>
          <w:jc w:val="center"/>
        </w:trPr>
        <w:tc>
          <w:tcPr>
            <w:tcW w:w="2399" w:type="dxa"/>
          </w:tcPr>
          <w:p w14:paraId="6EEE4EBC"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Recruitment_Days</w:t>
            </w:r>
          </w:p>
        </w:tc>
        <w:tc>
          <w:tcPr>
            <w:tcW w:w="5355" w:type="dxa"/>
          </w:tcPr>
          <w:p w14:paraId="474F7FBA"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Recruitment/operational duration measure</w:t>
            </w:r>
          </w:p>
        </w:tc>
      </w:tr>
    </w:tbl>
    <w:p w14:paraId="73F2F528" w14:textId="77777777" w:rsidR="00D254B2" w:rsidRPr="0087561A" w:rsidRDefault="00000000">
      <w:pPr>
        <w:pStyle w:val="Heading1"/>
        <w:rPr>
          <w:rFonts w:asciiTheme="majorBidi" w:hAnsiTheme="majorBidi"/>
          <w:color w:val="000000" w:themeColor="text1"/>
        </w:rPr>
      </w:pPr>
      <w:r w:rsidRPr="0087561A">
        <w:rPr>
          <w:rFonts w:asciiTheme="majorBidi" w:hAnsiTheme="majorBidi"/>
          <w:color w:val="000000" w:themeColor="text1"/>
        </w:rPr>
        <w:t>3. Data Preparation and Analytical Methodology</w:t>
      </w:r>
    </w:p>
    <w:p w14:paraId="4AB40461"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The analysis uses the Clinical_Trial_Data sheet as the primary source. Records were inspected for field types, category distributions, numerical ranges, and date coverage. Categorical variables were summarized using counts and percentages, while numerical variables were evaluated using totals, averages, medians, and ranges where appropriate. The workbook's existing KPI and pivot-table structure was cross-checked against calculations from the raw data.</w:t>
      </w:r>
    </w:p>
    <w:p w14:paraId="7718D906" w14:textId="77777777" w:rsidR="00D254B2" w:rsidRPr="0087561A" w:rsidRDefault="00000000">
      <w:pPr>
        <w:pStyle w:val="Heading2"/>
        <w:rPr>
          <w:rFonts w:asciiTheme="majorBidi" w:hAnsiTheme="majorBidi"/>
          <w:color w:val="000000" w:themeColor="text1"/>
        </w:rPr>
      </w:pPr>
      <w:r w:rsidRPr="0087561A">
        <w:rPr>
          <w:rFonts w:asciiTheme="majorBidi" w:hAnsiTheme="majorBidi"/>
          <w:color w:val="000000" w:themeColor="text1"/>
        </w:rPr>
        <w:t>Analytical workflow</w:t>
      </w:r>
    </w:p>
    <w:p w14:paraId="0F4AA894" w14:textId="77777777" w:rsidR="00D254B2" w:rsidRPr="0087561A" w:rsidRDefault="00000000">
      <w:pPr>
        <w:pStyle w:val="ListNumber"/>
        <w:rPr>
          <w:rFonts w:asciiTheme="majorBidi" w:hAnsiTheme="majorBidi" w:cstheme="majorBidi"/>
          <w:color w:val="000000" w:themeColor="text1"/>
        </w:rPr>
      </w:pPr>
      <w:r w:rsidRPr="0087561A">
        <w:rPr>
          <w:rFonts w:asciiTheme="majorBidi" w:hAnsiTheme="majorBidi" w:cstheme="majorBidi"/>
          <w:color w:val="000000" w:themeColor="text1"/>
        </w:rPr>
        <w:t>Load and inspect the raw clinical-trial records.</w:t>
      </w:r>
    </w:p>
    <w:p w14:paraId="3E31F0BC" w14:textId="77777777" w:rsidR="00D254B2" w:rsidRPr="0087561A" w:rsidRDefault="00000000">
      <w:pPr>
        <w:pStyle w:val="ListNumber"/>
        <w:rPr>
          <w:rFonts w:asciiTheme="majorBidi" w:hAnsiTheme="majorBidi" w:cstheme="majorBidi"/>
          <w:color w:val="000000" w:themeColor="text1"/>
        </w:rPr>
      </w:pPr>
      <w:r w:rsidRPr="0087561A">
        <w:rPr>
          <w:rFonts w:asciiTheme="majorBidi" w:hAnsiTheme="majorBidi" w:cstheme="majorBidi"/>
          <w:color w:val="000000" w:themeColor="text1"/>
        </w:rPr>
        <w:t>Validate record count and key numerical measures.</w:t>
      </w:r>
    </w:p>
    <w:p w14:paraId="1CED3444" w14:textId="77777777" w:rsidR="00D254B2" w:rsidRPr="0087561A" w:rsidRDefault="00000000">
      <w:pPr>
        <w:pStyle w:val="ListNumber"/>
        <w:rPr>
          <w:rFonts w:asciiTheme="majorBidi" w:hAnsiTheme="majorBidi" w:cstheme="majorBidi"/>
          <w:color w:val="000000" w:themeColor="text1"/>
        </w:rPr>
      </w:pPr>
      <w:r w:rsidRPr="0087561A">
        <w:rPr>
          <w:rFonts w:asciiTheme="majorBidi" w:hAnsiTheme="majorBidi" w:cstheme="majorBidi"/>
          <w:color w:val="000000" w:themeColor="text1"/>
        </w:rPr>
        <w:t>Summarize categorical dimensions such as status, phase, therapeutic area, country, sponsor, and funding.</w:t>
      </w:r>
    </w:p>
    <w:p w14:paraId="52FAD19E" w14:textId="77777777" w:rsidR="00D254B2" w:rsidRPr="0087561A" w:rsidRDefault="00000000">
      <w:pPr>
        <w:pStyle w:val="ListNumber"/>
        <w:rPr>
          <w:rFonts w:asciiTheme="majorBidi" w:hAnsiTheme="majorBidi" w:cstheme="majorBidi"/>
          <w:color w:val="000000" w:themeColor="text1"/>
        </w:rPr>
      </w:pPr>
      <w:r w:rsidRPr="0087561A">
        <w:rPr>
          <w:rFonts w:asciiTheme="majorBidi" w:hAnsiTheme="majorBidi" w:cstheme="majorBidi"/>
          <w:color w:val="000000" w:themeColor="text1"/>
        </w:rPr>
        <w:t>Calculate aggregate KPIs for enrollment, recruitment duration, data quality, and adverse-event rate.</w:t>
      </w:r>
    </w:p>
    <w:p w14:paraId="7B488E16" w14:textId="77777777" w:rsidR="00D254B2" w:rsidRPr="0087561A" w:rsidRDefault="00000000">
      <w:pPr>
        <w:pStyle w:val="ListNumber"/>
        <w:rPr>
          <w:rFonts w:asciiTheme="majorBidi" w:hAnsiTheme="majorBidi" w:cstheme="majorBidi"/>
          <w:color w:val="000000" w:themeColor="text1"/>
        </w:rPr>
      </w:pPr>
      <w:r w:rsidRPr="0087561A">
        <w:rPr>
          <w:rFonts w:asciiTheme="majorBidi" w:hAnsiTheme="majorBidi" w:cstheme="majorBidi"/>
          <w:color w:val="000000" w:themeColor="text1"/>
        </w:rPr>
        <w:t>Use pivot-style summaries to support dashboard charts.</w:t>
      </w:r>
    </w:p>
    <w:p w14:paraId="297FCD37" w14:textId="77777777" w:rsidR="00D254B2" w:rsidRPr="0087561A" w:rsidRDefault="00000000">
      <w:pPr>
        <w:pStyle w:val="ListNumber"/>
        <w:rPr>
          <w:rFonts w:asciiTheme="majorBidi" w:hAnsiTheme="majorBidi" w:cstheme="majorBidi"/>
          <w:color w:val="000000" w:themeColor="text1"/>
        </w:rPr>
      </w:pPr>
      <w:r w:rsidRPr="0087561A">
        <w:rPr>
          <w:rFonts w:asciiTheme="majorBidi" w:hAnsiTheme="majorBidi" w:cstheme="majorBidi"/>
          <w:color w:val="000000" w:themeColor="text1"/>
        </w:rPr>
        <w:t>Interpret dashboard visuals together rather than relying on a single metric.</w:t>
      </w:r>
    </w:p>
    <w:p w14:paraId="26F08E20" w14:textId="77777777" w:rsidR="00D254B2" w:rsidRPr="0087561A" w:rsidRDefault="00000000">
      <w:pPr>
        <w:pStyle w:val="Heading1"/>
        <w:rPr>
          <w:rFonts w:asciiTheme="majorBidi" w:hAnsiTheme="majorBidi"/>
          <w:color w:val="000000" w:themeColor="text1"/>
        </w:rPr>
      </w:pPr>
      <w:r w:rsidRPr="0087561A">
        <w:rPr>
          <w:rFonts w:asciiTheme="majorBidi" w:hAnsiTheme="majorBidi"/>
          <w:color w:val="000000" w:themeColor="text1"/>
        </w:rPr>
        <w:t>4. Key Performance Indicators</w:t>
      </w:r>
    </w:p>
    <w:tbl>
      <w:tblPr>
        <w:tblStyle w:val="TableGrid"/>
        <w:tblW w:w="0" w:type="auto"/>
        <w:jc w:val="center"/>
        <w:tblLook w:val="04A0" w:firstRow="1" w:lastRow="0" w:firstColumn="1" w:lastColumn="0" w:noHBand="0" w:noVBand="1"/>
      </w:tblPr>
      <w:tblGrid>
        <w:gridCol w:w="1810"/>
        <w:gridCol w:w="1206"/>
        <w:gridCol w:w="4135"/>
      </w:tblGrid>
      <w:tr w:rsidR="00D254B2" w:rsidRPr="0087561A" w14:paraId="79A39EBA" w14:textId="77777777" w:rsidTr="00086D96">
        <w:trPr>
          <w:trHeight w:val="278"/>
          <w:jc w:val="center"/>
        </w:trPr>
        <w:tc>
          <w:tcPr>
            <w:tcW w:w="1810" w:type="dxa"/>
          </w:tcPr>
          <w:p w14:paraId="75891E9D"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KPI</w:t>
            </w:r>
          </w:p>
        </w:tc>
        <w:tc>
          <w:tcPr>
            <w:tcW w:w="1206" w:type="dxa"/>
          </w:tcPr>
          <w:p w14:paraId="286867B2"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Value</w:t>
            </w:r>
          </w:p>
        </w:tc>
        <w:tc>
          <w:tcPr>
            <w:tcW w:w="4135" w:type="dxa"/>
          </w:tcPr>
          <w:p w14:paraId="485ED87A"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Interpretation</w:t>
            </w:r>
          </w:p>
        </w:tc>
      </w:tr>
      <w:tr w:rsidR="00D254B2" w:rsidRPr="0087561A" w14:paraId="76256491" w14:textId="77777777" w:rsidTr="00086D96">
        <w:trPr>
          <w:trHeight w:val="299"/>
          <w:jc w:val="center"/>
        </w:trPr>
        <w:tc>
          <w:tcPr>
            <w:tcW w:w="1810" w:type="dxa"/>
          </w:tcPr>
          <w:p w14:paraId="150D40AE"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Total Trials</w:t>
            </w:r>
          </w:p>
        </w:tc>
        <w:tc>
          <w:tcPr>
            <w:tcW w:w="1206" w:type="dxa"/>
          </w:tcPr>
          <w:p w14:paraId="38771779"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5,000</w:t>
            </w:r>
          </w:p>
        </w:tc>
        <w:tc>
          <w:tcPr>
            <w:tcW w:w="4135" w:type="dxa"/>
          </w:tcPr>
          <w:p w14:paraId="4BCC42A4"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Number of trial records</w:t>
            </w:r>
          </w:p>
        </w:tc>
      </w:tr>
      <w:tr w:rsidR="00D254B2" w:rsidRPr="0087561A" w14:paraId="5079D208" w14:textId="77777777" w:rsidTr="00086D96">
        <w:trPr>
          <w:trHeight w:val="278"/>
          <w:jc w:val="center"/>
        </w:trPr>
        <w:tc>
          <w:tcPr>
            <w:tcW w:w="1810" w:type="dxa"/>
          </w:tcPr>
          <w:p w14:paraId="13900A76"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Total Enrollment</w:t>
            </w:r>
          </w:p>
        </w:tc>
        <w:tc>
          <w:tcPr>
            <w:tcW w:w="1206" w:type="dxa"/>
          </w:tcPr>
          <w:p w14:paraId="17EE070B"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1,910,670</w:t>
            </w:r>
          </w:p>
        </w:tc>
        <w:tc>
          <w:tcPr>
            <w:tcW w:w="4135" w:type="dxa"/>
          </w:tcPr>
          <w:p w14:paraId="2190F0FD"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Total participants represented</w:t>
            </w:r>
          </w:p>
        </w:tc>
      </w:tr>
      <w:tr w:rsidR="00D254B2" w:rsidRPr="0087561A" w14:paraId="163EDA46" w14:textId="77777777" w:rsidTr="00086D96">
        <w:trPr>
          <w:trHeight w:val="299"/>
          <w:jc w:val="center"/>
        </w:trPr>
        <w:tc>
          <w:tcPr>
            <w:tcW w:w="1810" w:type="dxa"/>
          </w:tcPr>
          <w:p w14:paraId="6C7B589E"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Average Enrollment / Trial</w:t>
            </w:r>
          </w:p>
        </w:tc>
        <w:tc>
          <w:tcPr>
            <w:tcW w:w="1206" w:type="dxa"/>
          </w:tcPr>
          <w:p w14:paraId="53038BD3"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382.13</w:t>
            </w:r>
          </w:p>
        </w:tc>
        <w:tc>
          <w:tcPr>
            <w:tcW w:w="4135" w:type="dxa"/>
          </w:tcPr>
          <w:p w14:paraId="4A18032E"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Mean enrollment per trial</w:t>
            </w:r>
          </w:p>
        </w:tc>
      </w:tr>
      <w:tr w:rsidR="00D254B2" w:rsidRPr="0087561A" w14:paraId="6341620E" w14:textId="77777777" w:rsidTr="00086D96">
        <w:trPr>
          <w:trHeight w:val="278"/>
          <w:jc w:val="center"/>
        </w:trPr>
        <w:tc>
          <w:tcPr>
            <w:tcW w:w="1810" w:type="dxa"/>
          </w:tcPr>
          <w:p w14:paraId="04486BC0"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Average Recruitment Days</w:t>
            </w:r>
          </w:p>
        </w:tc>
        <w:tc>
          <w:tcPr>
            <w:tcW w:w="1206" w:type="dxa"/>
          </w:tcPr>
          <w:p w14:paraId="695A60B1"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701.72</w:t>
            </w:r>
          </w:p>
        </w:tc>
        <w:tc>
          <w:tcPr>
            <w:tcW w:w="4135" w:type="dxa"/>
          </w:tcPr>
          <w:p w14:paraId="4B3C4C21"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Mean recruitment duration</w:t>
            </w:r>
          </w:p>
        </w:tc>
      </w:tr>
      <w:tr w:rsidR="00D254B2" w:rsidRPr="0087561A" w14:paraId="3F9F9770" w14:textId="77777777" w:rsidTr="00086D96">
        <w:trPr>
          <w:trHeight w:val="299"/>
          <w:jc w:val="center"/>
        </w:trPr>
        <w:tc>
          <w:tcPr>
            <w:tcW w:w="1810" w:type="dxa"/>
          </w:tcPr>
          <w:p w14:paraId="5E5BABA5"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Average Data Quality Score</w:t>
            </w:r>
          </w:p>
        </w:tc>
        <w:tc>
          <w:tcPr>
            <w:tcW w:w="1206" w:type="dxa"/>
          </w:tcPr>
          <w:p w14:paraId="7DD4BCBE"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89.56</w:t>
            </w:r>
          </w:p>
        </w:tc>
        <w:tc>
          <w:tcPr>
            <w:tcW w:w="4135" w:type="dxa"/>
          </w:tcPr>
          <w:p w14:paraId="6559C320"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Mean data-quality score</w:t>
            </w:r>
          </w:p>
        </w:tc>
      </w:tr>
      <w:tr w:rsidR="00D254B2" w:rsidRPr="0087561A" w14:paraId="012BA9B1" w14:textId="77777777" w:rsidTr="00086D96">
        <w:trPr>
          <w:trHeight w:val="278"/>
          <w:jc w:val="center"/>
        </w:trPr>
        <w:tc>
          <w:tcPr>
            <w:tcW w:w="1810" w:type="dxa"/>
          </w:tcPr>
          <w:p w14:paraId="68818458"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Average Adverse Event Rate</w:t>
            </w:r>
          </w:p>
        </w:tc>
        <w:tc>
          <w:tcPr>
            <w:tcW w:w="1206" w:type="dxa"/>
          </w:tcPr>
          <w:p w14:paraId="4BBF09F2"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8.28%</w:t>
            </w:r>
          </w:p>
        </w:tc>
        <w:tc>
          <w:tcPr>
            <w:tcW w:w="4135" w:type="dxa"/>
          </w:tcPr>
          <w:p w14:paraId="7AED6AEB"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Mean adverse-event percentage</w:t>
            </w:r>
          </w:p>
        </w:tc>
      </w:tr>
      <w:tr w:rsidR="00D254B2" w:rsidRPr="0087561A" w14:paraId="78640FD6" w14:textId="77777777" w:rsidTr="00086D96">
        <w:trPr>
          <w:trHeight w:val="278"/>
          <w:jc w:val="center"/>
        </w:trPr>
        <w:tc>
          <w:tcPr>
            <w:tcW w:w="1810" w:type="dxa"/>
          </w:tcPr>
          <w:p w14:paraId="0319A992"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Average Study Sites / Trial</w:t>
            </w:r>
          </w:p>
        </w:tc>
        <w:tc>
          <w:tcPr>
            <w:tcW w:w="1206" w:type="dxa"/>
          </w:tcPr>
          <w:p w14:paraId="0A8AF759"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13.57</w:t>
            </w:r>
          </w:p>
        </w:tc>
        <w:tc>
          <w:tcPr>
            <w:tcW w:w="4135" w:type="dxa"/>
          </w:tcPr>
          <w:p w14:paraId="103FBDE1"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Mean number of sites</w:t>
            </w:r>
          </w:p>
        </w:tc>
      </w:tr>
    </w:tbl>
    <w:p w14:paraId="31C08732"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Note: The workbook's KPI sheet stores the adverse-event average as 0.082798 because of its underlying numeric representation, while the raw data are expressed as percentage values. The raw-data mean is approximately 8.28%, which is the presentation used in this report.</w:t>
      </w:r>
    </w:p>
    <w:p w14:paraId="420F45C8" w14:textId="77777777" w:rsidR="00D254B2" w:rsidRPr="0087561A" w:rsidRDefault="00000000">
      <w:pPr>
        <w:pStyle w:val="Heading1"/>
        <w:rPr>
          <w:rFonts w:asciiTheme="majorBidi" w:hAnsiTheme="majorBidi"/>
          <w:color w:val="000000" w:themeColor="text1"/>
        </w:rPr>
      </w:pPr>
      <w:r w:rsidRPr="0087561A">
        <w:rPr>
          <w:rFonts w:asciiTheme="majorBidi" w:hAnsiTheme="majorBidi"/>
          <w:color w:val="000000" w:themeColor="text1"/>
        </w:rPr>
        <w:t>5. Descriptive Analysis and Findings</w:t>
      </w:r>
    </w:p>
    <w:p w14:paraId="5EF4E178" w14:textId="77777777" w:rsidR="00D254B2" w:rsidRPr="0087561A" w:rsidRDefault="00000000">
      <w:pPr>
        <w:pStyle w:val="Heading2"/>
        <w:rPr>
          <w:rFonts w:asciiTheme="majorBidi" w:hAnsiTheme="majorBidi"/>
          <w:color w:val="000000" w:themeColor="text1"/>
        </w:rPr>
      </w:pPr>
      <w:r w:rsidRPr="0087561A">
        <w:rPr>
          <w:rFonts w:asciiTheme="majorBidi" w:hAnsiTheme="majorBidi"/>
          <w:color w:val="000000" w:themeColor="text1"/>
        </w:rPr>
        <w:t>5.1 Trial Status</w:t>
      </w:r>
    </w:p>
    <w:p w14:paraId="737AB44C"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Recruiting: 1,545 trials (30.9%).</w:t>
      </w:r>
    </w:p>
    <w:p w14:paraId="4563C38A"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Completed: 1,400 trials (28.0%).</w:t>
      </w:r>
    </w:p>
    <w:p w14:paraId="1F516FC2"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Active, not recruiting: 796 trials (15.9%).</w:t>
      </w:r>
    </w:p>
    <w:p w14:paraId="12392B2A"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Terminated: 410 trials (8.2%).</w:t>
      </w:r>
    </w:p>
    <w:p w14:paraId="36399AE3"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Not yet recruiting: 390 trials (7.8%).</w:t>
      </w:r>
    </w:p>
    <w:p w14:paraId="5AF7CBE2"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Withdrawn: 230 trials (4.6%).</w:t>
      </w:r>
    </w:p>
    <w:p w14:paraId="6F5579A3"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Suspended: 229 trials (4.6%).</w:t>
      </w:r>
    </w:p>
    <w:p w14:paraId="3D284891"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lastRenderedPageBreak/>
        <w:t>Recruiting trials form the largest status group at 1,545 records (30.9%), followed by Completed trials at 1,400 (28.0%). This distribution provides a useful operational view of how many studies are active in recruitment versus completed or otherwise inactive.</w:t>
      </w:r>
    </w:p>
    <w:p w14:paraId="4D74C14F" w14:textId="77777777" w:rsidR="00D254B2" w:rsidRPr="0087561A" w:rsidRDefault="00000000">
      <w:pPr>
        <w:pStyle w:val="Heading2"/>
        <w:rPr>
          <w:rFonts w:asciiTheme="majorBidi" w:hAnsiTheme="majorBidi"/>
          <w:color w:val="000000" w:themeColor="text1"/>
        </w:rPr>
      </w:pPr>
      <w:r w:rsidRPr="0087561A">
        <w:rPr>
          <w:rFonts w:asciiTheme="majorBidi" w:hAnsiTheme="majorBidi"/>
          <w:color w:val="000000" w:themeColor="text1"/>
        </w:rPr>
        <w:t>5.2 Trial Phase</w:t>
      </w:r>
    </w:p>
    <w:p w14:paraId="1328DD5A"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Phase III: 1,809 trials (36.2%).</w:t>
      </w:r>
    </w:p>
    <w:p w14:paraId="21C07D85"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Phase II: 1,555 trials (31.1%).</w:t>
      </w:r>
    </w:p>
    <w:p w14:paraId="709C1727"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Phase I: 884 trials (17.7%).</w:t>
      </w:r>
    </w:p>
    <w:p w14:paraId="2F312A15"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Phase IV: 752 trials (15.0%).</w:t>
      </w:r>
    </w:p>
    <w:p w14:paraId="0C28254C"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Phase III is the largest phase category with 1,809 trials (36.2%), while Phase I contains 884 trials (17.7%). The phase distribution can be used to examine whether the dataset is concentrated toward later-stage clinical development.</w:t>
      </w:r>
    </w:p>
    <w:p w14:paraId="7B2B9AE4" w14:textId="77777777" w:rsidR="00D254B2" w:rsidRPr="0087561A" w:rsidRDefault="00000000">
      <w:pPr>
        <w:pStyle w:val="Heading2"/>
        <w:rPr>
          <w:rFonts w:asciiTheme="majorBidi" w:hAnsiTheme="majorBidi"/>
          <w:color w:val="000000" w:themeColor="text1"/>
        </w:rPr>
      </w:pPr>
      <w:r w:rsidRPr="0087561A">
        <w:rPr>
          <w:rFonts w:asciiTheme="majorBidi" w:hAnsiTheme="majorBidi"/>
          <w:color w:val="000000" w:themeColor="text1"/>
        </w:rPr>
        <w:t>5.3 Therapeutic Areas</w:t>
      </w:r>
    </w:p>
    <w:tbl>
      <w:tblPr>
        <w:tblStyle w:val="TableGrid"/>
        <w:tblW w:w="0" w:type="auto"/>
        <w:jc w:val="center"/>
        <w:tblLook w:val="04A0" w:firstRow="1" w:lastRow="0" w:firstColumn="1" w:lastColumn="0" w:noHBand="0" w:noVBand="1"/>
      </w:tblPr>
      <w:tblGrid>
        <w:gridCol w:w="2510"/>
        <w:gridCol w:w="2510"/>
        <w:gridCol w:w="2510"/>
      </w:tblGrid>
      <w:tr w:rsidR="00D254B2" w:rsidRPr="0087561A" w14:paraId="3E58D62B" w14:textId="77777777" w:rsidTr="00076BB4">
        <w:trPr>
          <w:trHeight w:val="337"/>
          <w:jc w:val="center"/>
        </w:trPr>
        <w:tc>
          <w:tcPr>
            <w:tcW w:w="2510" w:type="dxa"/>
          </w:tcPr>
          <w:p w14:paraId="52E20534"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Therapeutic Area</w:t>
            </w:r>
          </w:p>
        </w:tc>
        <w:tc>
          <w:tcPr>
            <w:tcW w:w="2510" w:type="dxa"/>
          </w:tcPr>
          <w:p w14:paraId="43EE76C7"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Trials</w:t>
            </w:r>
          </w:p>
        </w:tc>
        <w:tc>
          <w:tcPr>
            <w:tcW w:w="2510" w:type="dxa"/>
          </w:tcPr>
          <w:p w14:paraId="2E4F96CC"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Share</w:t>
            </w:r>
          </w:p>
        </w:tc>
      </w:tr>
      <w:tr w:rsidR="00D254B2" w:rsidRPr="0087561A" w14:paraId="7710D98A" w14:textId="77777777" w:rsidTr="00076BB4">
        <w:trPr>
          <w:trHeight w:val="364"/>
          <w:jc w:val="center"/>
        </w:trPr>
        <w:tc>
          <w:tcPr>
            <w:tcW w:w="2510" w:type="dxa"/>
          </w:tcPr>
          <w:p w14:paraId="711D0317"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Cardiology</w:t>
            </w:r>
          </w:p>
        </w:tc>
        <w:tc>
          <w:tcPr>
            <w:tcW w:w="2510" w:type="dxa"/>
          </w:tcPr>
          <w:p w14:paraId="010C7089"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384</w:t>
            </w:r>
          </w:p>
        </w:tc>
        <w:tc>
          <w:tcPr>
            <w:tcW w:w="2510" w:type="dxa"/>
          </w:tcPr>
          <w:p w14:paraId="5545EFE4"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7.7%</w:t>
            </w:r>
          </w:p>
        </w:tc>
      </w:tr>
      <w:tr w:rsidR="00D254B2" w:rsidRPr="0087561A" w14:paraId="0D0B258E" w14:textId="77777777" w:rsidTr="00076BB4">
        <w:trPr>
          <w:trHeight w:val="337"/>
          <w:jc w:val="center"/>
        </w:trPr>
        <w:tc>
          <w:tcPr>
            <w:tcW w:w="2510" w:type="dxa"/>
          </w:tcPr>
          <w:p w14:paraId="5C767506"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Orthopedics</w:t>
            </w:r>
          </w:p>
        </w:tc>
        <w:tc>
          <w:tcPr>
            <w:tcW w:w="2510" w:type="dxa"/>
          </w:tcPr>
          <w:p w14:paraId="4774449D"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360</w:t>
            </w:r>
          </w:p>
        </w:tc>
        <w:tc>
          <w:tcPr>
            <w:tcW w:w="2510" w:type="dxa"/>
          </w:tcPr>
          <w:p w14:paraId="52792848"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7.2%</w:t>
            </w:r>
          </w:p>
        </w:tc>
      </w:tr>
      <w:tr w:rsidR="00D254B2" w:rsidRPr="0087561A" w14:paraId="72815904" w14:textId="77777777" w:rsidTr="00076BB4">
        <w:trPr>
          <w:trHeight w:val="364"/>
          <w:jc w:val="center"/>
        </w:trPr>
        <w:tc>
          <w:tcPr>
            <w:tcW w:w="2510" w:type="dxa"/>
          </w:tcPr>
          <w:p w14:paraId="7FAC726D"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Endocrinology</w:t>
            </w:r>
          </w:p>
        </w:tc>
        <w:tc>
          <w:tcPr>
            <w:tcW w:w="2510" w:type="dxa"/>
          </w:tcPr>
          <w:p w14:paraId="15AEC87F"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352</w:t>
            </w:r>
          </w:p>
        </w:tc>
        <w:tc>
          <w:tcPr>
            <w:tcW w:w="2510" w:type="dxa"/>
          </w:tcPr>
          <w:p w14:paraId="6D4E5E37"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7.0%</w:t>
            </w:r>
          </w:p>
        </w:tc>
      </w:tr>
      <w:tr w:rsidR="00D254B2" w:rsidRPr="0087561A" w14:paraId="49E7B262" w14:textId="77777777" w:rsidTr="00076BB4">
        <w:trPr>
          <w:trHeight w:val="337"/>
          <w:jc w:val="center"/>
        </w:trPr>
        <w:tc>
          <w:tcPr>
            <w:tcW w:w="2510" w:type="dxa"/>
          </w:tcPr>
          <w:p w14:paraId="6740E42A"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Immunology</w:t>
            </w:r>
          </w:p>
        </w:tc>
        <w:tc>
          <w:tcPr>
            <w:tcW w:w="2510" w:type="dxa"/>
          </w:tcPr>
          <w:p w14:paraId="3F7E06E2"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349</w:t>
            </w:r>
          </w:p>
        </w:tc>
        <w:tc>
          <w:tcPr>
            <w:tcW w:w="2510" w:type="dxa"/>
          </w:tcPr>
          <w:p w14:paraId="60DAEDF5"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7.0%</w:t>
            </w:r>
          </w:p>
        </w:tc>
      </w:tr>
      <w:tr w:rsidR="00D254B2" w:rsidRPr="0087561A" w14:paraId="066BC843" w14:textId="77777777" w:rsidTr="00076BB4">
        <w:trPr>
          <w:trHeight w:val="337"/>
          <w:jc w:val="center"/>
        </w:trPr>
        <w:tc>
          <w:tcPr>
            <w:tcW w:w="2510" w:type="dxa"/>
          </w:tcPr>
          <w:p w14:paraId="58B34665"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Psychiatry</w:t>
            </w:r>
          </w:p>
        </w:tc>
        <w:tc>
          <w:tcPr>
            <w:tcW w:w="2510" w:type="dxa"/>
          </w:tcPr>
          <w:p w14:paraId="70A08700"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347</w:t>
            </w:r>
          </w:p>
        </w:tc>
        <w:tc>
          <w:tcPr>
            <w:tcW w:w="2510" w:type="dxa"/>
          </w:tcPr>
          <w:p w14:paraId="596803EF"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6.9%</w:t>
            </w:r>
          </w:p>
        </w:tc>
      </w:tr>
    </w:tbl>
    <w:p w14:paraId="6FEE5D0C"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Cardiology is the largest therapeutic category with 384 trials, followed by Orthopedics (360) and Endocrinology (352). Therapeutic-area analysis is particularly useful for identifying concentration of research activity and comparing operational or safety measures between clinical domains.</w:t>
      </w:r>
    </w:p>
    <w:p w14:paraId="267483BB" w14:textId="77777777" w:rsidR="00D254B2" w:rsidRPr="0087561A" w:rsidRDefault="00000000">
      <w:pPr>
        <w:pStyle w:val="Heading2"/>
        <w:rPr>
          <w:rFonts w:asciiTheme="majorBidi" w:hAnsiTheme="majorBidi"/>
          <w:color w:val="000000" w:themeColor="text1"/>
        </w:rPr>
      </w:pPr>
      <w:r w:rsidRPr="0087561A">
        <w:rPr>
          <w:rFonts w:asciiTheme="majorBidi" w:hAnsiTheme="majorBidi"/>
          <w:color w:val="000000" w:themeColor="text1"/>
        </w:rPr>
        <w:t>5.4 Funding Structure</w:t>
      </w:r>
    </w:p>
    <w:tbl>
      <w:tblPr>
        <w:tblStyle w:val="TableGrid"/>
        <w:tblW w:w="0" w:type="auto"/>
        <w:jc w:val="center"/>
        <w:tblLook w:val="04A0" w:firstRow="1" w:lastRow="0" w:firstColumn="1" w:lastColumn="0" w:noHBand="0" w:noVBand="1"/>
      </w:tblPr>
      <w:tblGrid>
        <w:gridCol w:w="3005"/>
        <w:gridCol w:w="3005"/>
        <w:gridCol w:w="3005"/>
      </w:tblGrid>
      <w:tr w:rsidR="00D254B2" w:rsidRPr="0087561A" w14:paraId="41736FB8" w14:textId="77777777" w:rsidTr="00076BB4">
        <w:trPr>
          <w:trHeight w:val="324"/>
          <w:jc w:val="center"/>
        </w:trPr>
        <w:tc>
          <w:tcPr>
            <w:tcW w:w="3005" w:type="dxa"/>
          </w:tcPr>
          <w:p w14:paraId="5EEE65D6"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Funding Type</w:t>
            </w:r>
          </w:p>
        </w:tc>
        <w:tc>
          <w:tcPr>
            <w:tcW w:w="3005" w:type="dxa"/>
          </w:tcPr>
          <w:p w14:paraId="7AC5B8D3"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Trials</w:t>
            </w:r>
          </w:p>
        </w:tc>
        <w:tc>
          <w:tcPr>
            <w:tcW w:w="3005" w:type="dxa"/>
          </w:tcPr>
          <w:p w14:paraId="0E50810C"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Share</w:t>
            </w:r>
          </w:p>
        </w:tc>
      </w:tr>
      <w:tr w:rsidR="00D254B2" w:rsidRPr="0087561A" w14:paraId="15F13466" w14:textId="77777777" w:rsidTr="00076BB4">
        <w:trPr>
          <w:trHeight w:val="349"/>
          <w:jc w:val="center"/>
        </w:trPr>
        <w:tc>
          <w:tcPr>
            <w:tcW w:w="3005" w:type="dxa"/>
          </w:tcPr>
          <w:p w14:paraId="0491AED4"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Public-Private Partnership</w:t>
            </w:r>
          </w:p>
        </w:tc>
        <w:tc>
          <w:tcPr>
            <w:tcW w:w="3005" w:type="dxa"/>
          </w:tcPr>
          <w:p w14:paraId="63ECAB58"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1,310</w:t>
            </w:r>
          </w:p>
        </w:tc>
        <w:tc>
          <w:tcPr>
            <w:tcW w:w="3005" w:type="dxa"/>
          </w:tcPr>
          <w:p w14:paraId="09762EE1"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26.2%</w:t>
            </w:r>
          </w:p>
        </w:tc>
      </w:tr>
      <w:tr w:rsidR="00D254B2" w:rsidRPr="0087561A" w14:paraId="19C4EC11" w14:textId="77777777" w:rsidTr="00076BB4">
        <w:trPr>
          <w:trHeight w:val="324"/>
          <w:jc w:val="center"/>
        </w:trPr>
        <w:tc>
          <w:tcPr>
            <w:tcW w:w="3005" w:type="dxa"/>
          </w:tcPr>
          <w:p w14:paraId="6173EB8B"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Industry</w:t>
            </w:r>
          </w:p>
        </w:tc>
        <w:tc>
          <w:tcPr>
            <w:tcW w:w="3005" w:type="dxa"/>
          </w:tcPr>
          <w:p w14:paraId="37202011"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1,254</w:t>
            </w:r>
          </w:p>
        </w:tc>
        <w:tc>
          <w:tcPr>
            <w:tcW w:w="3005" w:type="dxa"/>
          </w:tcPr>
          <w:p w14:paraId="667B0D95"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25.1%</w:t>
            </w:r>
          </w:p>
        </w:tc>
      </w:tr>
      <w:tr w:rsidR="00D254B2" w:rsidRPr="0087561A" w14:paraId="40BBDC42" w14:textId="77777777" w:rsidTr="00076BB4">
        <w:trPr>
          <w:trHeight w:val="349"/>
          <w:jc w:val="center"/>
        </w:trPr>
        <w:tc>
          <w:tcPr>
            <w:tcW w:w="3005" w:type="dxa"/>
          </w:tcPr>
          <w:p w14:paraId="32A100F9"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Government</w:t>
            </w:r>
          </w:p>
        </w:tc>
        <w:tc>
          <w:tcPr>
            <w:tcW w:w="3005" w:type="dxa"/>
          </w:tcPr>
          <w:p w14:paraId="65AF1E28"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1,235</w:t>
            </w:r>
          </w:p>
        </w:tc>
        <w:tc>
          <w:tcPr>
            <w:tcW w:w="3005" w:type="dxa"/>
          </w:tcPr>
          <w:p w14:paraId="0A24CC3C"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24.7%</w:t>
            </w:r>
          </w:p>
        </w:tc>
      </w:tr>
      <w:tr w:rsidR="00D254B2" w:rsidRPr="0087561A" w14:paraId="12A667BA" w14:textId="77777777" w:rsidTr="00076BB4">
        <w:trPr>
          <w:trHeight w:val="324"/>
          <w:jc w:val="center"/>
        </w:trPr>
        <w:tc>
          <w:tcPr>
            <w:tcW w:w="3005" w:type="dxa"/>
          </w:tcPr>
          <w:p w14:paraId="01FDAE3E"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Academic</w:t>
            </w:r>
          </w:p>
        </w:tc>
        <w:tc>
          <w:tcPr>
            <w:tcW w:w="3005" w:type="dxa"/>
          </w:tcPr>
          <w:p w14:paraId="7C1220F7"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1,201</w:t>
            </w:r>
          </w:p>
        </w:tc>
        <w:tc>
          <w:tcPr>
            <w:tcW w:w="3005" w:type="dxa"/>
          </w:tcPr>
          <w:p w14:paraId="5E879685"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24.0%</w:t>
            </w:r>
          </w:p>
        </w:tc>
      </w:tr>
    </w:tbl>
    <w:p w14:paraId="14E60445"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The funding distribution is relatively balanced across the four funding categories, with Public-Private Partnership representing the largest category in this dataset. This view helps distinguish the organizational and financial structure behind the trial portfolio.</w:t>
      </w:r>
    </w:p>
    <w:p w14:paraId="573E794C" w14:textId="77777777" w:rsidR="00D254B2" w:rsidRPr="0087561A" w:rsidRDefault="00000000">
      <w:pPr>
        <w:pStyle w:val="Heading2"/>
        <w:rPr>
          <w:rFonts w:asciiTheme="majorBidi" w:hAnsiTheme="majorBidi"/>
          <w:color w:val="000000" w:themeColor="text1"/>
        </w:rPr>
      </w:pPr>
      <w:r w:rsidRPr="0087561A">
        <w:rPr>
          <w:rFonts w:asciiTheme="majorBidi" w:hAnsiTheme="majorBidi"/>
          <w:color w:val="000000" w:themeColor="text1"/>
        </w:rPr>
        <w:t>5.5 Study Type and Intervention</w:t>
      </w:r>
    </w:p>
    <w:tbl>
      <w:tblPr>
        <w:tblStyle w:val="TableGrid"/>
        <w:tblW w:w="0" w:type="auto"/>
        <w:jc w:val="center"/>
        <w:tblLook w:val="04A0" w:firstRow="1" w:lastRow="0" w:firstColumn="1" w:lastColumn="0" w:noHBand="0" w:noVBand="1"/>
      </w:tblPr>
      <w:tblGrid>
        <w:gridCol w:w="2865"/>
        <w:gridCol w:w="2865"/>
        <w:gridCol w:w="2865"/>
      </w:tblGrid>
      <w:tr w:rsidR="00D254B2" w:rsidRPr="0087561A" w14:paraId="4E28A77F" w14:textId="77777777" w:rsidTr="00076BB4">
        <w:trPr>
          <w:trHeight w:val="307"/>
          <w:jc w:val="center"/>
        </w:trPr>
        <w:tc>
          <w:tcPr>
            <w:tcW w:w="2865" w:type="dxa"/>
          </w:tcPr>
          <w:p w14:paraId="12C03539"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Study Type</w:t>
            </w:r>
          </w:p>
        </w:tc>
        <w:tc>
          <w:tcPr>
            <w:tcW w:w="2865" w:type="dxa"/>
          </w:tcPr>
          <w:p w14:paraId="72C692A9"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Trials</w:t>
            </w:r>
          </w:p>
        </w:tc>
        <w:tc>
          <w:tcPr>
            <w:tcW w:w="2865" w:type="dxa"/>
          </w:tcPr>
          <w:p w14:paraId="46F55E1F"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Share</w:t>
            </w:r>
          </w:p>
        </w:tc>
      </w:tr>
      <w:tr w:rsidR="00D254B2" w:rsidRPr="0087561A" w14:paraId="3E4B7ABC" w14:textId="77777777" w:rsidTr="00076BB4">
        <w:trPr>
          <w:trHeight w:val="331"/>
          <w:jc w:val="center"/>
        </w:trPr>
        <w:tc>
          <w:tcPr>
            <w:tcW w:w="2865" w:type="dxa"/>
          </w:tcPr>
          <w:p w14:paraId="08AEA3FC"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Interventional</w:t>
            </w:r>
          </w:p>
        </w:tc>
        <w:tc>
          <w:tcPr>
            <w:tcW w:w="2865" w:type="dxa"/>
          </w:tcPr>
          <w:p w14:paraId="2ED59CCA"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4,112</w:t>
            </w:r>
          </w:p>
        </w:tc>
        <w:tc>
          <w:tcPr>
            <w:tcW w:w="2865" w:type="dxa"/>
          </w:tcPr>
          <w:p w14:paraId="53ECCB98"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82.2%</w:t>
            </w:r>
          </w:p>
        </w:tc>
      </w:tr>
      <w:tr w:rsidR="00D254B2" w:rsidRPr="0087561A" w14:paraId="7892232D" w14:textId="77777777" w:rsidTr="00076BB4">
        <w:trPr>
          <w:trHeight w:val="307"/>
          <w:jc w:val="center"/>
        </w:trPr>
        <w:tc>
          <w:tcPr>
            <w:tcW w:w="2865" w:type="dxa"/>
          </w:tcPr>
          <w:p w14:paraId="70B04314"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Observational</w:t>
            </w:r>
          </w:p>
        </w:tc>
        <w:tc>
          <w:tcPr>
            <w:tcW w:w="2865" w:type="dxa"/>
          </w:tcPr>
          <w:p w14:paraId="350A4CBA"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888</w:t>
            </w:r>
          </w:p>
        </w:tc>
        <w:tc>
          <w:tcPr>
            <w:tcW w:w="2865" w:type="dxa"/>
          </w:tcPr>
          <w:p w14:paraId="672E5C27"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17.8%</w:t>
            </w:r>
          </w:p>
        </w:tc>
      </w:tr>
      <w:tr w:rsidR="00D254B2" w:rsidRPr="0087561A" w14:paraId="029212B0" w14:textId="77777777" w:rsidTr="00076BB4">
        <w:trPr>
          <w:trHeight w:val="331"/>
          <w:jc w:val="center"/>
        </w:trPr>
        <w:tc>
          <w:tcPr>
            <w:tcW w:w="2865" w:type="dxa"/>
          </w:tcPr>
          <w:p w14:paraId="195C5B7A"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Intervention Type</w:t>
            </w:r>
          </w:p>
        </w:tc>
        <w:tc>
          <w:tcPr>
            <w:tcW w:w="2865" w:type="dxa"/>
          </w:tcPr>
          <w:p w14:paraId="072E20FB"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Trials</w:t>
            </w:r>
          </w:p>
        </w:tc>
        <w:tc>
          <w:tcPr>
            <w:tcW w:w="2865" w:type="dxa"/>
          </w:tcPr>
          <w:p w14:paraId="0FB3DF81"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Share</w:t>
            </w:r>
          </w:p>
        </w:tc>
      </w:tr>
      <w:tr w:rsidR="00D254B2" w:rsidRPr="0087561A" w14:paraId="47847C2F" w14:textId="77777777" w:rsidTr="00076BB4">
        <w:trPr>
          <w:trHeight w:val="307"/>
          <w:jc w:val="center"/>
        </w:trPr>
        <w:tc>
          <w:tcPr>
            <w:tcW w:w="2865" w:type="dxa"/>
          </w:tcPr>
          <w:p w14:paraId="38E38D9B"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Combination Therapy</w:t>
            </w:r>
          </w:p>
        </w:tc>
        <w:tc>
          <w:tcPr>
            <w:tcW w:w="2865" w:type="dxa"/>
          </w:tcPr>
          <w:p w14:paraId="0CBC3879"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740</w:t>
            </w:r>
          </w:p>
        </w:tc>
        <w:tc>
          <w:tcPr>
            <w:tcW w:w="2865" w:type="dxa"/>
          </w:tcPr>
          <w:p w14:paraId="2BCF372D"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14.8%</w:t>
            </w:r>
          </w:p>
        </w:tc>
      </w:tr>
      <w:tr w:rsidR="00D254B2" w:rsidRPr="0087561A" w14:paraId="65E6829A" w14:textId="77777777" w:rsidTr="00076BB4">
        <w:trPr>
          <w:trHeight w:val="331"/>
          <w:jc w:val="center"/>
        </w:trPr>
        <w:tc>
          <w:tcPr>
            <w:tcW w:w="2865" w:type="dxa"/>
          </w:tcPr>
          <w:p w14:paraId="409CF1D0"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Vaccine</w:t>
            </w:r>
          </w:p>
        </w:tc>
        <w:tc>
          <w:tcPr>
            <w:tcW w:w="2865" w:type="dxa"/>
          </w:tcPr>
          <w:p w14:paraId="5FF59120"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724</w:t>
            </w:r>
          </w:p>
        </w:tc>
        <w:tc>
          <w:tcPr>
            <w:tcW w:w="2865" w:type="dxa"/>
          </w:tcPr>
          <w:p w14:paraId="6ACD6D49"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14.5%</w:t>
            </w:r>
          </w:p>
        </w:tc>
      </w:tr>
      <w:tr w:rsidR="00D254B2" w:rsidRPr="0087561A" w14:paraId="08E441C2" w14:textId="77777777" w:rsidTr="00076BB4">
        <w:trPr>
          <w:trHeight w:val="307"/>
          <w:jc w:val="center"/>
        </w:trPr>
        <w:tc>
          <w:tcPr>
            <w:tcW w:w="2865" w:type="dxa"/>
          </w:tcPr>
          <w:p w14:paraId="572D3C2A"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Dietary Supplement</w:t>
            </w:r>
          </w:p>
        </w:tc>
        <w:tc>
          <w:tcPr>
            <w:tcW w:w="2865" w:type="dxa"/>
          </w:tcPr>
          <w:p w14:paraId="7D69F883"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721</w:t>
            </w:r>
          </w:p>
        </w:tc>
        <w:tc>
          <w:tcPr>
            <w:tcW w:w="2865" w:type="dxa"/>
          </w:tcPr>
          <w:p w14:paraId="656FB0F3"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14.4%</w:t>
            </w:r>
          </w:p>
        </w:tc>
      </w:tr>
      <w:tr w:rsidR="00D254B2" w:rsidRPr="0087561A" w14:paraId="4CB40A59" w14:textId="77777777" w:rsidTr="00076BB4">
        <w:trPr>
          <w:trHeight w:val="331"/>
          <w:jc w:val="center"/>
        </w:trPr>
        <w:tc>
          <w:tcPr>
            <w:tcW w:w="2865" w:type="dxa"/>
          </w:tcPr>
          <w:p w14:paraId="37BB5D09"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Biologic</w:t>
            </w:r>
          </w:p>
        </w:tc>
        <w:tc>
          <w:tcPr>
            <w:tcW w:w="2865" w:type="dxa"/>
          </w:tcPr>
          <w:p w14:paraId="29ECE688"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716</w:t>
            </w:r>
          </w:p>
        </w:tc>
        <w:tc>
          <w:tcPr>
            <w:tcW w:w="2865" w:type="dxa"/>
          </w:tcPr>
          <w:p w14:paraId="0054B518"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14.3%</w:t>
            </w:r>
          </w:p>
        </w:tc>
      </w:tr>
      <w:tr w:rsidR="00D254B2" w:rsidRPr="0087561A" w14:paraId="58D1A5A7" w14:textId="77777777" w:rsidTr="00076BB4">
        <w:trPr>
          <w:trHeight w:val="307"/>
          <w:jc w:val="center"/>
        </w:trPr>
        <w:tc>
          <w:tcPr>
            <w:tcW w:w="2865" w:type="dxa"/>
          </w:tcPr>
          <w:p w14:paraId="31FDCDC1"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Device</w:t>
            </w:r>
          </w:p>
        </w:tc>
        <w:tc>
          <w:tcPr>
            <w:tcW w:w="2865" w:type="dxa"/>
          </w:tcPr>
          <w:p w14:paraId="70CB29AC"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712</w:t>
            </w:r>
          </w:p>
        </w:tc>
        <w:tc>
          <w:tcPr>
            <w:tcW w:w="2865" w:type="dxa"/>
          </w:tcPr>
          <w:p w14:paraId="3D0A8D0B"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14.2%</w:t>
            </w:r>
          </w:p>
        </w:tc>
      </w:tr>
      <w:tr w:rsidR="00D254B2" w:rsidRPr="0087561A" w14:paraId="79D5D0D0" w14:textId="77777777" w:rsidTr="00076BB4">
        <w:trPr>
          <w:trHeight w:val="331"/>
          <w:jc w:val="center"/>
        </w:trPr>
        <w:tc>
          <w:tcPr>
            <w:tcW w:w="2865" w:type="dxa"/>
          </w:tcPr>
          <w:p w14:paraId="7DCCDC85"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Behavioral</w:t>
            </w:r>
          </w:p>
        </w:tc>
        <w:tc>
          <w:tcPr>
            <w:tcW w:w="2865" w:type="dxa"/>
          </w:tcPr>
          <w:p w14:paraId="3734C6E3"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704</w:t>
            </w:r>
          </w:p>
        </w:tc>
        <w:tc>
          <w:tcPr>
            <w:tcW w:w="2865" w:type="dxa"/>
          </w:tcPr>
          <w:p w14:paraId="7EBED3F1"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14.1%</w:t>
            </w:r>
          </w:p>
        </w:tc>
      </w:tr>
      <w:tr w:rsidR="00D254B2" w:rsidRPr="0087561A" w14:paraId="44117390" w14:textId="77777777" w:rsidTr="00076BB4">
        <w:trPr>
          <w:trHeight w:val="307"/>
          <w:jc w:val="center"/>
        </w:trPr>
        <w:tc>
          <w:tcPr>
            <w:tcW w:w="2865" w:type="dxa"/>
          </w:tcPr>
          <w:p w14:paraId="1AB8BCF7"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lastRenderedPageBreak/>
              <w:t>Drug</w:t>
            </w:r>
          </w:p>
        </w:tc>
        <w:tc>
          <w:tcPr>
            <w:tcW w:w="2865" w:type="dxa"/>
          </w:tcPr>
          <w:p w14:paraId="3C361DE2"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683</w:t>
            </w:r>
          </w:p>
        </w:tc>
        <w:tc>
          <w:tcPr>
            <w:tcW w:w="2865" w:type="dxa"/>
          </w:tcPr>
          <w:p w14:paraId="03252BE4"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13.7%</w:t>
            </w:r>
          </w:p>
        </w:tc>
      </w:tr>
    </w:tbl>
    <w:p w14:paraId="6C8B3BD2"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Interventional studies account for 82.2% of records, compared with 17.8% observational studies. Combination Therapy, Vaccine, and Dietary Supplement are among the most frequent intervention categories.</w:t>
      </w:r>
    </w:p>
    <w:p w14:paraId="3482D655" w14:textId="77777777" w:rsidR="00D254B2" w:rsidRPr="0087561A" w:rsidRDefault="00000000">
      <w:pPr>
        <w:pStyle w:val="Heading2"/>
        <w:rPr>
          <w:rFonts w:asciiTheme="majorBidi" w:hAnsiTheme="majorBidi"/>
          <w:color w:val="000000" w:themeColor="text1"/>
        </w:rPr>
      </w:pPr>
      <w:r w:rsidRPr="0087561A">
        <w:rPr>
          <w:rFonts w:asciiTheme="majorBidi" w:hAnsiTheme="majorBidi"/>
          <w:color w:val="000000" w:themeColor="text1"/>
        </w:rPr>
        <w:t>5.6 Geographic and Sponsor Distribution</w:t>
      </w:r>
    </w:p>
    <w:tbl>
      <w:tblPr>
        <w:tblStyle w:val="TableGrid"/>
        <w:tblW w:w="0" w:type="auto"/>
        <w:jc w:val="center"/>
        <w:tblLook w:val="04A0" w:firstRow="1" w:lastRow="0" w:firstColumn="1" w:lastColumn="0" w:noHBand="0" w:noVBand="1"/>
      </w:tblPr>
      <w:tblGrid>
        <w:gridCol w:w="2109"/>
        <w:gridCol w:w="2394"/>
        <w:gridCol w:w="1275"/>
        <w:gridCol w:w="2471"/>
        <w:gridCol w:w="2047"/>
      </w:tblGrid>
      <w:tr w:rsidR="009A24A9" w:rsidRPr="0087561A" w14:paraId="3FB94669" w14:textId="7E9FC699" w:rsidTr="009A24A9">
        <w:trPr>
          <w:trHeight w:val="332"/>
          <w:jc w:val="center"/>
        </w:trPr>
        <w:tc>
          <w:tcPr>
            <w:tcW w:w="2109" w:type="dxa"/>
          </w:tcPr>
          <w:p w14:paraId="1A655C37"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b/>
                <w:color w:val="000000" w:themeColor="text1"/>
                <w:sz w:val="18"/>
              </w:rPr>
              <w:t>Top Countries</w:t>
            </w:r>
          </w:p>
        </w:tc>
        <w:tc>
          <w:tcPr>
            <w:tcW w:w="2394" w:type="dxa"/>
          </w:tcPr>
          <w:p w14:paraId="3D8F5B95"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b/>
                <w:color w:val="000000" w:themeColor="text1"/>
                <w:sz w:val="18"/>
              </w:rPr>
              <w:t>Trials</w:t>
            </w:r>
          </w:p>
        </w:tc>
        <w:tc>
          <w:tcPr>
            <w:tcW w:w="1275" w:type="dxa"/>
            <w:tcBorders>
              <w:bottom w:val="nil"/>
            </w:tcBorders>
          </w:tcPr>
          <w:p w14:paraId="54E8ACA9" w14:textId="77777777" w:rsidR="009A24A9" w:rsidRPr="0087561A" w:rsidRDefault="009A24A9" w:rsidP="00A5100E">
            <w:pPr>
              <w:rPr>
                <w:rFonts w:asciiTheme="majorBidi" w:hAnsiTheme="majorBidi" w:cstheme="majorBidi"/>
                <w:b/>
                <w:color w:val="000000" w:themeColor="text1"/>
                <w:sz w:val="18"/>
              </w:rPr>
            </w:pPr>
          </w:p>
        </w:tc>
        <w:tc>
          <w:tcPr>
            <w:tcW w:w="2471" w:type="dxa"/>
          </w:tcPr>
          <w:p w14:paraId="74D28475" w14:textId="0A17FA44" w:rsidR="009A24A9" w:rsidRPr="0087561A" w:rsidRDefault="009A24A9" w:rsidP="00A5100E">
            <w:pPr>
              <w:rPr>
                <w:rFonts w:asciiTheme="majorBidi" w:hAnsiTheme="majorBidi" w:cstheme="majorBidi"/>
                <w:b/>
                <w:color w:val="000000" w:themeColor="text1"/>
                <w:sz w:val="18"/>
              </w:rPr>
            </w:pPr>
            <w:r w:rsidRPr="0087561A">
              <w:rPr>
                <w:rFonts w:asciiTheme="majorBidi" w:hAnsiTheme="majorBidi" w:cstheme="majorBidi"/>
                <w:b/>
                <w:color w:val="000000" w:themeColor="text1"/>
                <w:sz w:val="18"/>
              </w:rPr>
              <w:t>Top Sponsors</w:t>
            </w:r>
          </w:p>
        </w:tc>
        <w:tc>
          <w:tcPr>
            <w:tcW w:w="2047" w:type="dxa"/>
          </w:tcPr>
          <w:p w14:paraId="5292DF88" w14:textId="09211119"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b/>
                <w:color w:val="000000" w:themeColor="text1"/>
                <w:sz w:val="18"/>
              </w:rPr>
              <w:t>Trials</w:t>
            </w:r>
          </w:p>
        </w:tc>
      </w:tr>
      <w:tr w:rsidR="009A24A9" w:rsidRPr="0087561A" w14:paraId="4C64A5FE" w14:textId="5499A28E" w:rsidTr="009A24A9">
        <w:trPr>
          <w:trHeight w:val="332"/>
          <w:jc w:val="center"/>
        </w:trPr>
        <w:tc>
          <w:tcPr>
            <w:tcW w:w="2109" w:type="dxa"/>
          </w:tcPr>
          <w:p w14:paraId="41CEF779"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UK</w:t>
            </w:r>
          </w:p>
        </w:tc>
        <w:tc>
          <w:tcPr>
            <w:tcW w:w="2394" w:type="dxa"/>
          </w:tcPr>
          <w:p w14:paraId="3BF8A1D1"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300</w:t>
            </w:r>
          </w:p>
        </w:tc>
        <w:tc>
          <w:tcPr>
            <w:tcW w:w="1275" w:type="dxa"/>
            <w:tcBorders>
              <w:top w:val="nil"/>
              <w:bottom w:val="nil"/>
            </w:tcBorders>
          </w:tcPr>
          <w:p w14:paraId="76987434" w14:textId="77777777" w:rsidR="009A24A9" w:rsidRPr="0087561A" w:rsidRDefault="009A24A9" w:rsidP="00A5100E">
            <w:pPr>
              <w:rPr>
                <w:rFonts w:asciiTheme="majorBidi" w:hAnsiTheme="majorBidi" w:cstheme="majorBidi"/>
                <w:color w:val="000000" w:themeColor="text1"/>
                <w:sz w:val="18"/>
              </w:rPr>
            </w:pPr>
          </w:p>
        </w:tc>
        <w:tc>
          <w:tcPr>
            <w:tcW w:w="2471" w:type="dxa"/>
          </w:tcPr>
          <w:p w14:paraId="30E99214" w14:textId="7A1AF0E5" w:rsidR="009A24A9" w:rsidRPr="0087561A" w:rsidRDefault="009A24A9" w:rsidP="00A5100E">
            <w:pPr>
              <w:rPr>
                <w:rFonts w:asciiTheme="majorBidi" w:hAnsiTheme="majorBidi" w:cstheme="majorBidi"/>
                <w:color w:val="000000" w:themeColor="text1"/>
                <w:sz w:val="18"/>
              </w:rPr>
            </w:pPr>
            <w:r w:rsidRPr="0087561A">
              <w:rPr>
                <w:rFonts w:asciiTheme="majorBidi" w:hAnsiTheme="majorBidi" w:cstheme="majorBidi"/>
                <w:color w:val="000000" w:themeColor="text1"/>
                <w:sz w:val="18"/>
              </w:rPr>
              <w:t>Amgen</w:t>
            </w:r>
          </w:p>
        </w:tc>
        <w:tc>
          <w:tcPr>
            <w:tcW w:w="2047" w:type="dxa"/>
          </w:tcPr>
          <w:p w14:paraId="24FDFD73" w14:textId="3C9E9981"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276</w:t>
            </w:r>
          </w:p>
        </w:tc>
      </w:tr>
      <w:tr w:rsidR="009A24A9" w:rsidRPr="0087561A" w14:paraId="47820FED" w14:textId="2B73C235" w:rsidTr="009A24A9">
        <w:trPr>
          <w:trHeight w:val="357"/>
          <w:jc w:val="center"/>
        </w:trPr>
        <w:tc>
          <w:tcPr>
            <w:tcW w:w="2109" w:type="dxa"/>
          </w:tcPr>
          <w:p w14:paraId="4C40DDA9"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Sweden</w:t>
            </w:r>
          </w:p>
        </w:tc>
        <w:tc>
          <w:tcPr>
            <w:tcW w:w="2394" w:type="dxa"/>
          </w:tcPr>
          <w:p w14:paraId="6F8474CF"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288</w:t>
            </w:r>
          </w:p>
        </w:tc>
        <w:tc>
          <w:tcPr>
            <w:tcW w:w="1275" w:type="dxa"/>
            <w:tcBorders>
              <w:top w:val="nil"/>
              <w:bottom w:val="nil"/>
            </w:tcBorders>
          </w:tcPr>
          <w:p w14:paraId="09043E4F" w14:textId="77777777" w:rsidR="009A24A9" w:rsidRPr="0087561A" w:rsidRDefault="009A24A9" w:rsidP="00A5100E">
            <w:pPr>
              <w:rPr>
                <w:rFonts w:asciiTheme="majorBidi" w:hAnsiTheme="majorBidi" w:cstheme="majorBidi"/>
                <w:color w:val="000000" w:themeColor="text1"/>
                <w:sz w:val="18"/>
              </w:rPr>
            </w:pPr>
          </w:p>
        </w:tc>
        <w:tc>
          <w:tcPr>
            <w:tcW w:w="2471" w:type="dxa"/>
          </w:tcPr>
          <w:p w14:paraId="7BF8D9C3" w14:textId="584FD0A5" w:rsidR="009A24A9" w:rsidRPr="0087561A" w:rsidRDefault="009A24A9" w:rsidP="00A5100E">
            <w:pPr>
              <w:rPr>
                <w:rFonts w:asciiTheme="majorBidi" w:hAnsiTheme="majorBidi" w:cstheme="majorBidi"/>
                <w:color w:val="000000" w:themeColor="text1"/>
                <w:sz w:val="18"/>
              </w:rPr>
            </w:pPr>
            <w:r w:rsidRPr="0087561A">
              <w:rPr>
                <w:rFonts w:asciiTheme="majorBidi" w:hAnsiTheme="majorBidi" w:cstheme="majorBidi"/>
                <w:color w:val="000000" w:themeColor="text1"/>
                <w:sz w:val="18"/>
              </w:rPr>
              <w:t>Moderna</w:t>
            </w:r>
          </w:p>
        </w:tc>
        <w:tc>
          <w:tcPr>
            <w:tcW w:w="2047" w:type="dxa"/>
          </w:tcPr>
          <w:p w14:paraId="12EE24A7" w14:textId="1BBA6A10"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269</w:t>
            </w:r>
          </w:p>
        </w:tc>
      </w:tr>
      <w:tr w:rsidR="009A24A9" w:rsidRPr="0087561A" w14:paraId="6CE1678F" w14:textId="5983AD45" w:rsidTr="009A24A9">
        <w:trPr>
          <w:trHeight w:val="332"/>
          <w:jc w:val="center"/>
        </w:trPr>
        <w:tc>
          <w:tcPr>
            <w:tcW w:w="2109" w:type="dxa"/>
          </w:tcPr>
          <w:p w14:paraId="63A9D222"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Denmark</w:t>
            </w:r>
          </w:p>
        </w:tc>
        <w:tc>
          <w:tcPr>
            <w:tcW w:w="2394" w:type="dxa"/>
          </w:tcPr>
          <w:p w14:paraId="04EF56CB"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271</w:t>
            </w:r>
          </w:p>
        </w:tc>
        <w:tc>
          <w:tcPr>
            <w:tcW w:w="1275" w:type="dxa"/>
            <w:tcBorders>
              <w:top w:val="nil"/>
              <w:bottom w:val="nil"/>
            </w:tcBorders>
          </w:tcPr>
          <w:p w14:paraId="6E84E49B" w14:textId="77777777" w:rsidR="009A24A9" w:rsidRPr="0087561A" w:rsidRDefault="009A24A9" w:rsidP="00A5100E">
            <w:pPr>
              <w:rPr>
                <w:rFonts w:asciiTheme="majorBidi" w:hAnsiTheme="majorBidi" w:cstheme="majorBidi"/>
                <w:color w:val="000000" w:themeColor="text1"/>
                <w:sz w:val="18"/>
              </w:rPr>
            </w:pPr>
          </w:p>
        </w:tc>
        <w:tc>
          <w:tcPr>
            <w:tcW w:w="2471" w:type="dxa"/>
          </w:tcPr>
          <w:p w14:paraId="0C99C134" w14:textId="2C95164A" w:rsidR="009A24A9" w:rsidRPr="0087561A" w:rsidRDefault="009A24A9" w:rsidP="00A5100E">
            <w:pPr>
              <w:rPr>
                <w:rFonts w:asciiTheme="majorBidi" w:hAnsiTheme="majorBidi" w:cstheme="majorBidi"/>
                <w:color w:val="000000" w:themeColor="text1"/>
                <w:sz w:val="18"/>
              </w:rPr>
            </w:pPr>
            <w:r w:rsidRPr="0087561A">
              <w:rPr>
                <w:rFonts w:asciiTheme="majorBidi" w:hAnsiTheme="majorBidi" w:cstheme="majorBidi"/>
                <w:color w:val="000000" w:themeColor="text1"/>
                <w:sz w:val="18"/>
              </w:rPr>
              <w:t>Sun Pharma</w:t>
            </w:r>
          </w:p>
        </w:tc>
        <w:tc>
          <w:tcPr>
            <w:tcW w:w="2047" w:type="dxa"/>
          </w:tcPr>
          <w:p w14:paraId="2B9B1885" w14:textId="749A44B5"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265</w:t>
            </w:r>
          </w:p>
        </w:tc>
      </w:tr>
      <w:tr w:rsidR="009A24A9" w:rsidRPr="0087561A" w14:paraId="5086D1B2" w14:textId="5D4AC4AB" w:rsidTr="009A24A9">
        <w:trPr>
          <w:trHeight w:val="357"/>
          <w:jc w:val="center"/>
        </w:trPr>
        <w:tc>
          <w:tcPr>
            <w:tcW w:w="2109" w:type="dxa"/>
          </w:tcPr>
          <w:p w14:paraId="1E4ED389"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France</w:t>
            </w:r>
          </w:p>
        </w:tc>
        <w:tc>
          <w:tcPr>
            <w:tcW w:w="2394" w:type="dxa"/>
          </w:tcPr>
          <w:p w14:paraId="5115E88A"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268</w:t>
            </w:r>
          </w:p>
        </w:tc>
        <w:tc>
          <w:tcPr>
            <w:tcW w:w="1275" w:type="dxa"/>
            <w:tcBorders>
              <w:top w:val="nil"/>
              <w:bottom w:val="nil"/>
            </w:tcBorders>
          </w:tcPr>
          <w:p w14:paraId="51FF59AE" w14:textId="77777777" w:rsidR="009A24A9" w:rsidRPr="0087561A" w:rsidRDefault="009A24A9" w:rsidP="00A5100E">
            <w:pPr>
              <w:rPr>
                <w:rFonts w:asciiTheme="majorBidi" w:hAnsiTheme="majorBidi" w:cstheme="majorBidi"/>
                <w:color w:val="000000" w:themeColor="text1"/>
                <w:sz w:val="18"/>
              </w:rPr>
            </w:pPr>
          </w:p>
        </w:tc>
        <w:tc>
          <w:tcPr>
            <w:tcW w:w="2471" w:type="dxa"/>
          </w:tcPr>
          <w:p w14:paraId="43C1255B" w14:textId="0A8601CA" w:rsidR="009A24A9" w:rsidRPr="0087561A" w:rsidRDefault="009A24A9" w:rsidP="00A5100E">
            <w:pPr>
              <w:rPr>
                <w:rFonts w:asciiTheme="majorBidi" w:hAnsiTheme="majorBidi" w:cstheme="majorBidi"/>
                <w:color w:val="000000" w:themeColor="text1"/>
                <w:sz w:val="18"/>
              </w:rPr>
            </w:pPr>
            <w:r w:rsidRPr="0087561A">
              <w:rPr>
                <w:rFonts w:asciiTheme="majorBidi" w:hAnsiTheme="majorBidi" w:cstheme="majorBidi"/>
                <w:color w:val="000000" w:themeColor="text1"/>
                <w:sz w:val="18"/>
              </w:rPr>
              <w:t>Biocon</w:t>
            </w:r>
          </w:p>
        </w:tc>
        <w:tc>
          <w:tcPr>
            <w:tcW w:w="2047" w:type="dxa"/>
          </w:tcPr>
          <w:p w14:paraId="1867CA23" w14:textId="1AA047EA"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264</w:t>
            </w:r>
          </w:p>
        </w:tc>
      </w:tr>
      <w:tr w:rsidR="009A24A9" w:rsidRPr="0087561A" w14:paraId="1D600821" w14:textId="11F39DA6" w:rsidTr="009A24A9">
        <w:trPr>
          <w:trHeight w:val="332"/>
          <w:jc w:val="center"/>
        </w:trPr>
        <w:tc>
          <w:tcPr>
            <w:tcW w:w="2109" w:type="dxa"/>
          </w:tcPr>
          <w:p w14:paraId="5F277227"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India</w:t>
            </w:r>
          </w:p>
        </w:tc>
        <w:tc>
          <w:tcPr>
            <w:tcW w:w="2394" w:type="dxa"/>
          </w:tcPr>
          <w:p w14:paraId="07532FDE"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267</w:t>
            </w:r>
          </w:p>
        </w:tc>
        <w:tc>
          <w:tcPr>
            <w:tcW w:w="1275" w:type="dxa"/>
            <w:tcBorders>
              <w:top w:val="nil"/>
              <w:bottom w:val="nil"/>
            </w:tcBorders>
          </w:tcPr>
          <w:p w14:paraId="68DFD320" w14:textId="77777777" w:rsidR="009A24A9" w:rsidRPr="0087561A" w:rsidRDefault="009A24A9" w:rsidP="00A5100E">
            <w:pPr>
              <w:rPr>
                <w:rFonts w:asciiTheme="majorBidi" w:hAnsiTheme="majorBidi" w:cstheme="majorBidi"/>
                <w:color w:val="000000" w:themeColor="text1"/>
                <w:sz w:val="18"/>
              </w:rPr>
            </w:pPr>
          </w:p>
        </w:tc>
        <w:tc>
          <w:tcPr>
            <w:tcW w:w="2471" w:type="dxa"/>
          </w:tcPr>
          <w:p w14:paraId="47D5CEA9" w14:textId="27C5C33D" w:rsidR="009A24A9" w:rsidRPr="0087561A" w:rsidRDefault="009A24A9" w:rsidP="00A5100E">
            <w:pPr>
              <w:rPr>
                <w:rFonts w:asciiTheme="majorBidi" w:hAnsiTheme="majorBidi" w:cstheme="majorBidi"/>
                <w:color w:val="000000" w:themeColor="text1"/>
                <w:sz w:val="18"/>
              </w:rPr>
            </w:pPr>
            <w:r w:rsidRPr="0087561A">
              <w:rPr>
                <w:rFonts w:asciiTheme="majorBidi" w:hAnsiTheme="majorBidi" w:cstheme="majorBidi"/>
                <w:color w:val="000000" w:themeColor="text1"/>
                <w:sz w:val="18"/>
              </w:rPr>
              <w:t>Pfizer</w:t>
            </w:r>
          </w:p>
        </w:tc>
        <w:tc>
          <w:tcPr>
            <w:tcW w:w="2047" w:type="dxa"/>
          </w:tcPr>
          <w:p w14:paraId="49F3A147" w14:textId="7A931F5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260</w:t>
            </w:r>
          </w:p>
        </w:tc>
      </w:tr>
      <w:tr w:rsidR="009A24A9" w:rsidRPr="0087561A" w14:paraId="1931EB1E" w14:textId="792657AB" w:rsidTr="009A24A9">
        <w:trPr>
          <w:trHeight w:val="357"/>
          <w:jc w:val="center"/>
        </w:trPr>
        <w:tc>
          <w:tcPr>
            <w:tcW w:w="2109" w:type="dxa"/>
          </w:tcPr>
          <w:p w14:paraId="0824A179"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USA</w:t>
            </w:r>
          </w:p>
        </w:tc>
        <w:tc>
          <w:tcPr>
            <w:tcW w:w="2394" w:type="dxa"/>
          </w:tcPr>
          <w:p w14:paraId="00535D60"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266</w:t>
            </w:r>
          </w:p>
        </w:tc>
        <w:tc>
          <w:tcPr>
            <w:tcW w:w="1275" w:type="dxa"/>
            <w:tcBorders>
              <w:top w:val="nil"/>
              <w:bottom w:val="nil"/>
            </w:tcBorders>
          </w:tcPr>
          <w:p w14:paraId="480F2B79" w14:textId="77777777" w:rsidR="009A24A9" w:rsidRPr="0087561A" w:rsidRDefault="009A24A9" w:rsidP="00A5100E">
            <w:pPr>
              <w:rPr>
                <w:rFonts w:asciiTheme="majorBidi" w:hAnsiTheme="majorBidi" w:cstheme="majorBidi"/>
                <w:color w:val="000000" w:themeColor="text1"/>
                <w:sz w:val="18"/>
              </w:rPr>
            </w:pPr>
          </w:p>
        </w:tc>
        <w:tc>
          <w:tcPr>
            <w:tcW w:w="2471" w:type="dxa"/>
          </w:tcPr>
          <w:p w14:paraId="74A14FEF" w14:textId="7D808F87" w:rsidR="009A24A9" w:rsidRPr="0087561A" w:rsidRDefault="009A24A9" w:rsidP="00A5100E">
            <w:pPr>
              <w:rPr>
                <w:rFonts w:asciiTheme="majorBidi" w:hAnsiTheme="majorBidi" w:cstheme="majorBidi"/>
                <w:color w:val="000000" w:themeColor="text1"/>
                <w:sz w:val="18"/>
              </w:rPr>
            </w:pPr>
            <w:r w:rsidRPr="0087561A">
              <w:rPr>
                <w:rFonts w:asciiTheme="majorBidi" w:hAnsiTheme="majorBidi" w:cstheme="majorBidi"/>
                <w:color w:val="000000" w:themeColor="text1"/>
                <w:sz w:val="18"/>
              </w:rPr>
              <w:t>Merck</w:t>
            </w:r>
          </w:p>
        </w:tc>
        <w:tc>
          <w:tcPr>
            <w:tcW w:w="2047" w:type="dxa"/>
          </w:tcPr>
          <w:p w14:paraId="4EFE401E" w14:textId="00C7C0EB"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254</w:t>
            </w:r>
          </w:p>
        </w:tc>
      </w:tr>
      <w:tr w:rsidR="009A24A9" w:rsidRPr="0087561A" w14:paraId="21C7476A" w14:textId="0A40B318" w:rsidTr="009A24A9">
        <w:trPr>
          <w:trHeight w:val="332"/>
          <w:jc w:val="center"/>
        </w:trPr>
        <w:tc>
          <w:tcPr>
            <w:tcW w:w="2109" w:type="dxa"/>
          </w:tcPr>
          <w:p w14:paraId="2B159D11"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Japan</w:t>
            </w:r>
          </w:p>
        </w:tc>
        <w:tc>
          <w:tcPr>
            <w:tcW w:w="2394" w:type="dxa"/>
          </w:tcPr>
          <w:p w14:paraId="77375BBD"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256</w:t>
            </w:r>
          </w:p>
        </w:tc>
        <w:tc>
          <w:tcPr>
            <w:tcW w:w="1275" w:type="dxa"/>
            <w:tcBorders>
              <w:top w:val="nil"/>
              <w:bottom w:val="nil"/>
            </w:tcBorders>
          </w:tcPr>
          <w:p w14:paraId="710DE8E2" w14:textId="77777777" w:rsidR="009A24A9" w:rsidRPr="0087561A" w:rsidRDefault="009A24A9" w:rsidP="00A5100E">
            <w:pPr>
              <w:rPr>
                <w:rFonts w:asciiTheme="majorBidi" w:hAnsiTheme="majorBidi" w:cstheme="majorBidi"/>
                <w:color w:val="000000" w:themeColor="text1"/>
                <w:sz w:val="18"/>
              </w:rPr>
            </w:pPr>
          </w:p>
        </w:tc>
        <w:tc>
          <w:tcPr>
            <w:tcW w:w="2471" w:type="dxa"/>
          </w:tcPr>
          <w:p w14:paraId="660FE75C" w14:textId="0F0C971D" w:rsidR="009A24A9" w:rsidRPr="0087561A" w:rsidRDefault="009A24A9" w:rsidP="00A5100E">
            <w:pPr>
              <w:rPr>
                <w:rFonts w:asciiTheme="majorBidi" w:hAnsiTheme="majorBidi" w:cstheme="majorBidi"/>
                <w:color w:val="000000" w:themeColor="text1"/>
                <w:sz w:val="18"/>
              </w:rPr>
            </w:pPr>
            <w:r w:rsidRPr="0087561A">
              <w:rPr>
                <w:rFonts w:asciiTheme="majorBidi" w:hAnsiTheme="majorBidi" w:cstheme="majorBidi"/>
                <w:color w:val="000000" w:themeColor="text1"/>
                <w:sz w:val="18"/>
              </w:rPr>
              <w:t>Novo Nordisk</w:t>
            </w:r>
          </w:p>
        </w:tc>
        <w:tc>
          <w:tcPr>
            <w:tcW w:w="2047" w:type="dxa"/>
          </w:tcPr>
          <w:p w14:paraId="6F234A47" w14:textId="7848CC6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254</w:t>
            </w:r>
          </w:p>
        </w:tc>
      </w:tr>
      <w:tr w:rsidR="009A24A9" w:rsidRPr="0087561A" w14:paraId="19000946" w14:textId="1BD67179" w:rsidTr="009A24A9">
        <w:trPr>
          <w:trHeight w:val="357"/>
          <w:jc w:val="center"/>
        </w:trPr>
        <w:tc>
          <w:tcPr>
            <w:tcW w:w="2109" w:type="dxa"/>
          </w:tcPr>
          <w:p w14:paraId="750B7AC2"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China</w:t>
            </w:r>
          </w:p>
        </w:tc>
        <w:tc>
          <w:tcPr>
            <w:tcW w:w="2394" w:type="dxa"/>
          </w:tcPr>
          <w:p w14:paraId="547148BB"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255</w:t>
            </w:r>
          </w:p>
        </w:tc>
        <w:tc>
          <w:tcPr>
            <w:tcW w:w="1275" w:type="dxa"/>
            <w:tcBorders>
              <w:top w:val="nil"/>
              <w:bottom w:val="nil"/>
            </w:tcBorders>
          </w:tcPr>
          <w:p w14:paraId="427B8F43" w14:textId="77777777" w:rsidR="009A24A9" w:rsidRPr="0087561A" w:rsidRDefault="009A24A9" w:rsidP="00A5100E">
            <w:pPr>
              <w:rPr>
                <w:rFonts w:asciiTheme="majorBidi" w:hAnsiTheme="majorBidi" w:cstheme="majorBidi"/>
                <w:color w:val="000000" w:themeColor="text1"/>
                <w:sz w:val="18"/>
              </w:rPr>
            </w:pPr>
          </w:p>
        </w:tc>
        <w:tc>
          <w:tcPr>
            <w:tcW w:w="2471" w:type="dxa"/>
          </w:tcPr>
          <w:p w14:paraId="4D7867E3" w14:textId="45DCCB99" w:rsidR="009A24A9" w:rsidRPr="0087561A" w:rsidRDefault="009A24A9" w:rsidP="00A5100E">
            <w:pPr>
              <w:rPr>
                <w:rFonts w:asciiTheme="majorBidi" w:hAnsiTheme="majorBidi" w:cstheme="majorBidi"/>
                <w:color w:val="000000" w:themeColor="text1"/>
                <w:sz w:val="18"/>
              </w:rPr>
            </w:pPr>
            <w:r w:rsidRPr="0087561A">
              <w:rPr>
                <w:rFonts w:asciiTheme="majorBidi" w:hAnsiTheme="majorBidi" w:cstheme="majorBidi"/>
                <w:color w:val="000000" w:themeColor="text1"/>
                <w:sz w:val="18"/>
              </w:rPr>
              <w:t>Eli Lilly</w:t>
            </w:r>
          </w:p>
        </w:tc>
        <w:tc>
          <w:tcPr>
            <w:tcW w:w="2047" w:type="dxa"/>
          </w:tcPr>
          <w:p w14:paraId="0CCBF1B9" w14:textId="6402AAB8"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253</w:t>
            </w:r>
          </w:p>
        </w:tc>
      </w:tr>
      <w:tr w:rsidR="009A24A9" w:rsidRPr="0087561A" w14:paraId="4B685686" w14:textId="555C4922" w:rsidTr="009A24A9">
        <w:trPr>
          <w:trHeight w:val="332"/>
          <w:jc w:val="center"/>
        </w:trPr>
        <w:tc>
          <w:tcPr>
            <w:tcW w:w="2109" w:type="dxa"/>
          </w:tcPr>
          <w:p w14:paraId="31708604"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Switzerland</w:t>
            </w:r>
          </w:p>
        </w:tc>
        <w:tc>
          <w:tcPr>
            <w:tcW w:w="2394" w:type="dxa"/>
          </w:tcPr>
          <w:p w14:paraId="44D21B26"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250</w:t>
            </w:r>
          </w:p>
        </w:tc>
        <w:tc>
          <w:tcPr>
            <w:tcW w:w="1275" w:type="dxa"/>
            <w:tcBorders>
              <w:top w:val="nil"/>
              <w:bottom w:val="nil"/>
            </w:tcBorders>
          </w:tcPr>
          <w:p w14:paraId="4BE5C690" w14:textId="77777777" w:rsidR="009A24A9" w:rsidRPr="0087561A" w:rsidRDefault="009A24A9" w:rsidP="00A5100E">
            <w:pPr>
              <w:rPr>
                <w:rFonts w:asciiTheme="majorBidi" w:hAnsiTheme="majorBidi" w:cstheme="majorBidi"/>
                <w:color w:val="000000" w:themeColor="text1"/>
                <w:sz w:val="18"/>
              </w:rPr>
            </w:pPr>
          </w:p>
        </w:tc>
        <w:tc>
          <w:tcPr>
            <w:tcW w:w="2471" w:type="dxa"/>
          </w:tcPr>
          <w:p w14:paraId="55D4C10E" w14:textId="03CC33A4" w:rsidR="009A24A9" w:rsidRPr="0087561A" w:rsidRDefault="009A24A9" w:rsidP="00A5100E">
            <w:pPr>
              <w:rPr>
                <w:rFonts w:asciiTheme="majorBidi" w:hAnsiTheme="majorBidi" w:cstheme="majorBidi"/>
                <w:color w:val="000000" w:themeColor="text1"/>
                <w:sz w:val="18"/>
              </w:rPr>
            </w:pPr>
            <w:r w:rsidRPr="0087561A">
              <w:rPr>
                <w:rFonts w:asciiTheme="majorBidi" w:hAnsiTheme="majorBidi" w:cstheme="majorBidi"/>
                <w:color w:val="000000" w:themeColor="text1"/>
                <w:sz w:val="18"/>
              </w:rPr>
              <w:t>AstraZeneca</w:t>
            </w:r>
          </w:p>
        </w:tc>
        <w:tc>
          <w:tcPr>
            <w:tcW w:w="2047" w:type="dxa"/>
          </w:tcPr>
          <w:p w14:paraId="506E7398" w14:textId="3FEA7498"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252</w:t>
            </w:r>
          </w:p>
        </w:tc>
      </w:tr>
      <w:tr w:rsidR="009A24A9" w:rsidRPr="0087561A" w14:paraId="12A1ADD3" w14:textId="2087CDD4" w:rsidTr="009A24A9">
        <w:trPr>
          <w:trHeight w:val="357"/>
          <w:jc w:val="center"/>
        </w:trPr>
        <w:tc>
          <w:tcPr>
            <w:tcW w:w="2109" w:type="dxa"/>
          </w:tcPr>
          <w:p w14:paraId="7CCC24B9"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Spain</w:t>
            </w:r>
          </w:p>
        </w:tc>
        <w:tc>
          <w:tcPr>
            <w:tcW w:w="2394" w:type="dxa"/>
          </w:tcPr>
          <w:p w14:paraId="3EA9C970" w14:textId="77777777"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249</w:t>
            </w:r>
          </w:p>
        </w:tc>
        <w:tc>
          <w:tcPr>
            <w:tcW w:w="1275" w:type="dxa"/>
            <w:tcBorders>
              <w:top w:val="nil"/>
              <w:bottom w:val="nil"/>
            </w:tcBorders>
          </w:tcPr>
          <w:p w14:paraId="0EC5093B" w14:textId="77777777" w:rsidR="009A24A9" w:rsidRPr="0087561A" w:rsidRDefault="009A24A9" w:rsidP="00A5100E">
            <w:pPr>
              <w:rPr>
                <w:rFonts w:asciiTheme="majorBidi" w:hAnsiTheme="majorBidi" w:cstheme="majorBidi"/>
                <w:color w:val="000000" w:themeColor="text1"/>
                <w:sz w:val="18"/>
              </w:rPr>
            </w:pPr>
          </w:p>
        </w:tc>
        <w:tc>
          <w:tcPr>
            <w:tcW w:w="2471" w:type="dxa"/>
          </w:tcPr>
          <w:p w14:paraId="7A0C57B5" w14:textId="0E5FDD9A" w:rsidR="009A24A9" w:rsidRPr="0087561A" w:rsidRDefault="009A24A9" w:rsidP="00A5100E">
            <w:pPr>
              <w:rPr>
                <w:rFonts w:asciiTheme="majorBidi" w:hAnsiTheme="majorBidi" w:cstheme="majorBidi"/>
                <w:color w:val="000000" w:themeColor="text1"/>
                <w:sz w:val="18"/>
              </w:rPr>
            </w:pPr>
            <w:r w:rsidRPr="0087561A">
              <w:rPr>
                <w:rFonts w:asciiTheme="majorBidi" w:hAnsiTheme="majorBidi" w:cstheme="majorBidi"/>
                <w:color w:val="000000" w:themeColor="text1"/>
                <w:sz w:val="18"/>
              </w:rPr>
              <w:t>AbbVie</w:t>
            </w:r>
          </w:p>
        </w:tc>
        <w:tc>
          <w:tcPr>
            <w:tcW w:w="2047" w:type="dxa"/>
          </w:tcPr>
          <w:p w14:paraId="14EFF2FE" w14:textId="2C05749E" w:rsidR="009A24A9" w:rsidRPr="0087561A" w:rsidRDefault="009A24A9" w:rsidP="00A5100E">
            <w:pPr>
              <w:rPr>
                <w:rFonts w:asciiTheme="majorBidi" w:hAnsiTheme="majorBidi" w:cstheme="majorBidi"/>
                <w:color w:val="000000" w:themeColor="text1"/>
              </w:rPr>
            </w:pPr>
            <w:r w:rsidRPr="0087561A">
              <w:rPr>
                <w:rFonts w:asciiTheme="majorBidi" w:hAnsiTheme="majorBidi" w:cstheme="majorBidi"/>
                <w:color w:val="000000" w:themeColor="text1"/>
                <w:sz w:val="18"/>
              </w:rPr>
              <w:t>249</w:t>
            </w:r>
          </w:p>
        </w:tc>
      </w:tr>
    </w:tbl>
    <w:p w14:paraId="1D775727" w14:textId="77777777" w:rsidR="009A24A9" w:rsidRDefault="009A24A9">
      <w:pPr>
        <w:rPr>
          <w:rFonts w:asciiTheme="majorBidi" w:hAnsiTheme="majorBidi" w:cstheme="majorBidi"/>
          <w:color w:val="000000" w:themeColor="text1"/>
        </w:rPr>
      </w:pPr>
    </w:p>
    <w:p w14:paraId="17EECF46" w14:textId="73945B16"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The dataset contains a broad international distribution. The country and sponsor summaries can be used to investigate geographic concentration, organizational participation, and differences in trial characteristics across sponsors.</w:t>
      </w:r>
    </w:p>
    <w:p w14:paraId="3F9265A1" w14:textId="77777777" w:rsidR="00D254B2" w:rsidRPr="0087561A" w:rsidRDefault="00000000">
      <w:pPr>
        <w:pStyle w:val="Heading1"/>
        <w:rPr>
          <w:rFonts w:asciiTheme="majorBidi" w:hAnsiTheme="majorBidi"/>
          <w:color w:val="000000" w:themeColor="text1"/>
        </w:rPr>
      </w:pPr>
      <w:r w:rsidRPr="0087561A">
        <w:rPr>
          <w:rFonts w:asciiTheme="majorBidi" w:hAnsiTheme="majorBidi"/>
          <w:color w:val="000000" w:themeColor="text1"/>
        </w:rPr>
        <w:t>6. Operational, Safety, and Quality Indicators</w:t>
      </w:r>
    </w:p>
    <w:p w14:paraId="6E51A9FA"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Across all 5,000 records, the average recruitment duration is 701.72 days and the median is 670 days. Recruitment duration ranges from 48 to 1525 days, indicating substantial variation in operational timelines.</w:t>
      </w:r>
    </w:p>
    <w:p w14:paraId="4DF2C984"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The average data-quality score is 89.56, with values ranging from 66.0 to 100.0. The average adverse-event rate is 8.28%, with the therapeutic-area averages in the workbook's pivot table generally clustered around the 8% range.</w:t>
      </w:r>
    </w:p>
    <w:p w14:paraId="7629A3CB"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These indicators should be interpreted together. A long recruitment period does not by itself imply poor trial performance, and an adverse-event rate should not be compared across therapeutic areas without considering study population, intervention, phase, follow-up period, and study design.</w:t>
      </w:r>
    </w:p>
    <w:p w14:paraId="367D9098" w14:textId="77777777" w:rsidR="00D254B2" w:rsidRPr="0087561A" w:rsidRDefault="00000000">
      <w:pPr>
        <w:pStyle w:val="Heading1"/>
        <w:rPr>
          <w:rFonts w:asciiTheme="majorBidi" w:hAnsiTheme="majorBidi"/>
          <w:color w:val="000000" w:themeColor="text1"/>
        </w:rPr>
      </w:pPr>
      <w:r w:rsidRPr="0087561A">
        <w:rPr>
          <w:rFonts w:asciiTheme="majorBidi" w:hAnsiTheme="majorBidi"/>
          <w:color w:val="000000" w:themeColor="text1"/>
        </w:rPr>
        <w:t>7. Dashboard Explanation</w:t>
      </w:r>
    </w:p>
    <w:p w14:paraId="0A20D5CA"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The workbook's DASHBOARD sheet combines KPI-style summary information with three main charts: a funding distribution chart, a therapeutic-area versus average adverse-event-rate chart, and a trial-status chart. The dashboard is designed as an executive summary rather than a replacement for record-level analysis.</w:t>
      </w:r>
    </w:p>
    <w:p w14:paraId="28B64D33" w14:textId="77777777" w:rsidR="00D254B2" w:rsidRPr="0087561A" w:rsidRDefault="00000000">
      <w:pPr>
        <w:pStyle w:val="Heading2"/>
        <w:rPr>
          <w:rFonts w:asciiTheme="majorBidi" w:hAnsiTheme="majorBidi"/>
          <w:color w:val="000000" w:themeColor="text1"/>
        </w:rPr>
      </w:pPr>
      <w:r w:rsidRPr="0087561A">
        <w:rPr>
          <w:rFonts w:asciiTheme="majorBidi" w:hAnsiTheme="majorBidi"/>
          <w:color w:val="000000" w:themeColor="text1"/>
        </w:rPr>
        <w:t>7.1 Funding of Clinical Trials</w:t>
      </w:r>
    </w:p>
    <w:p w14:paraId="74BC5472"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The 3-D bar chart titled 'FUNDING OF CT AS PER' summarizes trial counts by funding type. It uses the funding pivot table and compares Academic, Government, Industry, and Public-Private Partnership categories. Use this visual to understand the relative contribution of different funding models to the overall trial portfolio.</w:t>
      </w:r>
    </w:p>
    <w:p w14:paraId="78009F15" w14:textId="77777777" w:rsidR="00D254B2" w:rsidRPr="0087561A" w:rsidRDefault="00000000">
      <w:pPr>
        <w:pStyle w:val="Heading2"/>
        <w:rPr>
          <w:rFonts w:asciiTheme="majorBidi" w:hAnsiTheme="majorBidi"/>
          <w:color w:val="000000" w:themeColor="text1"/>
        </w:rPr>
      </w:pPr>
      <w:r w:rsidRPr="0087561A">
        <w:rPr>
          <w:rFonts w:asciiTheme="majorBidi" w:hAnsiTheme="majorBidi"/>
          <w:color w:val="000000" w:themeColor="text1"/>
        </w:rPr>
        <w:lastRenderedPageBreak/>
        <w:t>7.2 Therapeutic Area with Average Adverse Event Rate</w:t>
      </w:r>
    </w:p>
    <w:p w14:paraId="4AE3EAA1"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The therapeutic-area chart compares clinical domains with their average adverse-event rate. It allows the user to identify areas with relatively higher or lower average values within this dataset. This is a descriptive comparison, not a causal or clinical safety conclusion.</w:t>
      </w:r>
    </w:p>
    <w:p w14:paraId="24AD0206" w14:textId="77777777" w:rsidR="00D254B2" w:rsidRPr="0087561A" w:rsidRDefault="00000000">
      <w:pPr>
        <w:pStyle w:val="Heading2"/>
        <w:rPr>
          <w:rFonts w:asciiTheme="majorBidi" w:hAnsiTheme="majorBidi"/>
          <w:color w:val="000000" w:themeColor="text1"/>
        </w:rPr>
      </w:pPr>
      <w:r w:rsidRPr="0087561A">
        <w:rPr>
          <w:rFonts w:asciiTheme="majorBidi" w:hAnsiTheme="majorBidi"/>
          <w:color w:val="000000" w:themeColor="text1"/>
        </w:rPr>
        <w:t>7.3 Status of the Trials</w:t>
      </w:r>
    </w:p>
    <w:p w14:paraId="1C336A5C"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The 3-D pie chart displays the distribution of trial statuses, including Recruiting, Completed, Active/not recruiting, Terminated, Not yet recruiting, Withdrawn, and Suspended. It gives a quick portfolio-level view of the current status mix.</w:t>
      </w:r>
    </w:p>
    <w:p w14:paraId="7B841E84" w14:textId="77777777" w:rsidR="00D254B2" w:rsidRPr="0087561A" w:rsidRDefault="00000000">
      <w:pPr>
        <w:pStyle w:val="Heading2"/>
        <w:rPr>
          <w:rFonts w:asciiTheme="majorBidi" w:hAnsiTheme="majorBidi"/>
          <w:color w:val="000000" w:themeColor="text1"/>
        </w:rPr>
      </w:pPr>
      <w:r w:rsidRPr="0087561A">
        <w:rPr>
          <w:rFonts w:asciiTheme="majorBidi" w:hAnsiTheme="majorBidi"/>
          <w:color w:val="000000" w:themeColor="text1"/>
        </w:rPr>
        <w:t>7.4 KPI Interpretation</w:t>
      </w:r>
    </w:p>
    <w:p w14:paraId="169398A7"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Total Trials answers: How large is the analyzed trial portfolio?</w:t>
      </w:r>
    </w:p>
    <w:p w14:paraId="37540B52"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Total Enrollment answers: How many participants are represented across the records?</w:t>
      </w:r>
    </w:p>
    <w:p w14:paraId="2E431BA9"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Average Recruitment Days answers: What is the typical recruitment duration?</w:t>
      </w:r>
    </w:p>
    <w:p w14:paraId="5F88F830"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Average Data Quality answers: What is the overall quality-score level?</w:t>
      </w:r>
    </w:p>
    <w:p w14:paraId="24A62274"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Average Adverse Event % answers: What is the average reported adverse-event rate in the dataset?</w:t>
      </w:r>
    </w:p>
    <w:p w14:paraId="14848DE4"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For dashboard use, start with the KPIs, then move to status and funding composition, and finally use therapeutic-area and detailed pivot views to explain differences. Where slicers or filters are available in the Excel workbook, apply them consistently before comparing subsets.</w:t>
      </w:r>
    </w:p>
    <w:p w14:paraId="3C441DD3" w14:textId="77777777" w:rsidR="00D254B2" w:rsidRPr="0087561A" w:rsidRDefault="00000000">
      <w:pPr>
        <w:pStyle w:val="Heading1"/>
        <w:rPr>
          <w:rFonts w:asciiTheme="majorBidi" w:hAnsiTheme="majorBidi"/>
          <w:color w:val="000000" w:themeColor="text1"/>
        </w:rPr>
      </w:pPr>
      <w:r w:rsidRPr="0087561A">
        <w:rPr>
          <w:rFonts w:asciiTheme="majorBidi" w:hAnsiTheme="majorBidi"/>
          <w:color w:val="000000" w:themeColor="text1"/>
        </w:rPr>
        <w:t>8. Business and Analytical Use Cases</w:t>
      </w:r>
    </w:p>
    <w:p w14:paraId="1C38F1C2"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Portfolio monitoring: summarize the scale and status of the trial portfolio.</w:t>
      </w:r>
    </w:p>
    <w:p w14:paraId="4F9F6B9A"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Therapeutic-area analysis: compare the volume of clinical research across disease or clinical domains.</w:t>
      </w:r>
    </w:p>
    <w:p w14:paraId="31EFE1C4"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Funding analysis: understand how trials are distributed across funding models.</w:t>
      </w:r>
    </w:p>
    <w:p w14:paraId="5AB4E87B"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Operational analysis: investigate recruitment duration, site count, and enrollment.</w:t>
      </w:r>
    </w:p>
    <w:p w14:paraId="69478D13"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Quality monitoring: examine data-quality scores and identify records or segments requiring review.</w:t>
      </w:r>
    </w:p>
    <w:p w14:paraId="78FBFC4C"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Safety exploration: compare descriptive adverse-event rates while accounting for differences in study design and population.</w:t>
      </w:r>
    </w:p>
    <w:p w14:paraId="760AED1C"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Sponsor and geography analysis: examine participation patterns by organization and country.</w:t>
      </w:r>
    </w:p>
    <w:p w14:paraId="1C3754F8" w14:textId="77777777" w:rsidR="00D254B2" w:rsidRPr="0087561A" w:rsidRDefault="00000000">
      <w:pPr>
        <w:pStyle w:val="Heading1"/>
        <w:rPr>
          <w:rFonts w:asciiTheme="majorBidi" w:hAnsiTheme="majorBidi"/>
          <w:color w:val="000000" w:themeColor="text1"/>
        </w:rPr>
      </w:pPr>
      <w:r w:rsidRPr="0087561A">
        <w:rPr>
          <w:rFonts w:asciiTheme="majorBidi" w:hAnsiTheme="majorBidi"/>
          <w:color w:val="000000" w:themeColor="text1"/>
        </w:rPr>
        <w:t>9. Data Limitations and Interpretation Notes</w:t>
      </w:r>
    </w:p>
    <w:p w14:paraId="11C36312"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The workbook contains 5,000 records and should be treated as the defined analytical population for this project.</w:t>
      </w:r>
    </w:p>
    <w:p w14:paraId="0FBC6D21"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The dataset is a structured analytical dataset; field values should not automatically be interpreted as externally verified clinical-trial registry facts.</w:t>
      </w:r>
    </w:p>
    <w:p w14:paraId="4AB33852"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Average adverse-event rates are descriptive and should not be interpreted as comparative safety conclusions without study-level context.</w:t>
      </w:r>
    </w:p>
    <w:p w14:paraId="58847781"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Recruitment duration can be influenced by disease prevalence, eligibility criteria, geography, enrollment targets, and study design.</w:t>
      </w:r>
    </w:p>
    <w:p w14:paraId="6CE98845"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The dashboard provides aggregated views; record-level investigation may be necessary to explain unusual values.</w:t>
      </w:r>
    </w:p>
    <w:p w14:paraId="561DBB4C" w14:textId="77777777" w:rsidR="00D254B2" w:rsidRPr="0087561A" w:rsidRDefault="00000000">
      <w:pPr>
        <w:pStyle w:val="ListBullet"/>
        <w:rPr>
          <w:rFonts w:asciiTheme="majorBidi" w:hAnsiTheme="majorBidi" w:cstheme="majorBidi"/>
          <w:color w:val="000000" w:themeColor="text1"/>
        </w:rPr>
      </w:pPr>
      <w:r w:rsidRPr="0087561A">
        <w:rPr>
          <w:rFonts w:asciiTheme="majorBidi" w:hAnsiTheme="majorBidi" w:cstheme="majorBidi"/>
          <w:color w:val="000000" w:themeColor="text1"/>
        </w:rPr>
        <w:t>The latest start dates extend into 2026, while some completion dates extend into 2030, so date-based analyses should distinguish started, completed, and ongoing studies.</w:t>
      </w:r>
    </w:p>
    <w:p w14:paraId="4DA732BE" w14:textId="77777777" w:rsidR="00D254B2" w:rsidRPr="0087561A" w:rsidRDefault="00000000">
      <w:pPr>
        <w:pStyle w:val="Heading1"/>
        <w:rPr>
          <w:rFonts w:asciiTheme="majorBidi" w:hAnsiTheme="majorBidi"/>
          <w:color w:val="000000" w:themeColor="text1"/>
        </w:rPr>
      </w:pPr>
      <w:r w:rsidRPr="0087561A">
        <w:rPr>
          <w:rFonts w:asciiTheme="majorBidi" w:hAnsiTheme="majorBidi"/>
          <w:color w:val="000000" w:themeColor="text1"/>
        </w:rPr>
        <w:lastRenderedPageBreak/>
        <w:t>10. Conclusion</w:t>
      </w:r>
    </w:p>
    <w:p w14:paraId="22527E97"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The clinical-trial dataset provides a broad analytical view of 5,000 studies involving approximately 1,910,670 participant enrollments. The portfolio is characterized by a substantial share of Phase III studies, a predominance of interventional designs, and a broad spread across therapeutic areas, countries, sponsors, and funding categories. Recruiting and completed studies constitute the largest status groups.</w:t>
      </w:r>
    </w:p>
    <w:p w14:paraId="51CF18FB"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The dashboard converts these dimensions into an accessible summary through KPIs and three principal visualizations covering funding, therapeutic-area adverse-event averages, and trial status. The overall average recruitment duration of 701.72 days and average data-quality score of 89.56 provide useful operational context, while the average adverse-event rate of 8.28% provides a descriptive safety-related indicator.</w:t>
      </w:r>
    </w:p>
    <w:p w14:paraId="10FE42E2"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rPr>
        <w:t>Overall, the project demonstrates how structured clinical-trial data can be transformed into a dashboard-ready analytical model. The next stage could extend the dashboard with time-series trends, country maps, sponsor comparisons, phase-by-status analysis, enrollment distributions, and interactive slicers for deeper exploration.</w:t>
      </w:r>
    </w:p>
    <w:p w14:paraId="05588896" w14:textId="77777777" w:rsidR="00D254B2" w:rsidRPr="0087561A" w:rsidRDefault="00000000">
      <w:pPr>
        <w:pStyle w:val="Heading1"/>
        <w:rPr>
          <w:rFonts w:asciiTheme="majorBidi" w:hAnsiTheme="majorBidi"/>
          <w:color w:val="000000" w:themeColor="text1"/>
        </w:rPr>
      </w:pPr>
      <w:r w:rsidRPr="0087561A">
        <w:rPr>
          <w:rFonts w:asciiTheme="majorBidi" w:hAnsiTheme="majorBidi"/>
          <w:color w:val="000000" w:themeColor="text1"/>
        </w:rPr>
        <w:t>Appendix A. Recommended Dashboard Reading Sequence</w:t>
      </w:r>
    </w:p>
    <w:tbl>
      <w:tblPr>
        <w:tblStyle w:val="TableGrid"/>
        <w:tblW w:w="0" w:type="auto"/>
        <w:jc w:val="center"/>
        <w:tblLook w:val="04A0" w:firstRow="1" w:lastRow="0" w:firstColumn="1" w:lastColumn="0" w:noHBand="0" w:noVBand="1"/>
      </w:tblPr>
      <w:tblGrid>
        <w:gridCol w:w="2885"/>
        <w:gridCol w:w="2885"/>
        <w:gridCol w:w="2885"/>
      </w:tblGrid>
      <w:tr w:rsidR="00D254B2" w:rsidRPr="0087561A" w14:paraId="312527C4" w14:textId="77777777" w:rsidTr="00086D96">
        <w:trPr>
          <w:trHeight w:val="250"/>
          <w:jc w:val="center"/>
        </w:trPr>
        <w:tc>
          <w:tcPr>
            <w:tcW w:w="2885" w:type="dxa"/>
            <w:shd w:val="clear" w:color="auto" w:fill="D9EAF7"/>
            <w:vAlign w:val="center"/>
          </w:tcPr>
          <w:p w14:paraId="307C839D"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Step</w:t>
            </w:r>
          </w:p>
        </w:tc>
        <w:tc>
          <w:tcPr>
            <w:tcW w:w="2885" w:type="dxa"/>
            <w:shd w:val="clear" w:color="auto" w:fill="D9EAF7"/>
            <w:vAlign w:val="center"/>
          </w:tcPr>
          <w:p w14:paraId="33D1DC74"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Dashboard Element</w:t>
            </w:r>
          </w:p>
        </w:tc>
        <w:tc>
          <w:tcPr>
            <w:tcW w:w="2885" w:type="dxa"/>
            <w:shd w:val="clear" w:color="auto" w:fill="D9EAF7"/>
            <w:vAlign w:val="center"/>
          </w:tcPr>
          <w:p w14:paraId="15030D62"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b/>
                <w:color w:val="000000" w:themeColor="text1"/>
                <w:sz w:val="18"/>
              </w:rPr>
              <w:t>Question Answered</w:t>
            </w:r>
          </w:p>
        </w:tc>
      </w:tr>
      <w:tr w:rsidR="00D254B2" w:rsidRPr="0087561A" w14:paraId="24726476" w14:textId="77777777" w:rsidTr="00086D96">
        <w:trPr>
          <w:trHeight w:val="539"/>
          <w:jc w:val="center"/>
        </w:trPr>
        <w:tc>
          <w:tcPr>
            <w:tcW w:w="2885" w:type="dxa"/>
            <w:vAlign w:val="center"/>
          </w:tcPr>
          <w:p w14:paraId="797368C2"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1</w:t>
            </w:r>
          </w:p>
        </w:tc>
        <w:tc>
          <w:tcPr>
            <w:tcW w:w="2885" w:type="dxa"/>
            <w:vAlign w:val="center"/>
          </w:tcPr>
          <w:p w14:paraId="5B86E385"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KPI cards</w:t>
            </w:r>
          </w:p>
        </w:tc>
        <w:tc>
          <w:tcPr>
            <w:tcW w:w="2885" w:type="dxa"/>
            <w:vAlign w:val="center"/>
          </w:tcPr>
          <w:p w14:paraId="60D347B2"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What is the overall scale and operational profile?</w:t>
            </w:r>
          </w:p>
        </w:tc>
      </w:tr>
      <w:tr w:rsidR="00D254B2" w:rsidRPr="0087561A" w14:paraId="7608985E" w14:textId="77777777" w:rsidTr="00086D96">
        <w:trPr>
          <w:trHeight w:val="519"/>
          <w:jc w:val="center"/>
        </w:trPr>
        <w:tc>
          <w:tcPr>
            <w:tcW w:w="2885" w:type="dxa"/>
            <w:vAlign w:val="center"/>
          </w:tcPr>
          <w:p w14:paraId="5384D2D1"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2</w:t>
            </w:r>
          </w:p>
        </w:tc>
        <w:tc>
          <w:tcPr>
            <w:tcW w:w="2885" w:type="dxa"/>
            <w:vAlign w:val="center"/>
          </w:tcPr>
          <w:p w14:paraId="29986E80"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Status chart</w:t>
            </w:r>
          </w:p>
        </w:tc>
        <w:tc>
          <w:tcPr>
            <w:tcW w:w="2885" w:type="dxa"/>
            <w:vAlign w:val="center"/>
          </w:tcPr>
          <w:p w14:paraId="57D3DE6B"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What proportion of trials are recruiting, completed, or inactive?</w:t>
            </w:r>
          </w:p>
        </w:tc>
      </w:tr>
      <w:tr w:rsidR="00D254B2" w:rsidRPr="0087561A" w14:paraId="45A3634B" w14:textId="77777777" w:rsidTr="00086D96">
        <w:trPr>
          <w:trHeight w:val="519"/>
          <w:jc w:val="center"/>
        </w:trPr>
        <w:tc>
          <w:tcPr>
            <w:tcW w:w="2885" w:type="dxa"/>
            <w:vAlign w:val="center"/>
          </w:tcPr>
          <w:p w14:paraId="42CA44C3"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3</w:t>
            </w:r>
          </w:p>
        </w:tc>
        <w:tc>
          <w:tcPr>
            <w:tcW w:w="2885" w:type="dxa"/>
            <w:vAlign w:val="center"/>
          </w:tcPr>
          <w:p w14:paraId="64BCB4FE"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Funding chart</w:t>
            </w:r>
          </w:p>
        </w:tc>
        <w:tc>
          <w:tcPr>
            <w:tcW w:w="2885" w:type="dxa"/>
            <w:vAlign w:val="center"/>
          </w:tcPr>
          <w:p w14:paraId="36787168"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Which funding categories contribute to the portfolio?</w:t>
            </w:r>
          </w:p>
        </w:tc>
      </w:tr>
      <w:tr w:rsidR="00D254B2" w:rsidRPr="0087561A" w14:paraId="4CF4AAC9" w14:textId="77777777" w:rsidTr="00086D96">
        <w:trPr>
          <w:trHeight w:val="539"/>
          <w:jc w:val="center"/>
        </w:trPr>
        <w:tc>
          <w:tcPr>
            <w:tcW w:w="2885" w:type="dxa"/>
            <w:vAlign w:val="center"/>
          </w:tcPr>
          <w:p w14:paraId="28251D26"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4</w:t>
            </w:r>
          </w:p>
        </w:tc>
        <w:tc>
          <w:tcPr>
            <w:tcW w:w="2885" w:type="dxa"/>
            <w:vAlign w:val="center"/>
          </w:tcPr>
          <w:p w14:paraId="32DBF9AC"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Therapeutic-area chart</w:t>
            </w:r>
          </w:p>
        </w:tc>
        <w:tc>
          <w:tcPr>
            <w:tcW w:w="2885" w:type="dxa"/>
            <w:vAlign w:val="center"/>
          </w:tcPr>
          <w:p w14:paraId="3C05FE2C"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How does average adverse-event rate vary by therapeutic area?</w:t>
            </w:r>
          </w:p>
        </w:tc>
      </w:tr>
      <w:tr w:rsidR="00D254B2" w:rsidRPr="0087561A" w14:paraId="14A1E4C2" w14:textId="77777777" w:rsidTr="00086D96">
        <w:trPr>
          <w:trHeight w:val="500"/>
          <w:jc w:val="center"/>
        </w:trPr>
        <w:tc>
          <w:tcPr>
            <w:tcW w:w="2885" w:type="dxa"/>
            <w:vAlign w:val="center"/>
          </w:tcPr>
          <w:p w14:paraId="6148C1D3"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5</w:t>
            </w:r>
          </w:p>
        </w:tc>
        <w:tc>
          <w:tcPr>
            <w:tcW w:w="2885" w:type="dxa"/>
            <w:vAlign w:val="center"/>
          </w:tcPr>
          <w:p w14:paraId="3F40AF91"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Filters/Pivots</w:t>
            </w:r>
          </w:p>
        </w:tc>
        <w:tc>
          <w:tcPr>
            <w:tcW w:w="2885" w:type="dxa"/>
            <w:vAlign w:val="center"/>
          </w:tcPr>
          <w:p w14:paraId="2F9C2771" w14:textId="77777777" w:rsidR="00D254B2" w:rsidRPr="0087561A" w:rsidRDefault="00000000">
            <w:pPr>
              <w:rPr>
                <w:rFonts w:asciiTheme="majorBidi" w:hAnsiTheme="majorBidi" w:cstheme="majorBidi"/>
                <w:color w:val="000000" w:themeColor="text1"/>
              </w:rPr>
            </w:pPr>
            <w:r w:rsidRPr="0087561A">
              <w:rPr>
                <w:rFonts w:asciiTheme="majorBidi" w:hAnsiTheme="majorBidi" w:cstheme="majorBidi"/>
                <w:color w:val="000000" w:themeColor="text1"/>
                <w:sz w:val="18"/>
              </w:rPr>
              <w:t>How do the results change by phase, country, sponsor, or study type?</w:t>
            </w:r>
          </w:p>
        </w:tc>
      </w:tr>
    </w:tbl>
    <w:p w14:paraId="2028D4CF" w14:textId="77777777" w:rsidR="00AF1604" w:rsidRPr="0087561A" w:rsidRDefault="00AF1604">
      <w:pPr>
        <w:rPr>
          <w:rFonts w:asciiTheme="majorBidi" w:hAnsiTheme="majorBidi" w:cstheme="majorBidi"/>
          <w:color w:val="000000" w:themeColor="text1"/>
        </w:rPr>
      </w:pPr>
    </w:p>
    <w:sectPr w:rsidR="00AF1604" w:rsidRPr="0087561A"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4999688">
    <w:abstractNumId w:val="8"/>
  </w:num>
  <w:num w:numId="2" w16cid:durableId="921526910">
    <w:abstractNumId w:val="6"/>
  </w:num>
  <w:num w:numId="3" w16cid:durableId="381248001">
    <w:abstractNumId w:val="5"/>
  </w:num>
  <w:num w:numId="4" w16cid:durableId="198013196">
    <w:abstractNumId w:val="4"/>
  </w:num>
  <w:num w:numId="5" w16cid:durableId="7752823">
    <w:abstractNumId w:val="7"/>
  </w:num>
  <w:num w:numId="6" w16cid:durableId="153497806">
    <w:abstractNumId w:val="3"/>
  </w:num>
  <w:num w:numId="7" w16cid:durableId="1495610599">
    <w:abstractNumId w:val="2"/>
  </w:num>
  <w:num w:numId="8" w16cid:durableId="1971940642">
    <w:abstractNumId w:val="1"/>
  </w:num>
  <w:num w:numId="9" w16cid:durableId="897328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B4"/>
    <w:rsid w:val="00086D96"/>
    <w:rsid w:val="0015074B"/>
    <w:rsid w:val="0029639D"/>
    <w:rsid w:val="00326F90"/>
    <w:rsid w:val="004C5EFD"/>
    <w:rsid w:val="0087561A"/>
    <w:rsid w:val="009A24A9"/>
    <w:rsid w:val="00A5100E"/>
    <w:rsid w:val="00AA1D8D"/>
    <w:rsid w:val="00AF1604"/>
    <w:rsid w:val="00B47730"/>
    <w:rsid w:val="00BF0FEF"/>
    <w:rsid w:val="00CB0664"/>
    <w:rsid w:val="00D10198"/>
    <w:rsid w:val="00D254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75F6A56-B6F8-44A4-BF0B-E5B2044F8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2036</Words>
  <Characters>11610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siddhesh bhikule</cp:lastModifiedBy>
  <cp:revision>8</cp:revision>
  <dcterms:created xsi:type="dcterms:W3CDTF">2013-12-23T23:15:00Z</dcterms:created>
  <dcterms:modified xsi:type="dcterms:W3CDTF">2026-09-30T17:30:00Z</dcterms:modified>
  <cp:category/>
</cp:coreProperties>
</file>