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Calibri" w:hAnsi="Calibri"/>
          <w:b/>
          <w:color w:val="1A365D"/>
          <w:sz w:val="64"/>
        </w:rPr>
        <w:t>A.R.G.U.S.</w:t>
      </w:r>
    </w:p>
    <w:p>
      <w:pPr>
        <w:spacing w:before="0" w:after="80"/>
        <w:jc w:val="center"/>
      </w:pPr>
      <w:r>
        <w:rPr>
          <w:rFonts w:ascii="Calibri" w:hAnsi="Calibri"/>
          <w:b/>
          <w:color w:val="2B6CB0"/>
          <w:sz w:val="32"/>
        </w:rPr>
        <w:t>Automated Risk Assessment &amp; Anomaly Detection System</w:t>
      </w:r>
    </w:p>
    <w:p>
      <w:pPr>
        <w:spacing w:before="0" w:after="560"/>
        <w:jc w:val="center"/>
      </w:pPr>
      <w:r>
        <w:rPr>
          <w:rFonts w:ascii="Calibri" w:hAnsi="Calibri"/>
          <w:i/>
          <w:color w:val="718096"/>
          <w:sz w:val="23"/>
        </w:rPr>
        <w:t>AI-Based Real-Time Fraud Detection and Transaction Risk Monitoring System</w:t>
        <w:br/>
        <w:t>Comprehensive Technical Engineering &amp; Progress Report (Milestones 0 – 4)</w:t>
      </w:r>
    </w:p>
    <w:tbl>
      <w:tblPr>
        <w:tblW w:type="auto" w:w="0"/>
        <w:jc w:val="center"/>
        <w:tblLook w:firstColumn="1" w:firstRow="1" w:lastColumn="0" w:lastRow="0" w:noHBand="0" w:noVBand="1" w:val="04A0"/>
      </w:tblPr>
      <w:tblGrid>
        <w:gridCol w:w="4680"/>
        <w:gridCol w:w="4680"/>
      </w:tblGrid>
      <w:tr>
        <w:tc>
          <w:tcPr>
            <w:tcW w:type="dxa" w:w="3168"/>
            <w:shd w:fill="EDF2F7"/>
            <w:tcMar>
              <w:top w:w="60" w:type="dxa"/>
              <w:bottom w:w="60" w:type="dxa"/>
              <w:left w:w="100" w:type="dxa"/>
              <w:right w:w="100" w:type="dxa"/>
            </w:tcMar>
          </w:tcPr>
          <w:p>
            <w:r>
              <w:rPr>
                <w:b/>
                <w:color w:val="1A365D"/>
                <w:sz w:val="19"/>
              </w:rPr>
              <w:t>Project Name</w:t>
            </w:r>
          </w:p>
        </w:tc>
        <w:tc>
          <w:tcPr>
            <w:tcW w:type="dxa" w:w="6192"/>
            <w:shd w:fill="F7FAFC"/>
            <w:tcMar>
              <w:top w:w="60" w:type="dxa"/>
              <w:bottom w:w="60" w:type="dxa"/>
              <w:left w:w="100" w:type="dxa"/>
              <w:right w:w="100" w:type="dxa"/>
            </w:tcMar>
          </w:tcPr>
          <w:p>
            <w:r>
              <w:rPr>
                <w:color w:val="2D3748"/>
                <w:sz w:val="19"/>
              </w:rPr>
              <w:t>A.R.G.U.S. (Automated Risk Assessment &amp; Anomaly Detection System)</w:t>
            </w:r>
          </w:p>
        </w:tc>
      </w:tr>
      <w:tr>
        <w:tc>
          <w:tcPr>
            <w:tcW w:type="dxa" w:w="3168"/>
            <w:shd w:fill="EDF2F7"/>
            <w:tcMar>
              <w:top w:w="60" w:type="dxa"/>
              <w:bottom w:w="60" w:type="dxa"/>
              <w:left w:w="100" w:type="dxa"/>
              <w:right w:w="100" w:type="dxa"/>
            </w:tcMar>
          </w:tcPr>
          <w:p>
            <w:r>
              <w:rPr>
                <w:b/>
                <w:color w:val="1A365D"/>
                <w:sz w:val="19"/>
              </w:rPr>
              <w:t>Academic Programme</w:t>
            </w:r>
          </w:p>
        </w:tc>
        <w:tc>
          <w:tcPr>
            <w:tcW w:type="dxa" w:w="6192"/>
            <w:shd w:fill="F7FAFC"/>
            <w:tcMar>
              <w:top w:w="60" w:type="dxa"/>
              <w:bottom w:w="60" w:type="dxa"/>
              <w:left w:w="100" w:type="dxa"/>
              <w:right w:w="100" w:type="dxa"/>
            </w:tcMar>
          </w:tcPr>
          <w:p>
            <w:r>
              <w:rPr>
                <w:color w:val="2D3748"/>
                <w:sz w:val="19"/>
              </w:rPr>
              <w:t>B.Tech Artificial Intelligence &amp; Machine Learning</w:t>
            </w:r>
          </w:p>
        </w:tc>
      </w:tr>
      <w:tr>
        <w:tc>
          <w:tcPr>
            <w:tcW w:type="dxa" w:w="3168"/>
            <w:shd w:fill="EDF2F7"/>
            <w:tcMar>
              <w:top w:w="60" w:type="dxa"/>
              <w:bottom w:w="60" w:type="dxa"/>
              <w:left w:w="100" w:type="dxa"/>
              <w:right w:w="100" w:type="dxa"/>
            </w:tcMar>
          </w:tcPr>
          <w:p>
            <w:r>
              <w:rPr>
                <w:b/>
                <w:color w:val="1A365D"/>
                <w:sz w:val="19"/>
              </w:rPr>
              <w:t>Class &amp; Academic Year</w:t>
            </w:r>
          </w:p>
        </w:tc>
        <w:tc>
          <w:tcPr>
            <w:tcW w:type="dxa" w:w="6192"/>
            <w:shd w:fill="F7FAFC"/>
            <w:tcMar>
              <w:top w:w="60" w:type="dxa"/>
              <w:bottom w:w="60" w:type="dxa"/>
              <w:left w:w="100" w:type="dxa"/>
              <w:right w:w="100" w:type="dxa"/>
            </w:tcMar>
          </w:tcPr>
          <w:p>
            <w:r>
              <w:rPr>
                <w:color w:val="2D3748"/>
                <w:sz w:val="19"/>
              </w:rPr>
              <w:t>B.Tech AIML – C | Academic Year 2026–27 (Odd Semester)</w:t>
            </w:r>
          </w:p>
        </w:tc>
      </w:tr>
      <w:tr>
        <w:tc>
          <w:tcPr>
            <w:tcW w:type="dxa" w:w="3168"/>
            <w:shd w:fill="EDF2F7"/>
            <w:tcMar>
              <w:top w:w="60" w:type="dxa"/>
              <w:bottom w:w="60" w:type="dxa"/>
              <w:left w:w="100" w:type="dxa"/>
              <w:right w:w="100" w:type="dxa"/>
            </w:tcMar>
          </w:tcPr>
          <w:p>
            <w:r>
              <w:rPr>
                <w:b/>
                <w:color w:val="1A365D"/>
                <w:sz w:val="19"/>
              </w:rPr>
              <w:t>Engineering Team</w:t>
            </w:r>
          </w:p>
        </w:tc>
        <w:tc>
          <w:tcPr>
            <w:tcW w:type="dxa" w:w="6192"/>
            <w:shd w:fill="F7FAFC"/>
            <w:tcMar>
              <w:top w:w="60" w:type="dxa"/>
              <w:bottom w:w="60" w:type="dxa"/>
              <w:left w:w="100" w:type="dxa"/>
              <w:right w:w="100" w:type="dxa"/>
            </w:tcMar>
          </w:tcPr>
          <w:p>
            <w:r>
              <w:rPr>
                <w:color w:val="2D3748"/>
                <w:sz w:val="19"/>
              </w:rPr>
              <w:t>Savar Shetty, Pranav Pawar, Siddhesh Gire, Devraj Misal, Atharva Morbale</w:t>
            </w:r>
          </w:p>
        </w:tc>
      </w:tr>
      <w:tr>
        <w:tc>
          <w:tcPr>
            <w:tcW w:type="dxa" w:w="3168"/>
            <w:shd w:fill="EDF2F7"/>
            <w:tcMar>
              <w:top w:w="60" w:type="dxa"/>
              <w:bottom w:w="60" w:type="dxa"/>
              <w:left w:w="100" w:type="dxa"/>
              <w:right w:w="100" w:type="dxa"/>
            </w:tcMar>
          </w:tcPr>
          <w:p>
            <w:r>
              <w:rPr>
                <w:b/>
                <w:color w:val="1A365D"/>
                <w:sz w:val="19"/>
              </w:rPr>
              <w:t>Faculty Mentor / Guide</w:t>
            </w:r>
          </w:p>
        </w:tc>
        <w:tc>
          <w:tcPr>
            <w:tcW w:type="dxa" w:w="6192"/>
            <w:shd w:fill="F7FAFC"/>
            <w:tcMar>
              <w:top w:w="60" w:type="dxa"/>
              <w:bottom w:w="60" w:type="dxa"/>
              <w:left w:w="100" w:type="dxa"/>
              <w:right w:w="100" w:type="dxa"/>
            </w:tcMar>
          </w:tcPr>
          <w:p>
            <w:r>
              <w:rPr>
                <w:color w:val="2D3748"/>
                <w:sz w:val="19"/>
              </w:rPr>
              <w:t>Prof. Sunil Kale</w:t>
            </w:r>
          </w:p>
        </w:tc>
      </w:tr>
      <w:tr>
        <w:tc>
          <w:tcPr>
            <w:tcW w:type="dxa" w:w="3168"/>
            <w:shd w:fill="EDF2F7"/>
            <w:tcMar>
              <w:top w:w="60" w:type="dxa"/>
              <w:bottom w:w="60" w:type="dxa"/>
              <w:left w:w="100" w:type="dxa"/>
              <w:right w:w="100" w:type="dxa"/>
            </w:tcMar>
          </w:tcPr>
          <w:p>
            <w:r>
              <w:rPr>
                <w:b/>
                <w:color w:val="1A365D"/>
                <w:sz w:val="19"/>
              </w:rPr>
              <w:t>Completed Milestones</w:t>
            </w:r>
          </w:p>
        </w:tc>
        <w:tc>
          <w:tcPr>
            <w:tcW w:type="dxa" w:w="6192"/>
            <w:shd w:fill="F7FAFC"/>
            <w:tcMar>
              <w:top w:w="60" w:type="dxa"/>
              <w:bottom w:w="60" w:type="dxa"/>
              <w:left w:w="100" w:type="dxa"/>
              <w:right w:w="100" w:type="dxa"/>
            </w:tcMar>
          </w:tcPr>
          <w:p>
            <w:r>
              <w:rPr>
                <w:color w:val="2D3748"/>
                <w:sz w:val="19"/>
              </w:rPr>
              <w:t>Milestone 0 → Milestone 1 → Milestone 2 → Milestone 3 → Milestone 3A → Milestone 4</w:t>
            </w:r>
          </w:p>
        </w:tc>
      </w:tr>
      <w:tr>
        <w:tc>
          <w:tcPr>
            <w:tcW w:type="dxa" w:w="3168"/>
            <w:shd w:fill="EDF2F7"/>
            <w:tcMar>
              <w:top w:w="60" w:type="dxa"/>
              <w:bottom w:w="60" w:type="dxa"/>
              <w:left w:w="100" w:type="dxa"/>
              <w:right w:w="100" w:type="dxa"/>
            </w:tcMar>
          </w:tcPr>
          <w:p>
            <w:r>
              <w:rPr>
                <w:b/>
                <w:color w:val="1A365D"/>
                <w:sz w:val="19"/>
              </w:rPr>
              <w:t>Report Classification</w:t>
            </w:r>
          </w:p>
        </w:tc>
        <w:tc>
          <w:tcPr>
            <w:tcW w:type="dxa" w:w="6192"/>
            <w:shd w:fill="F7FAFC"/>
            <w:tcMar>
              <w:top w:w="60" w:type="dxa"/>
              <w:bottom w:w="60" w:type="dxa"/>
              <w:left w:w="100" w:type="dxa"/>
              <w:right w:w="100" w:type="dxa"/>
            </w:tcMar>
          </w:tcPr>
          <w:p>
            <w:r>
              <w:rPr>
                <w:color w:val="2D3748"/>
                <w:sz w:val="19"/>
              </w:rPr>
              <w:t>Technical Progress Report: Architecture, ML/DL Training, Audit &amp; Risk Engine</w:t>
            </w:r>
          </w:p>
        </w:tc>
      </w:tr>
    </w:tbl>
    <w:p>
      <w:r>
        <w:br w:type="page"/>
      </w:r>
    </w:p>
    <w:p>
      <w:pPr>
        <w:pStyle w:val="Heading1"/>
        <w:spacing w:before="320" w:after="160"/>
      </w:pPr>
      <w:r>
        <w:rPr>
          <w:rFonts w:ascii="Calibri" w:hAnsi="Calibri"/>
          <w:color w:val="1A365D"/>
        </w:rPr>
        <w:t>1. Executive Summary &amp; Project Charter</w:t>
      </w:r>
    </w:p>
    <w:p>
      <w:r>
        <w:t>A.R.G.U.S. (Automated Risk Assessment &amp; Anomaly Detection System) is a modular AI-based fraud detection and transaction risk monitoring system engineered for financial services, mobile money platforms, and point-of-sale payment gateways. In modern digital finance, static rule engines struggle with binary cutoffs that either generate excessive false positives or miss novel fraudulent exfiltration patterns. A.R.G.U.S. addresses this by synthesizing supervised classification, tree-based unsupervised anomaly detection, and deep autoencoder reconstruction error into a normalized, continuous Risk Score (0 to 100) paired with an operational tri-state decision policy: APPROVE, REVIEW, and BLOCK.</w:t>
      </w:r>
    </w:p>
    <w:p>
      <w:r>
        <w:t>This document serves as the official Technical Progress Report for Milestones 0 through 4, detailing the engineering progress completed during development:</w:t>
        <w:br/>
        <w:t>• Milestone 0 (Environment Initialization): Established a reproducible Python 3.13.7 virtual environment, verified compatibility across PyTorch, XGBoost, Scikit-learn, and FastAPI, and configured strict Git repository hygiene.</w:t>
        <w:br/>
        <w:t>• Milestone 1 (PaySim Acquisition &amp; EDA): Performed empirical exploratory data analysis on the 6.36-million row PaySim synthetic dataset, documenting 100% fraud concentration in TRANSFER and CASH_OUT, 97.55% sender account liquidation, and a 773.7:1 extreme class imbalance.</w:t>
        <w:br/>
        <w:t>• Milestone 2 (Feature Engineering &amp; Splitting): Engineered an 18-feature domain pipeline, isolated targets to eliminate leakage, established a chronologically partitioned Train (Steps 1–520), Validation (Steps 521–631), and Test (Steps 632–743) split, and fitted the feature scaler strictly on training data.</w:t>
        <w:br/>
        <w:t>• Milestone 3 (Model Preparation &amp; Training): Implemented and trained four complementary models: Logistic Regression, XGBoost, Isolation Forest, and a PyTorch Deep Autoencoder (18 → 64 → 32 → 16 → 32 → 64 → 18).</w:t>
        <w:br/>
        <w:t>• Milestone 3A (Forensic Model Audit): Investigated the near-perfect XGBoost metrics, attributed 92.25% of feature gain to PaySim's deterministic liquidation rules, audited the singular test false negative (row 3583), and resolved a PyTorch tensor writability warning without retraining.</w:t>
        <w:br/>
        <w:t>• Milestone 4 (Risk Scoring &amp; Decision Engine): Implemented a weighted multi-signal aggregator (0.50 XGBoost, 0.20 Autoencoder, 0.15 Isolation Forest, 0.15 Logistic Regression), producing a 0–100 score that captured 99.92% of fraud cases with zero legitimate transactions blocked across 78,701 validation transactions.</w:t>
      </w:r>
    </w:p>
    <w:tbl>
      <w:tblPr>
        <w:tblW w:type="auto" w:w="0"/>
        <w:jc w:val="center"/>
        <w:tblLayout w:type="fixed"/>
        <w:tblLook w:firstColumn="1" w:firstRow="1" w:lastColumn="0" w:lastRow="0" w:noHBand="0" w:noVBand="1" w:val="04A0"/>
      </w:tblPr>
      <w:tblGrid>
        <w:gridCol w:w="9360"/>
      </w:tblGrid>
      <w:tr>
        <w:tc>
          <w:tcPr>
            <w:tcW w:type="dxa" w:w="9360"/>
            <w:shd w:fill="EDF2F7"/>
            <w:tcMar>
              <w:top w:w="140" w:type="dxa"/>
              <w:bottom w:w="140" w:type="dxa"/>
              <w:left w:w="200" w:type="dxa"/>
              <w:right w:w="140" w:type="dxa"/>
            </w:tcMar>
            <w:tcBorders>
              <w:top w:val="none"/>
              <w:left w:val="single" w:sz="36" w:space="0" w:color="3182CE"/>
              <w:bottom w:val="none"/>
              <w:right w:val="none"/>
            </w:tcBorders>
          </w:tcPr>
          <w:p>
            <w:pPr>
              <w:spacing w:before="0" w:after="80"/>
            </w:pPr>
            <w:r>
              <w:rPr>
                <w:rFonts w:ascii="Calibri" w:hAnsi="Calibri"/>
                <w:b/>
                <w:color w:val="2B6CB0"/>
                <w:sz w:val="21"/>
              </w:rPr>
              <w:t>📌 ACADEMIC INTEGRITY &amp; IMPLEMENTATION BOUNDARY</w:t>
              <w:br/>
            </w:r>
            <w:r>
              <w:rPr>
                <w:rFonts w:ascii="Calibri" w:hAnsi="Calibri"/>
                <w:color w:val="2D3748"/>
                <w:sz w:val="20"/>
              </w:rPr>
              <w:t>MANDATORY ARCHITECTURAL SCOPE &amp; INTEGRITY AUDIT:</w:t>
              <w:br/>
              <w:t>This progress report strictly distinguishes between what has been IMPLEMENTED, what has been ANALYZED / DESIGNED, and what is PLANNED / FUTURE:</w:t>
              <w:br/>
              <w:t>• IMPLEMENTED (Milestones 0–4): Environment setup, PaySim EDA, 18-feature pipeline, chronological dataset split, four trained ML/DL models, forensic audit, multi-signal Risk Engine, signal normalization, tri-state policy, and 20 unit tests.</w:t>
              <w:br/>
              <w:t>• ANALYZED / DESIGNED (Planned for Milestones 5–7): Relational 3NF PostgreSQL database schema, FastAPI REST API architecture, ESP32 edge IoT POS architecture, security mechanisms (JWT, HMAC-SHA256, TLS, RBAC), and OOP domain models.</w:t>
              <w:br/>
              <w:t>• PLANNED / FUTURE (Milestones 8–9): Live database migration, production REST service deployment, web analyst dashboard, hardware flashing of ESP32 microcontrollers, and continuous learning pipeline.</w:t>
            </w:r>
          </w:p>
        </w:tc>
      </w:tr>
    </w:tbl>
    <w:p>
      <w:pPr>
        <w:spacing w:before="0" w:after="80"/>
      </w:pPr>
    </w:p>
    <w:p>
      <w:pPr>
        <w:pStyle w:val="Heading2"/>
        <w:spacing w:before="240" w:after="120"/>
      </w:pPr>
      <w:r>
        <w:rPr>
          <w:rFonts w:ascii="Calibri" w:hAnsi="Calibri"/>
          <w:color w:val="2B6CB0"/>
        </w:rPr>
        <w:t>Academic Subject Integration Framework</w:t>
      </w:r>
    </w:p>
    <w:p>
      <w:r>
        <w:t>A.R.G.U.S. directly integrates the six core subjects of the B.Tech Artificial Intelligence and Machine Learning curriculum, demonstrating rigorous cross-disciplinary engineering:</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A365D"/>
            <w:tcMar>
              <w:top w:w="120" w:type="dxa"/>
              <w:bottom w:w="120" w:type="dxa"/>
              <w:left w:w="140" w:type="dxa"/>
              <w:right w:w="140" w:type="dxa"/>
            </w:tcMar>
          </w:tcPr>
          <w:p>
            <w:pPr>
              <w:jc w:val="left"/>
            </w:pPr>
            <w:r>
              <w:rPr>
                <w:rFonts w:ascii="Calibri" w:hAnsi="Calibri"/>
                <w:b/>
                <w:color w:val="FFFFFF"/>
                <w:sz w:val="19"/>
              </w:rPr>
              <w:t>Curricular Discipline</w:t>
            </w:r>
          </w:p>
        </w:tc>
        <w:tc>
          <w:tcPr>
            <w:tcW w:type="dxa" w:w="2592"/>
            <w:shd w:fill="1A365D"/>
            <w:tcMar>
              <w:top w:w="120" w:type="dxa"/>
              <w:bottom w:w="120" w:type="dxa"/>
              <w:left w:w="140" w:type="dxa"/>
              <w:right w:w="140" w:type="dxa"/>
            </w:tcMar>
          </w:tcPr>
          <w:p>
            <w:pPr>
              <w:jc w:val="left"/>
            </w:pPr>
            <w:r>
              <w:rPr>
                <w:rFonts w:ascii="Calibri" w:hAnsi="Calibri"/>
                <w:b/>
                <w:color w:val="FFFFFF"/>
                <w:sz w:val="19"/>
              </w:rPr>
              <w:t>Core Academic Concepts</w:t>
            </w:r>
          </w:p>
        </w:tc>
        <w:tc>
          <w:tcPr>
            <w:tcW w:type="dxa" w:w="4176"/>
            <w:shd w:fill="1A365D"/>
            <w:tcMar>
              <w:top w:w="120" w:type="dxa"/>
              <w:bottom w:w="120" w:type="dxa"/>
              <w:left w:w="140" w:type="dxa"/>
              <w:right w:w="140" w:type="dxa"/>
            </w:tcMar>
          </w:tcPr>
          <w:p>
            <w:pPr>
              <w:jc w:val="left"/>
            </w:pPr>
            <w:r>
              <w:rPr>
                <w:rFonts w:ascii="Calibri" w:hAnsi="Calibri"/>
                <w:b/>
                <w:color w:val="FFFFFF"/>
                <w:sz w:val="19"/>
              </w:rPr>
              <w:t>Concrete A.R.G.U.S. Implementation &amp; Architecture</w:t>
            </w:r>
          </w:p>
        </w:tc>
      </w:tr>
      <w:tr>
        <w:tc>
          <w:tcPr>
            <w:tcW w:type="dxa" w:w="2592"/>
            <w:shd w:fill="F7FAFC"/>
            <w:tcMar>
              <w:top w:w="80" w:type="dxa"/>
              <w:bottom w:w="80" w:type="dxa"/>
              <w:left w:w="120" w:type="dxa"/>
              <w:right w:w="120" w:type="dxa"/>
            </w:tcMar>
          </w:tcPr>
          <w:p>
            <w:r>
              <w:rPr>
                <w:rFonts w:ascii="Calibri" w:hAnsi="Calibri"/>
                <w:color w:val="2D3748"/>
                <w:sz w:val="18"/>
              </w:rPr>
              <w:t>1. Deep Learning</w:t>
            </w:r>
          </w:p>
        </w:tc>
        <w:tc>
          <w:tcPr>
            <w:tcW w:type="dxa" w:w="2592"/>
            <w:shd w:fill="F7FAFC"/>
            <w:tcMar>
              <w:top w:w="80" w:type="dxa"/>
              <w:bottom w:w="80" w:type="dxa"/>
              <w:left w:w="120" w:type="dxa"/>
              <w:right w:w="120" w:type="dxa"/>
            </w:tcMar>
          </w:tcPr>
          <w:p>
            <w:r>
              <w:rPr>
                <w:rFonts w:ascii="Calibri" w:hAnsi="Calibri"/>
                <w:color w:val="2D3748"/>
                <w:sz w:val="18"/>
              </w:rPr>
              <w:t>Autoencoders, encoder/decoder networks, latent representations, reconstruction error, unsupervised anomaly detection.</w:t>
            </w:r>
          </w:p>
        </w:tc>
        <w:tc>
          <w:tcPr>
            <w:tcW w:type="dxa" w:w="4176"/>
            <w:shd w:fill="F7FAFC"/>
            <w:tcMar>
              <w:top w:w="80" w:type="dxa"/>
              <w:bottom w:w="80" w:type="dxa"/>
              <w:left w:w="120" w:type="dxa"/>
              <w:right w:w="120" w:type="dxa"/>
            </w:tcMar>
          </w:tcPr>
          <w:p>
            <w:r>
              <w:rPr>
                <w:rFonts w:ascii="Calibri" w:hAnsi="Calibri"/>
                <w:color w:val="2D3748"/>
                <w:sz w:val="18"/>
              </w:rPr>
              <w:t>[IMPLEMENTED] PyTorch Deep Autoencoder (18 → 64 → 32 → 16 → 32 → 64 → 18) with LeakyReLU and BatchNorm1d, trained on normal transactions to identify anomalies via MSE reconstruction loss.</w:t>
            </w:r>
          </w:p>
        </w:tc>
      </w:tr>
      <w:tr>
        <w:tc>
          <w:tcPr>
            <w:tcW w:type="dxa" w:w="2592"/>
            <w:shd w:fill="FFFFFF"/>
            <w:tcMar>
              <w:top w:w="80" w:type="dxa"/>
              <w:bottom w:w="80" w:type="dxa"/>
              <w:left w:w="120" w:type="dxa"/>
              <w:right w:w="120" w:type="dxa"/>
            </w:tcMar>
          </w:tcPr>
          <w:p>
            <w:r>
              <w:rPr>
                <w:rFonts w:ascii="Calibri" w:hAnsi="Calibri"/>
                <w:color w:val="2D3748"/>
                <w:sz w:val="18"/>
              </w:rPr>
              <w:t>2. DBMS</w:t>
            </w:r>
          </w:p>
        </w:tc>
        <w:tc>
          <w:tcPr>
            <w:tcW w:type="dxa" w:w="2592"/>
            <w:shd w:fill="FFFFFF"/>
            <w:tcMar>
              <w:top w:w="80" w:type="dxa"/>
              <w:bottom w:w="80" w:type="dxa"/>
              <w:left w:w="120" w:type="dxa"/>
              <w:right w:w="120" w:type="dxa"/>
            </w:tcMar>
          </w:tcPr>
          <w:p>
            <w:r>
              <w:rPr>
                <w:rFonts w:ascii="Calibri" w:hAnsi="Calibri"/>
                <w:color w:val="2D3748"/>
                <w:sz w:val="18"/>
              </w:rPr>
              <w:t>Relational modelling, 3NF normalization, primary/foreign keys, ACID transactions, persistence, audit logging.</w:t>
            </w:r>
          </w:p>
        </w:tc>
        <w:tc>
          <w:tcPr>
            <w:tcW w:type="dxa" w:w="4176"/>
            <w:shd w:fill="FFFFFF"/>
            <w:tcMar>
              <w:top w:w="80" w:type="dxa"/>
              <w:bottom w:w="80" w:type="dxa"/>
              <w:left w:w="120" w:type="dxa"/>
              <w:right w:w="120" w:type="dxa"/>
            </w:tcMar>
          </w:tcPr>
          <w:p>
            <w:r>
              <w:rPr>
                <w:rFonts w:ascii="Calibri" w:hAnsi="Calibri"/>
                <w:color w:val="2D3748"/>
                <w:sz w:val="18"/>
              </w:rPr>
              <w:t>[DESIGNED / PLANNED — Milestone 5] 3NF schema designed across 11 entities (users, transactions, devices, merchants, risk_assessments, audit_logs, etc.) for PostgreSQL integration.</w:t>
            </w:r>
          </w:p>
        </w:tc>
      </w:tr>
      <w:tr>
        <w:tc>
          <w:tcPr>
            <w:tcW w:type="dxa" w:w="2592"/>
            <w:shd w:fill="F7FAFC"/>
            <w:tcMar>
              <w:top w:w="80" w:type="dxa"/>
              <w:bottom w:w="80" w:type="dxa"/>
              <w:left w:w="120" w:type="dxa"/>
              <w:right w:w="120" w:type="dxa"/>
            </w:tcMar>
          </w:tcPr>
          <w:p>
            <w:r>
              <w:rPr>
                <w:rFonts w:ascii="Calibri" w:hAnsi="Calibri"/>
                <w:color w:val="2D3748"/>
                <w:sz w:val="18"/>
              </w:rPr>
              <w:t>3. Computational Techniques</w:t>
            </w:r>
          </w:p>
        </w:tc>
        <w:tc>
          <w:tcPr>
            <w:tcW w:type="dxa" w:w="2592"/>
            <w:shd w:fill="F7FAFC"/>
            <w:tcMar>
              <w:top w:w="80" w:type="dxa"/>
              <w:bottom w:w="80" w:type="dxa"/>
              <w:left w:w="120" w:type="dxa"/>
              <w:right w:w="120" w:type="dxa"/>
            </w:tcMar>
          </w:tcPr>
          <w:p>
            <w:r>
              <w:rPr>
                <w:rFonts w:ascii="Calibri" w:hAnsi="Calibri"/>
                <w:color w:val="2D3748"/>
                <w:sz w:val="18"/>
              </w:rPr>
              <w:t>Feature transformations, logarithmic compression, scaling/normalization, cyclical mathematical encoding, statistical analysis, weighted aggregation.</w:t>
            </w:r>
          </w:p>
        </w:tc>
        <w:tc>
          <w:tcPr>
            <w:tcW w:type="dxa" w:w="4176"/>
            <w:shd w:fill="F7FAFC"/>
            <w:tcMar>
              <w:top w:w="80" w:type="dxa"/>
              <w:bottom w:w="80" w:type="dxa"/>
              <w:left w:w="120" w:type="dxa"/>
              <w:right w:w="120" w:type="dxa"/>
            </w:tcMar>
          </w:tcPr>
          <w:p>
            <w:r>
              <w:rPr>
                <w:rFonts w:ascii="Calibri" w:hAnsi="Calibri"/>
                <w:color w:val="2D3748"/>
                <w:sz w:val="18"/>
              </w:rPr>
              <w:t>[IMPLEMENTED] Logarithmic amount compression, Z-score standardization, cyclical trigonometric encoding (sin/cos of hour), normal error distribution modeling (mean, std, P95), and weighted linear risk aggregation.</w:t>
            </w:r>
          </w:p>
        </w:tc>
      </w:tr>
      <w:tr>
        <w:tc>
          <w:tcPr>
            <w:tcW w:type="dxa" w:w="2592"/>
            <w:shd w:fill="FFFFFF"/>
            <w:tcMar>
              <w:top w:w="80" w:type="dxa"/>
              <w:bottom w:w="80" w:type="dxa"/>
              <w:left w:w="120" w:type="dxa"/>
              <w:right w:w="120" w:type="dxa"/>
            </w:tcMar>
          </w:tcPr>
          <w:p>
            <w:r>
              <w:rPr>
                <w:rFonts w:ascii="Calibri" w:hAnsi="Calibri"/>
                <w:color w:val="2D3748"/>
                <w:sz w:val="18"/>
              </w:rPr>
              <w:t>4. Information Security</w:t>
            </w:r>
          </w:p>
        </w:tc>
        <w:tc>
          <w:tcPr>
            <w:tcW w:type="dxa" w:w="2592"/>
            <w:shd w:fill="FFFFFF"/>
            <w:tcMar>
              <w:top w:w="80" w:type="dxa"/>
              <w:bottom w:w="80" w:type="dxa"/>
              <w:left w:w="120" w:type="dxa"/>
              <w:right w:w="120" w:type="dxa"/>
            </w:tcMar>
          </w:tcPr>
          <w:p>
            <w:r>
              <w:rPr>
                <w:rFonts w:ascii="Calibri" w:hAnsi="Calibri"/>
                <w:color w:val="2D3748"/>
                <w:sz w:val="18"/>
              </w:rPr>
              <w:t>Authentication, authorization, RBAC, API validation, password hashing, HMAC payload integrity, secure communications, audit trails.</w:t>
            </w:r>
          </w:p>
        </w:tc>
        <w:tc>
          <w:tcPr>
            <w:tcW w:type="dxa" w:w="4176"/>
            <w:shd w:fill="FFFFFF"/>
            <w:tcMar>
              <w:top w:w="80" w:type="dxa"/>
              <w:bottom w:w="80" w:type="dxa"/>
              <w:left w:w="120" w:type="dxa"/>
              <w:right w:w="120" w:type="dxa"/>
            </w:tcMar>
          </w:tcPr>
          <w:p>
            <w:r>
              <w:rPr>
                <w:rFonts w:ascii="Calibri" w:hAnsi="Calibri"/>
                <w:color w:val="2D3748"/>
                <w:sz w:val="18"/>
              </w:rPr>
              <w:t>[IMPLEMENTED: M0–M4] Environment secret isolation (.env.example), .gitignore shielding, deterministic seeds. [DESIGNED / PLANNED: M5–M7] JWT bearer auth, RBAC, HMAC-SHA256 POS signing, TLS 1.3, SHA-256 audit chaining.</w:t>
            </w:r>
          </w:p>
        </w:tc>
      </w:tr>
      <w:tr>
        <w:tc>
          <w:tcPr>
            <w:tcW w:type="dxa" w:w="2592"/>
            <w:shd w:fill="F7FAFC"/>
            <w:tcMar>
              <w:top w:w="80" w:type="dxa"/>
              <w:bottom w:w="80" w:type="dxa"/>
              <w:left w:w="120" w:type="dxa"/>
              <w:right w:w="120" w:type="dxa"/>
            </w:tcMar>
          </w:tcPr>
          <w:p>
            <w:r>
              <w:rPr>
                <w:rFonts w:ascii="Calibri" w:hAnsi="Calibri"/>
                <w:color w:val="2D3748"/>
                <w:sz w:val="18"/>
              </w:rPr>
              <w:t>5. IoT (Internet of Things)</w:t>
            </w:r>
          </w:p>
        </w:tc>
        <w:tc>
          <w:tcPr>
            <w:tcW w:type="dxa" w:w="2592"/>
            <w:shd w:fill="F7FAFC"/>
            <w:tcMar>
              <w:top w:w="80" w:type="dxa"/>
              <w:bottom w:w="80" w:type="dxa"/>
              <w:left w:w="120" w:type="dxa"/>
              <w:right w:w="120" w:type="dxa"/>
            </w:tcMar>
          </w:tcPr>
          <w:p>
            <w:r>
              <w:rPr>
                <w:rFonts w:ascii="Calibri" w:hAnsi="Calibri"/>
                <w:color w:val="2D3748"/>
                <w:sz w:val="18"/>
              </w:rPr>
              <w:t>Hardware telemetry, edge point-of-sale terminals, tamper sensors, secure payload transmission, RTC timestamps.</w:t>
            </w:r>
          </w:p>
        </w:tc>
        <w:tc>
          <w:tcPr>
            <w:tcW w:type="dxa" w:w="4176"/>
            <w:shd w:fill="F7FAFC"/>
            <w:tcMar>
              <w:top w:w="80" w:type="dxa"/>
              <w:bottom w:w="80" w:type="dxa"/>
              <w:left w:w="120" w:type="dxa"/>
              <w:right w:w="120" w:type="dxa"/>
            </w:tcMar>
          </w:tcPr>
          <w:p>
            <w:r>
              <w:rPr>
                <w:rFonts w:ascii="Calibri" w:hAnsi="Calibri"/>
                <w:color w:val="2D3748"/>
                <w:sz w:val="18"/>
              </w:rPr>
              <w:t>[DESIGNED / PLANNED — Milestone 7] Planned ESP32/POS integration with hardware tamper switch, device_id, merchant_id, RTC timestamps, and HMAC payload signing. Physical ESP32 integration is pending.</w:t>
            </w:r>
          </w:p>
        </w:tc>
      </w:tr>
      <w:tr>
        <w:tc>
          <w:tcPr>
            <w:tcW w:type="dxa" w:w="2592"/>
            <w:shd w:fill="FFFFFF"/>
            <w:tcMar>
              <w:top w:w="80" w:type="dxa"/>
              <w:bottom w:w="80" w:type="dxa"/>
              <w:left w:w="120" w:type="dxa"/>
              <w:right w:w="120" w:type="dxa"/>
            </w:tcMar>
          </w:tcPr>
          <w:p>
            <w:r>
              <w:rPr>
                <w:rFonts w:ascii="Calibri" w:hAnsi="Calibri"/>
                <w:color w:val="2D3748"/>
                <w:sz w:val="18"/>
              </w:rPr>
              <w:t>6. OOPs (Object-Oriented Programming)</w:t>
            </w:r>
          </w:p>
        </w:tc>
        <w:tc>
          <w:tcPr>
            <w:tcW w:type="dxa" w:w="2592"/>
            <w:shd w:fill="FFFFFF"/>
            <w:tcMar>
              <w:top w:w="80" w:type="dxa"/>
              <w:bottom w:w="80" w:type="dxa"/>
              <w:left w:w="120" w:type="dxa"/>
              <w:right w:w="120" w:type="dxa"/>
            </w:tcMar>
          </w:tcPr>
          <w:p>
            <w:r>
              <w:rPr>
                <w:rFonts w:ascii="Calibri" w:hAnsi="Calibri"/>
                <w:color w:val="2D3748"/>
                <w:sz w:val="18"/>
              </w:rPr>
              <w:t>Encapsulation, domain modeling, service abstractions, modular class hierarchies, separation of concerns.</w:t>
            </w:r>
          </w:p>
        </w:tc>
        <w:tc>
          <w:tcPr>
            <w:tcW w:type="dxa" w:w="4176"/>
            <w:shd w:fill="FFFFFF"/>
            <w:tcMar>
              <w:top w:w="80" w:type="dxa"/>
              <w:bottom w:w="80" w:type="dxa"/>
              <w:left w:w="120" w:type="dxa"/>
              <w:right w:w="120" w:type="dxa"/>
            </w:tcMar>
          </w:tcPr>
          <w:p>
            <w:r>
              <w:rPr>
                <w:rFonts w:ascii="Calibri" w:hAnsi="Calibri"/>
                <w:color w:val="2D3748"/>
                <w:sz w:val="18"/>
              </w:rPr>
              <w:t>[IMPLEMENTED] TransactionRiskEngine, ModelSignalNormalizer, RiskAssessment, DeepAutoencoder, RiskEngineConfig. [DESIGNED / PLANNED] Domain entities (User, Transaction, Device) and services (TransactionService, FraudDetectionService).</w:t>
            </w:r>
          </w:p>
        </w:tc>
      </w:tr>
    </w:tbl>
    <w:p/>
    <w:p>
      <w:r>
        <w:br w:type="page"/>
      </w:r>
    </w:p>
    <w:p>
      <w:pPr>
        <w:pStyle w:val="Heading1"/>
        <w:spacing w:before="320" w:after="160"/>
      </w:pPr>
      <w:r>
        <w:rPr>
          <w:rFonts w:ascii="Calibri" w:hAnsi="Calibri"/>
          <w:color w:val="1A365D"/>
        </w:rPr>
        <w:t>2. System Architecture &amp; Component Flow</w:t>
      </w:r>
    </w:p>
    <w:p>
      <w:r>
        <w:t>A.R.G.U.S. is structured as a modular processing pipeline. Incoming transactions pass through validation, feature engineering, parallel model inference, and weighted risk aggregation before producing an operational decision. Components currently implemented versus planned for future milestones are clearly demarcated below:</w:t>
      </w:r>
    </w:p>
    <w:tbl>
      <w:tblPr>
        <w:tblW w:type="auto" w:w="0"/>
        <w:jc w:val="center"/>
        <w:tblLook w:firstColumn="1" w:firstRow="1" w:lastColumn="0" w:lastRow="0" w:noHBand="0" w:noVBand="1" w:val="04A0"/>
      </w:tblPr>
      <w:tblGrid>
        <w:gridCol w:w="9360"/>
      </w:tblGrid>
      <w:tr>
        <w:tc>
          <w:tcPr>
            <w:tcW w:type="dxa" w:w="9360"/>
            <w:shd w:fill="1A202C"/>
            <w:tcMar>
              <w:top w:w="140" w:type="dxa"/>
              <w:bottom w:w="140" w:type="dxa"/>
              <w:left w:w="160" w:type="dxa"/>
              <w:right w:w="160" w:type="dxa"/>
            </w:tcMar>
          </w:tcPr>
          <w:p>
            <w:r>
              <w:rPr>
                <w:rFonts w:ascii="Consolas" w:hAnsi="Consolas"/>
                <w:color w:val="E2E8F0"/>
                <w:sz w:val="15"/>
              </w:rPr>
              <w:t xml:space="preserve">                    ┌────────────────────────────────────────────────┐</w:t>
              <w:br/>
              <w:t xml:space="preserve">                    │               TRANSACTION SOURCES              │</w:t>
              <w:br/>
              <w:t xml:space="preserve">                    │   Web / Mobile / Payment Gateway / IoT POS     │ [PLANNED / M7]</w:t>
              <w:br/>
              <w:t xml:space="preserve">                    └───────────────────────┬────────────────────────┘</w:t>
              <w:br/>
              <w:t xml:space="preserve">                                            │ HTTPS / TLS [PLANNED / M6]</w:t>
              <w:br/>
              <w:t xml:space="preserve">                                            ▼</w:t>
              <w:br/>
              <w:t xml:space="preserve">                    ┌────────────────────────────────────────────────┐</w:t>
              <w:br/>
              <w:t xml:space="preserve">                    │              FASTAPI / API LAYER               │</w:t>
              <w:br/>
              <w:t xml:space="preserve">                    │      Pydantic Validation &amp; Security Gateway    │ [DESIGNED / M6]</w:t>
              <w:br/>
              <w:t xml:space="preserve">                    └───────────────────────┬────────────────────────┘</w:t>
              <w:br/>
              <w:t xml:space="preserve">                                            │ Validated Payload</w:t>
              <w:br/>
              <w:t xml:space="preserve">                                            ▼</w:t>
              <w:br/>
              <w:t xml:space="preserve">                    ┌────────────────────────────────────────────────┐</w:t>
              <w:br/>
              <w:t xml:space="preserve">                    │              FEATURE ENGINEERING               │</w:t>
              <w:br/>
              <w:t xml:space="preserve">                    │    18 Features &amp; Behavioral Domain Signals     │ [IMPLEMENTED / M2]</w:t>
              <w:br/>
              <w:t xml:space="preserve">                    └───────────────────────┬────────────────────────┘</w:t>
              <w:br/>
              <w:t xml:space="preserve">                                            │</w:t>
              <w:br/>
              <w:t xml:space="preserve">                 ┌──────────────────────────┼──────────────────────────┐</w:t>
              <w:br/>
              <w:t xml:space="preserve">                 ▼                          ▼                          ▼</w:t>
              <w:br/>
              <w:t xml:space="preserve">        ┌─────────────────┐        ┌─────────────────┐        ┌─────────────────┐</w:t>
              <w:br/>
              <w:t xml:space="preserve">        │     XGBOOST     │        │ ISOLATION FOREST│        │ DEEP AUTOENCODER│</w:t>
              <w:br/>
              <w:t xml:space="preserve">        │   CLASSIFIER    │        │  Tree Isolation │        │ Reconstruction  │</w:t>
              <w:br/>
              <w:t xml:space="preserve">        │  Weight: 0.50   │        │  Weight: 0.15   │        │  Weight: 0.20   │</w:t>
              <w:br/>
              <w:t xml:space="preserve">        │  [IMPLEMENTED]  │        │  [IMPLEMENTED]  │        │  [IMPLEMENTED]  │</w:t>
              <w:br/>
              <w:t xml:space="preserve">        └────────┬────────┘        └────────┬────────┘        └────────┬────────┘</w:t>
              <w:br/>
              <w:t xml:space="preserve">                 │                          │                          │</w:t>
              <w:br/>
              <w:t xml:space="preserve">                 └──────────────────────────┼──────────────────────────┘</w:t>
              <w:br/>
              <w:t xml:space="preserve">                                            │   ┌─────────────────┐</w:t>
              <w:br/>
              <w:t xml:space="preserve">                                            │   │    LOGISTIC     │</w:t>
              <w:br/>
              <w:t xml:space="preserve">                                            ├───►   REGRESSION    │</w:t>
              <w:br/>
              <w:t xml:space="preserve">                                            │   │  Weight: 0.15   │</w:t>
              <w:br/>
              <w:t xml:space="preserve">                                            │   │  [IMPLEMENTED]  │</w:t>
              <w:br/>
              <w:t xml:space="preserve">                                            │   └─────────────────┘</w:t>
              <w:br/>
              <w:t xml:space="preserve">                                            ▼</w:t>
              <w:br/>
              <w:t xml:space="preserve">                    ┌────────────────────────────────────────────────┐</w:t>
              <w:br/>
              <w:t xml:space="preserve">                    │                  RISK ENGINE                   │</w:t>
              <w:br/>
              <w:t xml:space="preserve">                    │   Signal Normalization &amp; Weighted Aggregation  │ [IMPLEMENTED / M4]</w:t>
              <w:br/>
              <w:t xml:space="preserve">                    └───────────────────────┬────────────────────────┘</w:t>
              <w:br/>
              <w:t xml:space="preserve">                                            │</w:t>
              <w:br/>
              <w:t xml:space="preserve">                                            ▼</w:t>
              <w:br/>
              <w:t xml:space="preserve">                    ┌────────────────────────────────────────────────┐</w:t>
              <w:br/>
              <w:t xml:space="preserve">                    │               RISK SCORE (0–100)               │ [IMPLEMENTED / M4]</w:t>
              <w:br/>
              <w:t xml:space="preserve">                    └───────────────────────┬────────────────────────┘</w:t>
              <w:br/>
              <w:t xml:space="preserve">                                            │</w:t>
              <w:br/>
              <w:t xml:space="preserve">                 ┌──────────────────────────┼──────────────────────────┐</w:t>
              <w:br/>
              <w:t xml:space="preserve">                 ▼                          ▼                          ▼</w:t>
              <w:br/>
              <w:t xml:space="preserve">              APPROVE                     REVIEW                     BLOCK</w:t>
              <w:br/>
              <w:t xml:space="preserve">           (Score &lt; 40)             (40 &lt;= Score &lt; 70)           (Score &gt;= 70)</w:t>
              <w:br/>
              <w:t xml:space="preserve">       Immediate Settlement        Analyst Investigation       Policy Rejection</w:t>
              <w:br/>
            </w:r>
          </w:p>
        </w:tc>
      </w:tr>
    </w:tbl>
    <w:p/>
    <w:p>
      <w:r>
        <w:t>Current End-to-End Processing Flow:</w:t>
        <w:br/>
        <w:t>1. Ingress &amp; Routing: A transaction payload containing transaction type, monetary amount, sender/recipient identifiers, and account balances enters the processing pipeline.</w:t>
        <w:br/>
        <w:t>2. Handling Non-Modeled Types: Because the current supervised fraud-modeling subspace contains TRANSFER and CASH_OUT transactions, the remaining transaction types (PAYMENT, CASH_IN, DEBIT) will be handled through a dedicated low-latency business-rule path. The exact rules, safeguards, and operational policy will be finalized during API integration. [DESIGNED / PLANNED]</w:t>
        <w:br/>
        <w:t>3. Feature Extraction: For TRANSFER and CASH_OUT transactions, the pipeline computes 18 engineered features, transforms monetary values via natural logarithm, derives cyclical temporal encodings, and calculates ledger balance discrepancies. [IMPLEMENTED]</w:t>
        <w:br/>
        <w:t>4. Multi-Model Inference: The 18 features are evaluated concurrently by XGBoost, Logistic Regression, Isolation Forest, and Deep Autoencoder. [IMPLEMENTED]</w:t>
        <w:br/>
        <w:t>5. Normalization: Raw inference outputs (probabilities, decision margins, reconstruction MSE) are mapped onto a standard [0.0, 1.0] scale. [IMPLEMENTED]</w:t>
        <w:br/>
        <w:t>6. Risk Aggregation: Signals are combined via a linear weighted sum and multiplied by 100 to yield a continuous Risk Score. [IMPLEMENTED]</w:t>
        <w:br/>
        <w:t>7. Decision &amp; Explainability: The score triggers an automated tri-state policy (Approve / Review / Block), paired with human-readable risk factors and observable evidence. [IMPLEMENTED]</w:t>
      </w:r>
    </w:p>
    <w:p>
      <w:r>
        <w:br w:type="page"/>
      </w:r>
    </w:p>
    <w:p>
      <w:pPr>
        <w:pStyle w:val="Heading1"/>
        <w:spacing w:before="320" w:after="160"/>
      </w:pPr>
      <w:r>
        <w:rPr>
          <w:rFonts w:ascii="Calibri" w:hAnsi="Calibri"/>
          <w:color w:val="1A365D"/>
        </w:rPr>
        <w:t>3. Milestone 0: Environment &amp; Repository Setup</w:t>
      </w:r>
    </w:p>
    <w:p>
      <w:r>
        <w:t>Reproducibility, dependency isolation, and version-controlled hygiene form the foundation of scientific software engineering. In Milestone 0, the project workspace was initialized from an empty state into a disciplined, version-controlled architecture.</w:t>
      </w:r>
    </w:p>
    <w:p>
      <w:r>
        <w:t>Host Environment &amp; Toolchain Specifications:</w:t>
        <w:br/>
        <w:t>• Operating System: Microsoft Windows 10/11 (64-bit architecture), PowerShell Core.</w:t>
        <w:br/>
        <w:t>• Python Runtime: Python 3.13.7 (64-bit executable) in an isolated virtual environment (.venv/).</w:t>
        <w:br/>
        <w:t>• Version Control: Git 2.55.0.windows.2, repository initialized at commit 0f1b9c7.</w:t>
      </w:r>
    </w:p>
    <w:p>
      <w:r>
        <w:t>Dependency Verification &amp; Ecosystem Compatibility:</w:t>
        <w:br/>
        <w:t>Prior to constructing the pipeline, an automated dependency verification confirmed that official pre-compiled CPython 3.13 x86_64 binary wheels exist on PyPI for all required libraries, avoiding local compilation overhead:</w:t>
        <w:br/>
        <w:t>• PyTorch (torch 2.14.0+cpu): Pre-compiled binary wheel installed cleanly; tensor operations and autograd verified.</w:t>
        <w:br/>
        <w:t>• XGBoost (xgboost 3.4.1): Native C++ gradient boosting engine with OpenMP multi-threading verified on 64-bit Windows.</w:t>
        <w:br/>
        <w:t>• Scikit-learn (scikit-learn 1.9.1): Pre-compiled Cython extensions verified for IsolationForest and LogisticRegression.</w:t>
        <w:br/>
        <w:t>• Data Wrangling: NumPy 2.5.3 (C-API 2.0 compatible) and Pandas 3.0.5 linked successfully.</w:t>
        <w:br/>
        <w:t>• Database &amp; API: SQLAlchemy 2.0.52, psycopg2-binary 2.9.13, and FastAPI 0.128.8 pinned in requirements.txt.</w:t>
      </w:r>
    </w:p>
    <w:p>
      <w:r>
        <w:t>Repository Architecture &amp; Security Guardrails:</w:t>
        <w:br/>
        <w:t>To prevent accidental leaks of credentials, multi-gigabyte datasets, or large binary checkpoints, a strict .gitignore was established, excluding: virtual environments (.venv/), raw and processed datasets (data/raw/*, data/processed/*), serialized model checkpoints (models/* except metadata JSON), environment secrets (.env), and SQLite/temporary databases. Clean .gitkeep markers preserve the directory tree across backend/, ml_engine/, database/, iot_firmware/, tests/, scripts/, and docs/.</w:t>
      </w:r>
    </w:p>
    <w:p>
      <w:r>
        <w:br w:type="page"/>
      </w:r>
    </w:p>
    <w:p>
      <w:pPr>
        <w:pStyle w:val="Heading1"/>
        <w:spacing w:before="320" w:after="160"/>
      </w:pPr>
      <w:r>
        <w:rPr>
          <w:rFonts w:ascii="Calibri" w:hAnsi="Calibri"/>
          <w:color w:val="1A365D"/>
        </w:rPr>
        <w:t>4. Milestone 1: PaySim Dataset Acquisition &amp; EDA</w:t>
      </w:r>
    </w:p>
    <w:p>
      <w:r>
        <w:t>PaySim is a synthetic mobile-money transaction dataset generated using the PaySim multi-agent simulator and based on aggregated characteristics of real financial activity (Lopez-Rojas et al.). While IEEE-CIS contains 434 heavily anonymized features with extensive missingness, PaySim provides 11 transparent columns and explicit entity relationships (nameOrig, nameDest) that directly map into relational database schemas. We emphasize that PaySim is a synthetic simulation; A.R.G.U.S. was not trained directly on real banking customer records.</w:t>
      </w:r>
    </w:p>
    <w:tbl>
      <w:tblPr>
        <w:tblW w:type="auto" w:w="0"/>
        <w:jc w:val="center"/>
        <w:tblLayout w:type="fixed"/>
        <w:tblLook w:firstColumn="1" w:firstRow="1" w:lastColumn="0" w:lastRow="0" w:noHBand="0" w:noVBand="1" w:val="04A0"/>
      </w:tblPr>
      <w:tblGrid>
        <w:gridCol w:w="9360"/>
      </w:tblGrid>
      <w:tr>
        <w:tc>
          <w:tcPr>
            <w:tcW w:type="dxa" w:w="9360"/>
            <w:shd w:fill="EDF2F7"/>
            <w:tcMar>
              <w:top w:w="140" w:type="dxa"/>
              <w:bottom w:w="140" w:type="dxa"/>
              <w:left w:w="200" w:type="dxa"/>
              <w:right w:w="140" w:type="dxa"/>
            </w:tcMar>
            <w:tcBorders>
              <w:top w:val="none"/>
              <w:left w:val="single" w:sz="36" w:space="0" w:color="3182CE"/>
              <w:bottom w:val="none"/>
              <w:right w:val="none"/>
            </w:tcBorders>
          </w:tcPr>
          <w:p>
            <w:pPr>
              <w:spacing w:before="0" w:after="80"/>
            </w:pPr>
            <w:r>
              <w:rPr>
                <w:rFonts w:ascii="Calibri" w:hAnsi="Calibri"/>
                <w:b/>
                <w:color w:val="2B6CB0"/>
                <w:sz w:val="21"/>
              </w:rPr>
              <w:t>📌 ACADEMIC RIGOR &amp; SIMULATION ACKNOWLEDGMENT</w:t>
              <w:br/>
            </w:r>
            <w:r>
              <w:rPr>
                <w:rFonts w:ascii="Calibri" w:hAnsi="Calibri"/>
                <w:color w:val="2D3748"/>
                <w:sz w:val="20"/>
              </w:rPr>
              <w:t>SYNTHETIC SIMULATOR LIMITATION NOTICE:</w:t>
              <w:br/>
              <w:t>PaySim is generated via agent-based simulation. Simulated fraud agents follow rigid, deterministic heuristics (specifically: draining sender accounts completely and often bypassing recipient balances). As established during the Milestone 3A audit, machine learning models achieve exceptionally high scores on PaySim because these synthetic rules are mathematically distinct. We explicitly do NOT present these scores as proof of real-world fraud detection performance, where human adversaries continuously mutate their strategies.</w:t>
            </w:r>
          </w:p>
        </w:tc>
      </w:tr>
    </w:tbl>
    <w:p>
      <w:pPr>
        <w:spacing w:before="0" w:after="80"/>
      </w:pP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A365D"/>
            <w:tcMar>
              <w:top w:w="120" w:type="dxa"/>
              <w:bottom w:w="120" w:type="dxa"/>
              <w:left w:w="140" w:type="dxa"/>
              <w:right w:w="140" w:type="dxa"/>
            </w:tcMar>
          </w:tcPr>
          <w:p>
            <w:pPr>
              <w:jc w:val="left"/>
            </w:pPr>
            <w:r>
              <w:rPr>
                <w:rFonts w:ascii="Calibri" w:hAnsi="Calibri"/>
                <w:b/>
                <w:color w:val="FFFFFF"/>
                <w:sz w:val="19"/>
              </w:rPr>
              <w:t>Column Name</w:t>
            </w:r>
          </w:p>
        </w:tc>
        <w:tc>
          <w:tcPr>
            <w:tcW w:type="dxa" w:w="1728"/>
            <w:shd w:fill="1A365D"/>
            <w:tcMar>
              <w:top w:w="120" w:type="dxa"/>
              <w:bottom w:w="120" w:type="dxa"/>
              <w:left w:w="140" w:type="dxa"/>
              <w:right w:w="140" w:type="dxa"/>
            </w:tcMar>
          </w:tcPr>
          <w:p>
            <w:pPr>
              <w:jc w:val="left"/>
            </w:pPr>
            <w:r>
              <w:rPr>
                <w:rFonts w:ascii="Calibri" w:hAnsi="Calibri"/>
                <w:b/>
                <w:color w:val="FFFFFF"/>
                <w:sz w:val="19"/>
              </w:rPr>
              <w:t>Data Type</w:t>
            </w:r>
          </w:p>
        </w:tc>
        <w:tc>
          <w:tcPr>
            <w:tcW w:type="dxa" w:w="2160"/>
            <w:shd w:fill="1A365D"/>
            <w:tcMar>
              <w:top w:w="120" w:type="dxa"/>
              <w:bottom w:w="120" w:type="dxa"/>
              <w:left w:w="140" w:type="dxa"/>
              <w:right w:w="140" w:type="dxa"/>
            </w:tcMar>
          </w:tcPr>
          <w:p>
            <w:pPr>
              <w:jc w:val="left"/>
            </w:pPr>
            <w:r>
              <w:rPr>
                <w:rFonts w:ascii="Calibri" w:hAnsi="Calibri"/>
                <w:b/>
                <w:color w:val="FFFFFF"/>
                <w:sz w:val="19"/>
              </w:rPr>
              <w:t>Missing (%)</w:t>
            </w:r>
          </w:p>
        </w:tc>
        <w:tc>
          <w:tcPr>
            <w:tcW w:type="dxa" w:w="2880"/>
            <w:shd w:fill="1A365D"/>
            <w:tcMar>
              <w:top w:w="120" w:type="dxa"/>
              <w:bottom w:w="120" w:type="dxa"/>
              <w:left w:w="140" w:type="dxa"/>
              <w:right w:w="140" w:type="dxa"/>
            </w:tcMar>
          </w:tcPr>
          <w:p>
            <w:pPr>
              <w:jc w:val="left"/>
            </w:pPr>
            <w:r>
              <w:rPr>
                <w:rFonts w:ascii="Calibri" w:hAnsi="Calibri"/>
                <w:b/>
                <w:color w:val="FFFFFF"/>
                <w:sz w:val="19"/>
              </w:rPr>
              <w:t>Observed Range / Semantics</w:t>
            </w:r>
          </w:p>
        </w:tc>
      </w:tr>
      <w:tr>
        <w:tc>
          <w:tcPr>
            <w:tcW w:type="dxa" w:w="2592"/>
            <w:shd w:fill="F7FAFC"/>
            <w:tcMar>
              <w:top w:w="80" w:type="dxa"/>
              <w:bottom w:w="80" w:type="dxa"/>
              <w:left w:w="120" w:type="dxa"/>
              <w:right w:w="120" w:type="dxa"/>
            </w:tcMar>
          </w:tcPr>
          <w:p>
            <w:r>
              <w:rPr>
                <w:rFonts w:ascii="Calibri" w:hAnsi="Calibri"/>
                <w:color w:val="2D3748"/>
                <w:sz w:val="18"/>
              </w:rPr>
              <w:t>step</w:t>
            </w:r>
          </w:p>
        </w:tc>
        <w:tc>
          <w:tcPr>
            <w:tcW w:type="dxa" w:w="1728"/>
            <w:shd w:fill="F7FAFC"/>
            <w:tcMar>
              <w:top w:w="80" w:type="dxa"/>
              <w:bottom w:w="80" w:type="dxa"/>
              <w:left w:w="120" w:type="dxa"/>
              <w:right w:w="120" w:type="dxa"/>
            </w:tcMar>
          </w:tcPr>
          <w:p>
            <w:r>
              <w:rPr>
                <w:rFonts w:ascii="Calibri" w:hAnsi="Calibri"/>
                <w:color w:val="2D3748"/>
                <w:sz w:val="18"/>
              </w:rPr>
              <w:t>int32</w:t>
            </w:r>
          </w:p>
        </w:tc>
        <w:tc>
          <w:tcPr>
            <w:tcW w:type="dxa" w:w="2160"/>
            <w:shd w:fill="F7FAFC"/>
            <w:tcMar>
              <w:top w:w="80" w:type="dxa"/>
              <w:bottom w:w="80" w:type="dxa"/>
              <w:left w:w="120" w:type="dxa"/>
              <w:right w:w="120" w:type="dxa"/>
            </w:tcMar>
          </w:tcPr>
          <w:p>
            <w:r>
              <w:rPr>
                <w:rFonts w:ascii="Calibri" w:hAnsi="Calibri"/>
                <w:color w:val="2D3748"/>
                <w:sz w:val="18"/>
              </w:rPr>
              <w:t>0.00%</w:t>
            </w:r>
          </w:p>
        </w:tc>
        <w:tc>
          <w:tcPr>
            <w:tcW w:type="dxa" w:w="2880"/>
            <w:shd w:fill="F7FAFC"/>
            <w:tcMar>
              <w:top w:w="80" w:type="dxa"/>
              <w:bottom w:w="80" w:type="dxa"/>
              <w:left w:w="120" w:type="dxa"/>
              <w:right w:w="120" w:type="dxa"/>
            </w:tcMar>
          </w:tcPr>
          <w:p>
            <w:r>
              <w:rPr>
                <w:rFonts w:ascii="Calibri" w:hAnsi="Calibri"/>
                <w:color w:val="2D3748"/>
                <w:sz w:val="18"/>
              </w:rPr>
              <w:t>1 to 743 (~30.95 days simulation, 1 step = 1 hour)</w:t>
            </w:r>
          </w:p>
        </w:tc>
      </w:tr>
      <w:tr>
        <w:tc>
          <w:tcPr>
            <w:tcW w:type="dxa" w:w="2592"/>
            <w:shd w:fill="FFFFFF"/>
            <w:tcMar>
              <w:top w:w="80" w:type="dxa"/>
              <w:bottom w:w="80" w:type="dxa"/>
              <w:left w:w="120" w:type="dxa"/>
              <w:right w:w="120" w:type="dxa"/>
            </w:tcMar>
          </w:tcPr>
          <w:p>
            <w:r>
              <w:rPr>
                <w:rFonts w:ascii="Calibri" w:hAnsi="Calibri"/>
                <w:color w:val="2D3748"/>
                <w:sz w:val="18"/>
              </w:rPr>
              <w:t>type</w:t>
            </w:r>
          </w:p>
        </w:tc>
        <w:tc>
          <w:tcPr>
            <w:tcW w:type="dxa" w:w="1728"/>
            <w:shd w:fill="FFFFFF"/>
            <w:tcMar>
              <w:top w:w="80" w:type="dxa"/>
              <w:bottom w:w="80" w:type="dxa"/>
              <w:left w:w="120" w:type="dxa"/>
              <w:right w:w="120" w:type="dxa"/>
            </w:tcMar>
          </w:tcPr>
          <w:p>
            <w:r>
              <w:rPr>
                <w:rFonts w:ascii="Calibri" w:hAnsi="Calibri"/>
                <w:color w:val="2D3748"/>
                <w:sz w:val="18"/>
              </w:rPr>
              <w:t>category</w:t>
            </w:r>
          </w:p>
        </w:tc>
        <w:tc>
          <w:tcPr>
            <w:tcW w:type="dxa" w:w="2160"/>
            <w:shd w:fill="FFFFFF"/>
            <w:tcMar>
              <w:top w:w="80" w:type="dxa"/>
              <w:bottom w:w="80" w:type="dxa"/>
              <w:left w:w="120" w:type="dxa"/>
              <w:right w:w="120" w:type="dxa"/>
            </w:tcMar>
          </w:tcPr>
          <w:p>
            <w:r>
              <w:rPr>
                <w:rFonts w:ascii="Calibri" w:hAnsi="Calibri"/>
                <w:color w:val="2D3748"/>
                <w:sz w:val="18"/>
              </w:rPr>
              <w:t>0.00%</w:t>
            </w:r>
          </w:p>
        </w:tc>
        <w:tc>
          <w:tcPr>
            <w:tcW w:type="dxa" w:w="2880"/>
            <w:shd w:fill="FFFFFF"/>
            <w:tcMar>
              <w:top w:w="80" w:type="dxa"/>
              <w:bottom w:w="80" w:type="dxa"/>
              <w:left w:w="120" w:type="dxa"/>
              <w:right w:w="120" w:type="dxa"/>
            </w:tcMar>
          </w:tcPr>
          <w:p>
            <w:r>
              <w:rPr>
                <w:rFonts w:ascii="Calibri" w:hAnsi="Calibri"/>
                <w:color w:val="2D3748"/>
                <w:sz w:val="18"/>
              </w:rPr>
              <w:t>5 types: CASH_IN, CASH_OUT, DEBIT, PAYMENT, TRANSFER</w:t>
            </w:r>
          </w:p>
        </w:tc>
      </w:tr>
      <w:tr>
        <w:tc>
          <w:tcPr>
            <w:tcW w:type="dxa" w:w="2592"/>
            <w:shd w:fill="F7FAFC"/>
            <w:tcMar>
              <w:top w:w="80" w:type="dxa"/>
              <w:bottom w:w="80" w:type="dxa"/>
              <w:left w:w="120" w:type="dxa"/>
              <w:right w:w="120" w:type="dxa"/>
            </w:tcMar>
          </w:tcPr>
          <w:p>
            <w:r>
              <w:rPr>
                <w:rFonts w:ascii="Calibri" w:hAnsi="Calibri"/>
                <w:color w:val="2D3748"/>
                <w:sz w:val="18"/>
              </w:rPr>
              <w:t>amount</w:t>
            </w:r>
          </w:p>
        </w:tc>
        <w:tc>
          <w:tcPr>
            <w:tcW w:type="dxa" w:w="1728"/>
            <w:shd w:fill="F7FAFC"/>
            <w:tcMar>
              <w:top w:w="80" w:type="dxa"/>
              <w:bottom w:w="80" w:type="dxa"/>
              <w:left w:w="120" w:type="dxa"/>
              <w:right w:w="120" w:type="dxa"/>
            </w:tcMar>
          </w:tcPr>
          <w:p>
            <w:r>
              <w:rPr>
                <w:rFonts w:ascii="Calibri" w:hAnsi="Calibri"/>
                <w:color w:val="2D3748"/>
                <w:sz w:val="18"/>
              </w:rPr>
              <w:t>float64</w:t>
            </w:r>
          </w:p>
        </w:tc>
        <w:tc>
          <w:tcPr>
            <w:tcW w:type="dxa" w:w="2160"/>
            <w:shd w:fill="F7FAFC"/>
            <w:tcMar>
              <w:top w:w="80" w:type="dxa"/>
              <w:bottom w:w="80" w:type="dxa"/>
              <w:left w:w="120" w:type="dxa"/>
              <w:right w:w="120" w:type="dxa"/>
            </w:tcMar>
          </w:tcPr>
          <w:p>
            <w:r>
              <w:rPr>
                <w:rFonts w:ascii="Calibri" w:hAnsi="Calibri"/>
                <w:color w:val="2D3748"/>
                <w:sz w:val="18"/>
              </w:rPr>
              <w:t>0.00%</w:t>
            </w:r>
          </w:p>
        </w:tc>
        <w:tc>
          <w:tcPr>
            <w:tcW w:type="dxa" w:w="2880"/>
            <w:shd w:fill="F7FAFC"/>
            <w:tcMar>
              <w:top w:w="80" w:type="dxa"/>
              <w:bottom w:w="80" w:type="dxa"/>
              <w:left w:w="120" w:type="dxa"/>
              <w:right w:w="120" w:type="dxa"/>
            </w:tcMar>
          </w:tcPr>
          <w:p>
            <w:r>
              <w:rPr>
                <w:rFonts w:ascii="Calibri" w:hAnsi="Calibri"/>
                <w:color w:val="2D3748"/>
                <w:sz w:val="18"/>
              </w:rPr>
              <w:t>$0.00 to $92,445,516.64 (Transferred funds)</w:t>
            </w:r>
          </w:p>
        </w:tc>
      </w:tr>
      <w:tr>
        <w:tc>
          <w:tcPr>
            <w:tcW w:type="dxa" w:w="2592"/>
            <w:shd w:fill="FFFFFF"/>
            <w:tcMar>
              <w:top w:w="80" w:type="dxa"/>
              <w:bottom w:w="80" w:type="dxa"/>
              <w:left w:w="120" w:type="dxa"/>
              <w:right w:w="120" w:type="dxa"/>
            </w:tcMar>
          </w:tcPr>
          <w:p>
            <w:r>
              <w:rPr>
                <w:rFonts w:ascii="Calibri" w:hAnsi="Calibri"/>
                <w:color w:val="2D3748"/>
                <w:sz w:val="18"/>
              </w:rPr>
              <w:t>nameOrig</w:t>
            </w:r>
          </w:p>
        </w:tc>
        <w:tc>
          <w:tcPr>
            <w:tcW w:type="dxa" w:w="1728"/>
            <w:shd w:fill="FFFFFF"/>
            <w:tcMar>
              <w:top w:w="80" w:type="dxa"/>
              <w:bottom w:w="80" w:type="dxa"/>
              <w:left w:w="120" w:type="dxa"/>
              <w:right w:w="120" w:type="dxa"/>
            </w:tcMar>
          </w:tcPr>
          <w:p>
            <w:r>
              <w:rPr>
                <w:rFonts w:ascii="Calibri" w:hAnsi="Calibri"/>
                <w:color w:val="2D3748"/>
                <w:sz w:val="18"/>
              </w:rPr>
              <w:t>string</w:t>
            </w:r>
          </w:p>
        </w:tc>
        <w:tc>
          <w:tcPr>
            <w:tcW w:type="dxa" w:w="2160"/>
            <w:shd w:fill="FFFFFF"/>
            <w:tcMar>
              <w:top w:w="80" w:type="dxa"/>
              <w:bottom w:w="80" w:type="dxa"/>
              <w:left w:w="120" w:type="dxa"/>
              <w:right w:w="120" w:type="dxa"/>
            </w:tcMar>
          </w:tcPr>
          <w:p>
            <w:r>
              <w:rPr>
                <w:rFonts w:ascii="Calibri" w:hAnsi="Calibri"/>
                <w:color w:val="2D3748"/>
                <w:sz w:val="18"/>
              </w:rPr>
              <w:t>0.00%</w:t>
            </w:r>
          </w:p>
        </w:tc>
        <w:tc>
          <w:tcPr>
            <w:tcW w:type="dxa" w:w="2880"/>
            <w:shd w:fill="FFFFFF"/>
            <w:tcMar>
              <w:top w:w="80" w:type="dxa"/>
              <w:bottom w:w="80" w:type="dxa"/>
              <w:left w:w="120" w:type="dxa"/>
              <w:right w:w="120" w:type="dxa"/>
            </w:tcMar>
          </w:tcPr>
          <w:p>
            <w:r>
              <w:rPr>
                <w:rFonts w:ascii="Calibri" w:hAnsi="Calibri"/>
                <w:color w:val="2D3748"/>
                <w:sz w:val="18"/>
              </w:rPr>
              <w:t>6,353,307 unique sender accounts (C... prefix)</w:t>
            </w:r>
          </w:p>
        </w:tc>
      </w:tr>
      <w:tr>
        <w:tc>
          <w:tcPr>
            <w:tcW w:type="dxa" w:w="2592"/>
            <w:shd w:fill="F7FAFC"/>
            <w:tcMar>
              <w:top w:w="80" w:type="dxa"/>
              <w:bottom w:w="80" w:type="dxa"/>
              <w:left w:w="120" w:type="dxa"/>
              <w:right w:w="120" w:type="dxa"/>
            </w:tcMar>
          </w:tcPr>
          <w:p>
            <w:r>
              <w:rPr>
                <w:rFonts w:ascii="Calibri" w:hAnsi="Calibri"/>
                <w:color w:val="2D3748"/>
                <w:sz w:val="18"/>
              </w:rPr>
              <w:t>oldbalanceOrg</w:t>
            </w:r>
          </w:p>
        </w:tc>
        <w:tc>
          <w:tcPr>
            <w:tcW w:type="dxa" w:w="1728"/>
            <w:shd w:fill="F7FAFC"/>
            <w:tcMar>
              <w:top w:w="80" w:type="dxa"/>
              <w:bottom w:w="80" w:type="dxa"/>
              <w:left w:w="120" w:type="dxa"/>
              <w:right w:w="120" w:type="dxa"/>
            </w:tcMar>
          </w:tcPr>
          <w:p>
            <w:r>
              <w:rPr>
                <w:rFonts w:ascii="Calibri" w:hAnsi="Calibri"/>
                <w:color w:val="2D3748"/>
                <w:sz w:val="18"/>
              </w:rPr>
              <w:t>float64</w:t>
            </w:r>
          </w:p>
        </w:tc>
        <w:tc>
          <w:tcPr>
            <w:tcW w:type="dxa" w:w="2160"/>
            <w:shd w:fill="F7FAFC"/>
            <w:tcMar>
              <w:top w:w="80" w:type="dxa"/>
              <w:bottom w:w="80" w:type="dxa"/>
              <w:left w:w="120" w:type="dxa"/>
              <w:right w:w="120" w:type="dxa"/>
            </w:tcMar>
          </w:tcPr>
          <w:p>
            <w:r>
              <w:rPr>
                <w:rFonts w:ascii="Calibri" w:hAnsi="Calibri"/>
                <w:color w:val="2D3748"/>
                <w:sz w:val="18"/>
              </w:rPr>
              <w:t>0.00%</w:t>
            </w:r>
          </w:p>
        </w:tc>
        <w:tc>
          <w:tcPr>
            <w:tcW w:type="dxa" w:w="2880"/>
            <w:shd w:fill="F7FAFC"/>
            <w:tcMar>
              <w:top w:w="80" w:type="dxa"/>
              <w:bottom w:w="80" w:type="dxa"/>
              <w:left w:w="120" w:type="dxa"/>
              <w:right w:w="120" w:type="dxa"/>
            </w:tcMar>
          </w:tcPr>
          <w:p>
            <w:r>
              <w:rPr>
                <w:rFonts w:ascii="Calibri" w:hAnsi="Calibri"/>
                <w:color w:val="2D3748"/>
                <w:sz w:val="18"/>
              </w:rPr>
              <w:t>$0.00 to $59,585,040.37 (Sender initial balance)</w:t>
            </w:r>
          </w:p>
        </w:tc>
      </w:tr>
      <w:tr>
        <w:tc>
          <w:tcPr>
            <w:tcW w:type="dxa" w:w="2592"/>
            <w:shd w:fill="FFFFFF"/>
            <w:tcMar>
              <w:top w:w="80" w:type="dxa"/>
              <w:bottom w:w="80" w:type="dxa"/>
              <w:left w:w="120" w:type="dxa"/>
              <w:right w:w="120" w:type="dxa"/>
            </w:tcMar>
          </w:tcPr>
          <w:p>
            <w:r>
              <w:rPr>
                <w:rFonts w:ascii="Calibri" w:hAnsi="Calibri"/>
                <w:color w:val="2D3748"/>
                <w:sz w:val="18"/>
              </w:rPr>
              <w:t>newbalanceOrig</w:t>
            </w:r>
          </w:p>
        </w:tc>
        <w:tc>
          <w:tcPr>
            <w:tcW w:type="dxa" w:w="1728"/>
            <w:shd w:fill="FFFFFF"/>
            <w:tcMar>
              <w:top w:w="80" w:type="dxa"/>
              <w:bottom w:w="80" w:type="dxa"/>
              <w:left w:w="120" w:type="dxa"/>
              <w:right w:w="120" w:type="dxa"/>
            </w:tcMar>
          </w:tcPr>
          <w:p>
            <w:r>
              <w:rPr>
                <w:rFonts w:ascii="Calibri" w:hAnsi="Calibri"/>
                <w:color w:val="2D3748"/>
                <w:sz w:val="18"/>
              </w:rPr>
              <w:t>float64</w:t>
            </w:r>
          </w:p>
        </w:tc>
        <w:tc>
          <w:tcPr>
            <w:tcW w:type="dxa" w:w="2160"/>
            <w:shd w:fill="FFFFFF"/>
            <w:tcMar>
              <w:top w:w="80" w:type="dxa"/>
              <w:bottom w:w="80" w:type="dxa"/>
              <w:left w:w="120" w:type="dxa"/>
              <w:right w:w="120" w:type="dxa"/>
            </w:tcMar>
          </w:tcPr>
          <w:p>
            <w:r>
              <w:rPr>
                <w:rFonts w:ascii="Calibri" w:hAnsi="Calibri"/>
                <w:color w:val="2D3748"/>
                <w:sz w:val="18"/>
              </w:rPr>
              <w:t>0.00%</w:t>
            </w:r>
          </w:p>
        </w:tc>
        <w:tc>
          <w:tcPr>
            <w:tcW w:type="dxa" w:w="2880"/>
            <w:shd w:fill="FFFFFF"/>
            <w:tcMar>
              <w:top w:w="80" w:type="dxa"/>
              <w:bottom w:w="80" w:type="dxa"/>
              <w:left w:w="120" w:type="dxa"/>
              <w:right w:w="120" w:type="dxa"/>
            </w:tcMar>
          </w:tcPr>
          <w:p>
            <w:r>
              <w:rPr>
                <w:rFonts w:ascii="Calibri" w:hAnsi="Calibri"/>
                <w:color w:val="2D3748"/>
                <w:sz w:val="18"/>
              </w:rPr>
              <w:t>$0.00 to $49,585,040.37 (Sender ending balance)</w:t>
            </w:r>
          </w:p>
        </w:tc>
      </w:tr>
      <w:tr>
        <w:tc>
          <w:tcPr>
            <w:tcW w:type="dxa" w:w="2592"/>
            <w:shd w:fill="F7FAFC"/>
            <w:tcMar>
              <w:top w:w="80" w:type="dxa"/>
              <w:bottom w:w="80" w:type="dxa"/>
              <w:left w:w="120" w:type="dxa"/>
              <w:right w:w="120" w:type="dxa"/>
            </w:tcMar>
          </w:tcPr>
          <w:p>
            <w:r>
              <w:rPr>
                <w:rFonts w:ascii="Calibri" w:hAnsi="Calibri"/>
                <w:color w:val="2D3748"/>
                <w:sz w:val="18"/>
              </w:rPr>
              <w:t>nameDest</w:t>
            </w:r>
          </w:p>
        </w:tc>
        <w:tc>
          <w:tcPr>
            <w:tcW w:type="dxa" w:w="1728"/>
            <w:shd w:fill="F7FAFC"/>
            <w:tcMar>
              <w:top w:w="80" w:type="dxa"/>
              <w:bottom w:w="80" w:type="dxa"/>
              <w:left w:w="120" w:type="dxa"/>
              <w:right w:w="120" w:type="dxa"/>
            </w:tcMar>
          </w:tcPr>
          <w:p>
            <w:r>
              <w:rPr>
                <w:rFonts w:ascii="Calibri" w:hAnsi="Calibri"/>
                <w:color w:val="2D3748"/>
                <w:sz w:val="18"/>
              </w:rPr>
              <w:t>string</w:t>
            </w:r>
          </w:p>
        </w:tc>
        <w:tc>
          <w:tcPr>
            <w:tcW w:type="dxa" w:w="2160"/>
            <w:shd w:fill="F7FAFC"/>
            <w:tcMar>
              <w:top w:w="80" w:type="dxa"/>
              <w:bottom w:w="80" w:type="dxa"/>
              <w:left w:w="120" w:type="dxa"/>
              <w:right w:w="120" w:type="dxa"/>
            </w:tcMar>
          </w:tcPr>
          <w:p>
            <w:r>
              <w:rPr>
                <w:rFonts w:ascii="Calibri" w:hAnsi="Calibri"/>
                <w:color w:val="2D3748"/>
                <w:sz w:val="18"/>
              </w:rPr>
              <w:t>0.00%</w:t>
            </w:r>
          </w:p>
        </w:tc>
        <w:tc>
          <w:tcPr>
            <w:tcW w:type="dxa" w:w="2880"/>
            <w:shd w:fill="F7FAFC"/>
            <w:tcMar>
              <w:top w:w="80" w:type="dxa"/>
              <w:bottom w:w="80" w:type="dxa"/>
              <w:left w:w="120" w:type="dxa"/>
              <w:right w:w="120" w:type="dxa"/>
            </w:tcMar>
          </w:tcPr>
          <w:p>
            <w:r>
              <w:rPr>
                <w:rFonts w:ascii="Calibri" w:hAnsi="Calibri"/>
                <w:color w:val="2D3748"/>
                <w:sz w:val="18"/>
              </w:rPr>
              <w:t>2,722,362 unique recipients (C... customer / M... merchant)</w:t>
            </w:r>
          </w:p>
        </w:tc>
      </w:tr>
      <w:tr>
        <w:tc>
          <w:tcPr>
            <w:tcW w:type="dxa" w:w="2592"/>
            <w:shd w:fill="FFFFFF"/>
            <w:tcMar>
              <w:top w:w="80" w:type="dxa"/>
              <w:bottom w:w="80" w:type="dxa"/>
              <w:left w:w="120" w:type="dxa"/>
              <w:right w:w="120" w:type="dxa"/>
            </w:tcMar>
          </w:tcPr>
          <w:p>
            <w:r>
              <w:rPr>
                <w:rFonts w:ascii="Calibri" w:hAnsi="Calibri"/>
                <w:color w:val="2D3748"/>
                <w:sz w:val="18"/>
              </w:rPr>
              <w:t>oldbalanceDest</w:t>
            </w:r>
          </w:p>
        </w:tc>
        <w:tc>
          <w:tcPr>
            <w:tcW w:type="dxa" w:w="1728"/>
            <w:shd w:fill="FFFFFF"/>
            <w:tcMar>
              <w:top w:w="80" w:type="dxa"/>
              <w:bottom w:w="80" w:type="dxa"/>
              <w:left w:w="120" w:type="dxa"/>
              <w:right w:w="120" w:type="dxa"/>
            </w:tcMar>
          </w:tcPr>
          <w:p>
            <w:r>
              <w:rPr>
                <w:rFonts w:ascii="Calibri" w:hAnsi="Calibri"/>
                <w:color w:val="2D3748"/>
                <w:sz w:val="18"/>
              </w:rPr>
              <w:t>float64</w:t>
            </w:r>
          </w:p>
        </w:tc>
        <w:tc>
          <w:tcPr>
            <w:tcW w:type="dxa" w:w="2160"/>
            <w:shd w:fill="FFFFFF"/>
            <w:tcMar>
              <w:top w:w="80" w:type="dxa"/>
              <w:bottom w:w="80" w:type="dxa"/>
              <w:left w:w="120" w:type="dxa"/>
              <w:right w:w="120" w:type="dxa"/>
            </w:tcMar>
          </w:tcPr>
          <w:p>
            <w:r>
              <w:rPr>
                <w:rFonts w:ascii="Calibri" w:hAnsi="Calibri"/>
                <w:color w:val="2D3748"/>
                <w:sz w:val="18"/>
              </w:rPr>
              <w:t>0.00%</w:t>
            </w:r>
          </w:p>
        </w:tc>
        <w:tc>
          <w:tcPr>
            <w:tcW w:type="dxa" w:w="2880"/>
            <w:shd w:fill="FFFFFF"/>
            <w:tcMar>
              <w:top w:w="80" w:type="dxa"/>
              <w:bottom w:w="80" w:type="dxa"/>
              <w:left w:w="120" w:type="dxa"/>
              <w:right w:w="120" w:type="dxa"/>
            </w:tcMar>
          </w:tcPr>
          <w:p>
            <w:r>
              <w:rPr>
                <w:rFonts w:ascii="Calibri" w:hAnsi="Calibri"/>
                <w:color w:val="2D3748"/>
                <w:sz w:val="18"/>
              </w:rPr>
              <w:t>$0.00 to $356,015,889.35 (Recipient initial balance)</w:t>
            </w:r>
          </w:p>
        </w:tc>
      </w:tr>
      <w:tr>
        <w:tc>
          <w:tcPr>
            <w:tcW w:type="dxa" w:w="2592"/>
            <w:shd w:fill="F7FAFC"/>
            <w:tcMar>
              <w:top w:w="80" w:type="dxa"/>
              <w:bottom w:w="80" w:type="dxa"/>
              <w:left w:w="120" w:type="dxa"/>
              <w:right w:w="120" w:type="dxa"/>
            </w:tcMar>
          </w:tcPr>
          <w:p>
            <w:r>
              <w:rPr>
                <w:rFonts w:ascii="Calibri" w:hAnsi="Calibri"/>
                <w:color w:val="2D3748"/>
                <w:sz w:val="18"/>
              </w:rPr>
              <w:t>newbalanceDest</w:t>
            </w:r>
          </w:p>
        </w:tc>
        <w:tc>
          <w:tcPr>
            <w:tcW w:type="dxa" w:w="1728"/>
            <w:shd w:fill="F7FAFC"/>
            <w:tcMar>
              <w:top w:w="80" w:type="dxa"/>
              <w:bottom w:w="80" w:type="dxa"/>
              <w:left w:w="120" w:type="dxa"/>
              <w:right w:w="120" w:type="dxa"/>
            </w:tcMar>
          </w:tcPr>
          <w:p>
            <w:r>
              <w:rPr>
                <w:rFonts w:ascii="Calibri" w:hAnsi="Calibri"/>
                <w:color w:val="2D3748"/>
                <w:sz w:val="18"/>
              </w:rPr>
              <w:t>float64</w:t>
            </w:r>
          </w:p>
        </w:tc>
        <w:tc>
          <w:tcPr>
            <w:tcW w:type="dxa" w:w="2160"/>
            <w:shd w:fill="F7FAFC"/>
            <w:tcMar>
              <w:top w:w="80" w:type="dxa"/>
              <w:bottom w:w="80" w:type="dxa"/>
              <w:left w:w="120" w:type="dxa"/>
              <w:right w:w="120" w:type="dxa"/>
            </w:tcMar>
          </w:tcPr>
          <w:p>
            <w:r>
              <w:rPr>
                <w:rFonts w:ascii="Calibri" w:hAnsi="Calibri"/>
                <w:color w:val="2D3748"/>
                <w:sz w:val="18"/>
              </w:rPr>
              <w:t>0.00%</w:t>
            </w:r>
          </w:p>
        </w:tc>
        <w:tc>
          <w:tcPr>
            <w:tcW w:type="dxa" w:w="2880"/>
            <w:shd w:fill="F7FAFC"/>
            <w:tcMar>
              <w:top w:w="80" w:type="dxa"/>
              <w:bottom w:w="80" w:type="dxa"/>
              <w:left w:w="120" w:type="dxa"/>
              <w:right w:w="120" w:type="dxa"/>
            </w:tcMar>
          </w:tcPr>
          <w:p>
            <w:r>
              <w:rPr>
                <w:rFonts w:ascii="Calibri" w:hAnsi="Calibri"/>
                <w:color w:val="2D3748"/>
                <w:sz w:val="18"/>
              </w:rPr>
              <w:t>$0.00 to $356,179,278.92 (Recipient ending balance)</w:t>
            </w:r>
          </w:p>
        </w:tc>
      </w:tr>
      <w:tr>
        <w:tc>
          <w:tcPr>
            <w:tcW w:type="dxa" w:w="2592"/>
            <w:shd w:fill="FFFFFF"/>
            <w:tcMar>
              <w:top w:w="80" w:type="dxa"/>
              <w:bottom w:w="80" w:type="dxa"/>
              <w:left w:w="120" w:type="dxa"/>
              <w:right w:w="120" w:type="dxa"/>
            </w:tcMar>
          </w:tcPr>
          <w:p>
            <w:r>
              <w:rPr>
                <w:rFonts w:ascii="Calibri" w:hAnsi="Calibri"/>
                <w:color w:val="2D3748"/>
                <w:sz w:val="18"/>
              </w:rPr>
              <w:t>isFraud</w:t>
            </w:r>
          </w:p>
        </w:tc>
        <w:tc>
          <w:tcPr>
            <w:tcW w:type="dxa" w:w="1728"/>
            <w:shd w:fill="FFFFFF"/>
            <w:tcMar>
              <w:top w:w="80" w:type="dxa"/>
              <w:bottom w:w="80" w:type="dxa"/>
              <w:left w:w="120" w:type="dxa"/>
              <w:right w:w="120" w:type="dxa"/>
            </w:tcMar>
          </w:tcPr>
          <w:p>
            <w:r>
              <w:rPr>
                <w:rFonts w:ascii="Calibri" w:hAnsi="Calibri"/>
                <w:color w:val="2D3748"/>
                <w:sz w:val="18"/>
              </w:rPr>
              <w:t>int8</w:t>
            </w:r>
          </w:p>
        </w:tc>
        <w:tc>
          <w:tcPr>
            <w:tcW w:type="dxa" w:w="2160"/>
            <w:shd w:fill="FFFFFF"/>
            <w:tcMar>
              <w:top w:w="80" w:type="dxa"/>
              <w:bottom w:w="80" w:type="dxa"/>
              <w:left w:w="120" w:type="dxa"/>
              <w:right w:w="120" w:type="dxa"/>
            </w:tcMar>
          </w:tcPr>
          <w:p>
            <w:r>
              <w:rPr>
                <w:rFonts w:ascii="Calibri" w:hAnsi="Calibri"/>
                <w:color w:val="2D3748"/>
                <w:sz w:val="18"/>
              </w:rPr>
              <w:t>0.00%</w:t>
            </w:r>
          </w:p>
        </w:tc>
        <w:tc>
          <w:tcPr>
            <w:tcW w:type="dxa" w:w="2880"/>
            <w:shd w:fill="FFFFFF"/>
            <w:tcMar>
              <w:top w:w="80" w:type="dxa"/>
              <w:bottom w:w="80" w:type="dxa"/>
              <w:left w:w="120" w:type="dxa"/>
              <w:right w:w="120" w:type="dxa"/>
            </w:tcMar>
          </w:tcPr>
          <w:p>
            <w:r>
              <w:rPr>
                <w:rFonts w:ascii="Calibri" w:hAnsi="Calibri"/>
                <w:color w:val="2D3748"/>
                <w:sz w:val="18"/>
              </w:rPr>
              <w:t>0 (Legitimate: 6,354,407) or 1 (Fraud: 8,213)</w:t>
            </w:r>
          </w:p>
        </w:tc>
      </w:tr>
      <w:tr>
        <w:tc>
          <w:tcPr>
            <w:tcW w:type="dxa" w:w="2592"/>
            <w:shd w:fill="F7FAFC"/>
            <w:tcMar>
              <w:top w:w="80" w:type="dxa"/>
              <w:bottom w:w="80" w:type="dxa"/>
              <w:left w:w="120" w:type="dxa"/>
              <w:right w:w="120" w:type="dxa"/>
            </w:tcMar>
          </w:tcPr>
          <w:p>
            <w:r>
              <w:rPr>
                <w:rFonts w:ascii="Calibri" w:hAnsi="Calibri"/>
                <w:color w:val="2D3748"/>
                <w:sz w:val="18"/>
              </w:rPr>
              <w:t>isFlaggedFraud</w:t>
            </w:r>
          </w:p>
        </w:tc>
        <w:tc>
          <w:tcPr>
            <w:tcW w:type="dxa" w:w="1728"/>
            <w:shd w:fill="F7FAFC"/>
            <w:tcMar>
              <w:top w:w="80" w:type="dxa"/>
              <w:bottom w:w="80" w:type="dxa"/>
              <w:left w:w="120" w:type="dxa"/>
              <w:right w:w="120" w:type="dxa"/>
            </w:tcMar>
          </w:tcPr>
          <w:p>
            <w:r>
              <w:rPr>
                <w:rFonts w:ascii="Calibri" w:hAnsi="Calibri"/>
                <w:color w:val="2D3748"/>
                <w:sz w:val="18"/>
              </w:rPr>
              <w:t>int8</w:t>
            </w:r>
          </w:p>
        </w:tc>
        <w:tc>
          <w:tcPr>
            <w:tcW w:type="dxa" w:w="2160"/>
            <w:shd w:fill="F7FAFC"/>
            <w:tcMar>
              <w:top w:w="80" w:type="dxa"/>
              <w:bottom w:w="80" w:type="dxa"/>
              <w:left w:w="120" w:type="dxa"/>
              <w:right w:w="120" w:type="dxa"/>
            </w:tcMar>
          </w:tcPr>
          <w:p>
            <w:r>
              <w:rPr>
                <w:rFonts w:ascii="Calibri" w:hAnsi="Calibri"/>
                <w:color w:val="2D3748"/>
                <w:sz w:val="18"/>
              </w:rPr>
              <w:t>0.00%</w:t>
            </w:r>
          </w:p>
        </w:tc>
        <w:tc>
          <w:tcPr>
            <w:tcW w:type="dxa" w:w="2880"/>
            <w:shd w:fill="F7FAFC"/>
            <w:tcMar>
              <w:top w:w="80" w:type="dxa"/>
              <w:bottom w:w="80" w:type="dxa"/>
              <w:left w:w="120" w:type="dxa"/>
              <w:right w:w="120" w:type="dxa"/>
            </w:tcMar>
          </w:tcPr>
          <w:p>
            <w:r>
              <w:rPr>
                <w:rFonts w:ascii="Calibri" w:hAnsi="Calibri"/>
                <w:color w:val="2D3748"/>
                <w:sz w:val="18"/>
              </w:rPr>
              <w:t>0 (6,362,604) or 1 (16 rows flagged &gt; $200,000)</w:t>
            </w:r>
          </w:p>
        </w:tc>
      </w:tr>
    </w:tbl>
    <w:p/>
    <w:p>
      <w:pPr>
        <w:pStyle w:val="Heading2"/>
        <w:spacing w:before="240" w:after="120"/>
      </w:pPr>
      <w:r>
        <w:rPr>
          <w:rFonts w:ascii="Calibri" w:hAnsi="Calibri"/>
          <w:color w:val="2B6CB0"/>
        </w:rPr>
        <w:t>Empirical EDA Discoveries</w:t>
      </w:r>
    </w:p>
    <w:p>
      <w:r>
        <w:t>Execution of scripts/inspect_paysim.py on the raw 470.67 MB CSV file revealed several critical empirical findings:</w:t>
        <w:br/>
        <w:t>1. Complete Data Integrity: Exactly 0 missing values and 0 duplicate rows across all 6,362,620 transactions.</w:t>
        <w:br/>
        <w:t>2. Extreme Class Imbalance: 8,213 fraudulent transactions versus 6,354,407 legitimate transactions (0.1291% fraud rate; 773.7:1 imbalance ratio). Accuracy is entirely invalidated as an evaluation metric.</w:t>
        <w:br/>
        <w:t>3. 100% Fraud Concentration in TRANSFER and CASH_OUT: Fraud occurred exclusively within TRANSFER (4,097 cases; 0.7688% fraud rate) and CASH_OUT (4,116 cases; 0.1840% fraud rate). Zero fraud occurred in PAYMENT (2.15M tx), CASH_IN (1.40M tx), or DEBIT (41K tx).</w:t>
        <w:br/>
        <w:t>4. Account Liquidation Pattern: In 97.55% of fraudulent transactions (8,012 / 8,213), the sender account was completely drained to zero (oldbalanceOrg &gt; 0 and newbalanceOrig == 0), compared to only 23.80% in legitimate transactions.</w:t>
        <w:br/>
        <w:t>5. Destination Mule Account Anomaly: In 49.63% of fraud cases (4,076 / 8,213), both oldbalanceDest and newbalanceDest remained exactly 0.00 despite hundreds of thousands of dollars being transferred.</w:t>
        <w:br/>
        <w:t>6. Diurnal Fraud Surge: Legitimate transactions drop significantly at night (trough of ~1,200 tx/hour at 04:00), whereas fraud attempts remain continuous (~300–370/hour), driving the early morning fraud rate up to 16.2% – 22.3% (versus 0.08% at midday).</w:t>
        <w:br/>
        <w:t>7. Investigation of isFlaggedFraud: In the raw dataset, exactly 16 transactions were flagged as isFlaggedFraud==1 based on an archaic rule (transfer &gt; $200,000). It missed 8,197 fraud cases (99.8% false negative rate) and represents a downstream rule output. It was permanently excluded to eliminate target leakage.</w:t>
      </w:r>
    </w:p>
    <w:p>
      <w:pPr>
        <w:jc w:val="center"/>
      </w:pPr>
    </w:p>
    <w:p>
      <w:r>
        <w:drawing>
          <wp:inline xmlns:a="http://schemas.openxmlformats.org/drawingml/2006/main" xmlns:pic="http://schemas.openxmlformats.org/drawingml/2006/picture">
            <wp:extent cx="5029200" cy="2794000"/>
            <wp:docPr id="1" name="Picture 1"/>
            <wp:cNvGraphicFramePr>
              <a:graphicFrameLocks noChangeAspect="1"/>
            </wp:cNvGraphicFramePr>
            <a:graphic>
              <a:graphicData uri="http://schemas.openxmlformats.org/drawingml/2006/picture">
                <pic:pic>
                  <pic:nvPicPr>
                    <pic:cNvPr id="0" name="eda_01_transaction_types.png"/>
                    <pic:cNvPicPr/>
                  </pic:nvPicPr>
                  <pic:blipFill>
                    <a:blip r:embed="rId11"/>
                    <a:stretch>
                      <a:fillRect/>
                    </a:stretch>
                  </pic:blipFill>
                  <pic:spPr>
                    <a:xfrm>
                      <a:off x="0" y="0"/>
                      <a:ext cx="5029200" cy="2794000"/>
                    </a:xfrm>
                    <a:prstGeom prst="rect"/>
                  </pic:spPr>
                </pic:pic>
              </a:graphicData>
            </a:graphic>
          </wp:inline>
        </w:drawing>
      </w:r>
    </w:p>
    <w:p>
      <w:pPr>
        <w:jc w:val="center"/>
      </w:pPr>
      <w:r>
        <w:rPr>
          <w:color w:val="718096"/>
          <w:sz w:val="17"/>
        </w:rPr>
        <w:t>Figure 1: Overall PaySim Transaction Volume Distribution across Five Operational Types</w:t>
      </w:r>
    </w:p>
    <w:p>
      <w:pPr>
        <w:jc w:val="center"/>
      </w:pPr>
    </w:p>
    <w:p>
      <w:r>
        <w:drawing>
          <wp:inline xmlns:a="http://schemas.openxmlformats.org/drawingml/2006/main" xmlns:pic="http://schemas.openxmlformats.org/drawingml/2006/picture">
            <wp:extent cx="5029200" cy="1934308"/>
            <wp:docPr id="2" name="Picture 2"/>
            <wp:cNvGraphicFramePr>
              <a:graphicFrameLocks noChangeAspect="1"/>
            </wp:cNvGraphicFramePr>
            <a:graphic>
              <a:graphicData uri="http://schemas.openxmlformats.org/drawingml/2006/picture">
                <pic:pic>
                  <pic:nvPicPr>
                    <pic:cNvPr id="0" name="eda_02_fraud_by_type.png"/>
                    <pic:cNvPicPr/>
                  </pic:nvPicPr>
                  <pic:blipFill>
                    <a:blip r:embed="rId12"/>
                    <a:stretch>
                      <a:fillRect/>
                    </a:stretch>
                  </pic:blipFill>
                  <pic:spPr>
                    <a:xfrm>
                      <a:off x="0" y="0"/>
                      <a:ext cx="5029200" cy="1934308"/>
                    </a:xfrm>
                    <a:prstGeom prst="rect"/>
                  </pic:spPr>
                </pic:pic>
              </a:graphicData>
            </a:graphic>
          </wp:inline>
        </w:drawing>
      </w:r>
    </w:p>
    <w:p>
      <w:pPr>
        <w:jc w:val="center"/>
      </w:pPr>
      <w:r>
        <w:rPr>
          <w:color w:val="718096"/>
          <w:sz w:val="17"/>
        </w:rPr>
        <w:t>Figure 2: Empirical Fraud Volume &amp; Percentage by Transaction Type (100% Concentration in TRANSFER &amp; CASH_OUT)</w:t>
      </w:r>
    </w:p>
    <w:p>
      <w:pPr>
        <w:jc w:val="center"/>
      </w:pPr>
    </w:p>
    <w:p>
      <w:r>
        <w:drawing>
          <wp:inline xmlns:a="http://schemas.openxmlformats.org/drawingml/2006/main" xmlns:pic="http://schemas.openxmlformats.org/drawingml/2006/picture">
            <wp:extent cx="5029200" cy="2514600"/>
            <wp:docPr id="3" name="Picture 3"/>
            <wp:cNvGraphicFramePr>
              <a:graphicFrameLocks noChangeAspect="1"/>
            </wp:cNvGraphicFramePr>
            <a:graphic>
              <a:graphicData uri="http://schemas.openxmlformats.org/drawingml/2006/picture">
                <pic:pic>
                  <pic:nvPicPr>
                    <pic:cNvPr id="0" name="eda_03_amount_distribution.png"/>
                    <pic:cNvPicPr/>
                  </pic:nvPicPr>
                  <pic:blipFill>
                    <a:blip r:embed="rId13"/>
                    <a:stretch>
                      <a:fillRect/>
                    </a:stretch>
                  </pic:blipFill>
                  <pic:spPr>
                    <a:xfrm>
                      <a:off x="0" y="0"/>
                      <a:ext cx="5029200" cy="2514600"/>
                    </a:xfrm>
                    <a:prstGeom prst="rect"/>
                  </pic:spPr>
                </pic:pic>
              </a:graphicData>
            </a:graphic>
          </wp:inline>
        </w:drawing>
      </w:r>
    </w:p>
    <w:p>
      <w:pPr>
        <w:jc w:val="center"/>
      </w:pPr>
      <w:r>
        <w:rPr>
          <w:color w:val="718096"/>
          <w:sz w:val="17"/>
        </w:rPr>
        <w:t>Figure 3: Logarithmic Monetary Value Distribution: Legitimate Commerce vs Fraudulent Exfiltration</w:t>
      </w:r>
    </w:p>
    <w:p>
      <w:pPr>
        <w:jc w:val="center"/>
      </w:pPr>
    </w:p>
    <w:p>
      <w:r>
        <w:drawing>
          <wp:inline xmlns:a="http://schemas.openxmlformats.org/drawingml/2006/main" xmlns:pic="http://schemas.openxmlformats.org/drawingml/2006/picture">
            <wp:extent cx="5029200" cy="2095500"/>
            <wp:docPr id="4" name="Picture 4"/>
            <wp:cNvGraphicFramePr>
              <a:graphicFrameLocks noChangeAspect="1"/>
            </wp:cNvGraphicFramePr>
            <a:graphic>
              <a:graphicData uri="http://schemas.openxmlformats.org/drawingml/2006/picture">
                <pic:pic>
                  <pic:nvPicPr>
                    <pic:cNvPr id="0" name="eda_04_temporal_trend.png"/>
                    <pic:cNvPicPr/>
                  </pic:nvPicPr>
                  <pic:blipFill>
                    <a:blip r:embed="rId14"/>
                    <a:stretch>
                      <a:fillRect/>
                    </a:stretch>
                  </pic:blipFill>
                  <pic:spPr>
                    <a:xfrm>
                      <a:off x="0" y="0"/>
                      <a:ext cx="5029200" cy="2095500"/>
                    </a:xfrm>
                    <a:prstGeom prst="rect"/>
                  </pic:spPr>
                </pic:pic>
              </a:graphicData>
            </a:graphic>
          </wp:inline>
        </w:drawing>
      </w:r>
    </w:p>
    <w:p>
      <w:pPr>
        <w:jc w:val="center"/>
      </w:pPr>
      <w:r>
        <w:rPr>
          <w:color w:val="718096"/>
          <w:sz w:val="17"/>
        </w:rPr>
        <w:t>Figure 4: Temporal Fraud Rate &amp; Transaction Frequency Over the 743-Hour Simulation Timeline</w:t>
      </w:r>
    </w:p>
    <w:p>
      <w:pPr>
        <w:jc w:val="center"/>
      </w:pPr>
    </w:p>
    <w:p>
      <w:r>
        <w:drawing>
          <wp:inline xmlns:a="http://schemas.openxmlformats.org/drawingml/2006/main" xmlns:pic="http://schemas.openxmlformats.org/drawingml/2006/picture">
            <wp:extent cx="4754880" cy="2971800"/>
            <wp:docPr id="5" name="Picture 5"/>
            <wp:cNvGraphicFramePr>
              <a:graphicFrameLocks noChangeAspect="1"/>
            </wp:cNvGraphicFramePr>
            <a:graphic>
              <a:graphicData uri="http://schemas.openxmlformats.org/drawingml/2006/picture">
                <pic:pic>
                  <pic:nvPicPr>
                    <pic:cNvPr id="0" name="eda_05_balance_drainage.png"/>
                    <pic:cNvPicPr/>
                  </pic:nvPicPr>
                  <pic:blipFill>
                    <a:blip r:embed="rId15"/>
                    <a:stretch>
                      <a:fillRect/>
                    </a:stretch>
                  </pic:blipFill>
                  <pic:spPr>
                    <a:xfrm>
                      <a:off x="0" y="0"/>
                      <a:ext cx="4754880" cy="2971800"/>
                    </a:xfrm>
                    <a:prstGeom prst="rect"/>
                  </pic:spPr>
                </pic:pic>
              </a:graphicData>
            </a:graphic>
          </wp:inline>
        </w:drawing>
      </w:r>
    </w:p>
    <w:p>
      <w:pPr>
        <w:jc w:val="center"/>
      </w:pPr>
      <w:r>
        <w:rPr>
          <w:color w:val="718096"/>
          <w:sz w:val="17"/>
        </w:rPr>
        <w:t>Figure 5: Origin Account Liquidation Behavior: Legitimate (23.8%) vs Fraudulent (97.55%) Transactions</w:t>
      </w:r>
    </w:p>
    <w:p>
      <w:r>
        <w:br w:type="page"/>
      </w:r>
    </w:p>
    <w:p>
      <w:pPr>
        <w:pStyle w:val="Heading1"/>
        <w:spacing w:before="320" w:after="160"/>
      </w:pPr>
      <w:r>
        <w:rPr>
          <w:rFonts w:ascii="Calibri" w:hAnsi="Calibri"/>
          <w:color w:val="1A365D"/>
        </w:rPr>
        <w:t>5. Milestone 2: Feature Engineering &amp; Data Splitting</w:t>
      </w:r>
    </w:p>
    <w:p>
      <w:r>
        <w:t>To transform the 11 raw columns into high-performance numerical inputs without introducing future temporal leakage, a modular feature pipeline was engineered in ml_engine/features/ and executed via scripts/build_paysim_features.py.</w:t>
      </w:r>
    </w:p>
    <w:p>
      <w:r>
        <w:t>The Modeling Subspace Strategy:</w:t>
        <w:br/>
        <w:t>Because EDA verified that 100% of fraud occurred exclusively in TRANSFER and CASH_OUT, the machine learning modeling subspace was focused specifically on these two transaction types (2,770,409 rows; 100% of fraud labels). However, PAYMENT, CASH_IN, and DEBIT are retained conceptually at the system architecture level: they will be handled by a dedicated low-latency business-rule path in the API gateway. The exact rules and operational policy will be finalized during API integration. [DESIGNED / PLANNED]</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A365D"/>
            <w:tcMar>
              <w:top w:w="120" w:type="dxa"/>
              <w:bottom w:w="120" w:type="dxa"/>
              <w:left w:w="140" w:type="dxa"/>
              <w:right w:w="140" w:type="dxa"/>
            </w:tcMar>
          </w:tcPr>
          <w:p>
            <w:pPr>
              <w:jc w:val="left"/>
            </w:pPr>
            <w:r>
              <w:rPr>
                <w:rFonts w:ascii="Calibri" w:hAnsi="Calibri"/>
                <w:b/>
                <w:color w:val="FFFFFF"/>
                <w:sz w:val="19"/>
              </w:rPr>
              <w:t>Feature Name</w:t>
            </w:r>
          </w:p>
        </w:tc>
        <w:tc>
          <w:tcPr>
            <w:tcW w:type="dxa" w:w="3168"/>
            <w:shd w:fill="1A365D"/>
            <w:tcMar>
              <w:top w:w="120" w:type="dxa"/>
              <w:bottom w:w="120" w:type="dxa"/>
              <w:left w:w="140" w:type="dxa"/>
              <w:right w:w="140" w:type="dxa"/>
            </w:tcMar>
          </w:tcPr>
          <w:p>
            <w:pPr>
              <w:jc w:val="left"/>
            </w:pPr>
            <w:r>
              <w:rPr>
                <w:rFonts w:ascii="Calibri" w:hAnsi="Calibri"/>
                <w:b/>
                <w:color w:val="FFFFFF"/>
                <w:sz w:val="19"/>
              </w:rPr>
              <w:t>Mathematical Formulation</w:t>
            </w:r>
          </w:p>
        </w:tc>
        <w:tc>
          <w:tcPr>
            <w:tcW w:type="dxa" w:w="3600"/>
            <w:shd w:fill="1A365D"/>
            <w:tcMar>
              <w:top w:w="120" w:type="dxa"/>
              <w:bottom w:w="120" w:type="dxa"/>
              <w:left w:w="140" w:type="dxa"/>
              <w:right w:w="140" w:type="dxa"/>
            </w:tcMar>
          </w:tcPr>
          <w:p>
            <w:pPr>
              <w:jc w:val="left"/>
            </w:pPr>
            <w:r>
              <w:rPr>
                <w:rFonts w:ascii="Calibri" w:hAnsi="Calibri"/>
                <w:b/>
                <w:color w:val="FFFFFF"/>
                <w:sz w:val="19"/>
              </w:rPr>
              <w:t>Domain Rationale &amp; Leakage Safeguard</w:t>
            </w:r>
          </w:p>
        </w:tc>
      </w:tr>
      <w:tr>
        <w:tc>
          <w:tcPr>
            <w:tcW w:type="dxa" w:w="2592"/>
            <w:shd w:fill="F7FAFC"/>
            <w:tcMar>
              <w:top w:w="80" w:type="dxa"/>
              <w:bottom w:w="80" w:type="dxa"/>
              <w:left w:w="120" w:type="dxa"/>
              <w:right w:w="120" w:type="dxa"/>
            </w:tcMar>
          </w:tcPr>
          <w:p>
            <w:r>
              <w:rPr>
                <w:rFonts w:ascii="Calibri" w:hAnsi="Calibri"/>
                <w:color w:val="2D3748"/>
                <w:sz w:val="18"/>
              </w:rPr>
              <w:t>amount</w:t>
            </w:r>
          </w:p>
        </w:tc>
        <w:tc>
          <w:tcPr>
            <w:tcW w:type="dxa" w:w="3168"/>
            <w:shd w:fill="F7FAFC"/>
            <w:tcMar>
              <w:top w:w="80" w:type="dxa"/>
              <w:bottom w:w="80" w:type="dxa"/>
              <w:left w:w="120" w:type="dxa"/>
              <w:right w:w="120" w:type="dxa"/>
            </w:tcMar>
          </w:tcPr>
          <w:p>
            <w:r>
              <w:rPr>
                <w:rFonts w:ascii="Calibri" w:hAnsi="Calibri"/>
                <w:color w:val="2D3748"/>
                <w:sz w:val="18"/>
              </w:rPr>
              <w:t>Raw numerical float</w:t>
            </w:r>
          </w:p>
        </w:tc>
        <w:tc>
          <w:tcPr>
            <w:tcW w:type="dxa" w:w="3600"/>
            <w:shd w:fill="F7FAFC"/>
            <w:tcMar>
              <w:top w:w="80" w:type="dxa"/>
              <w:bottom w:w="80" w:type="dxa"/>
              <w:left w:w="120" w:type="dxa"/>
              <w:right w:w="120" w:type="dxa"/>
            </w:tcMar>
          </w:tcPr>
          <w:p>
            <w:r>
              <w:rPr>
                <w:rFonts w:ascii="Calibri" w:hAnsi="Calibri"/>
                <w:color w:val="2D3748"/>
                <w:sz w:val="18"/>
              </w:rPr>
              <w:t>Monetary transaction value requested at ingress. Available at runtime. SAFE.</w:t>
            </w:r>
          </w:p>
        </w:tc>
      </w:tr>
      <w:tr>
        <w:tc>
          <w:tcPr>
            <w:tcW w:type="dxa" w:w="2592"/>
            <w:shd w:fill="FFFFFF"/>
            <w:tcMar>
              <w:top w:w="80" w:type="dxa"/>
              <w:bottom w:w="80" w:type="dxa"/>
              <w:left w:w="120" w:type="dxa"/>
              <w:right w:w="120" w:type="dxa"/>
            </w:tcMar>
          </w:tcPr>
          <w:p>
            <w:r>
              <w:rPr>
                <w:rFonts w:ascii="Calibri" w:hAnsi="Calibri"/>
                <w:color w:val="2D3748"/>
                <w:sz w:val="18"/>
              </w:rPr>
              <w:t>oldbalanceOrg</w:t>
            </w:r>
          </w:p>
        </w:tc>
        <w:tc>
          <w:tcPr>
            <w:tcW w:type="dxa" w:w="3168"/>
            <w:shd w:fill="FFFFFF"/>
            <w:tcMar>
              <w:top w:w="80" w:type="dxa"/>
              <w:bottom w:w="80" w:type="dxa"/>
              <w:left w:w="120" w:type="dxa"/>
              <w:right w:w="120" w:type="dxa"/>
            </w:tcMar>
          </w:tcPr>
          <w:p>
            <w:r>
              <w:rPr>
                <w:rFonts w:ascii="Calibri" w:hAnsi="Calibri"/>
                <w:color w:val="2D3748"/>
                <w:sz w:val="18"/>
              </w:rPr>
              <w:t>Raw numerical float</w:t>
            </w:r>
          </w:p>
        </w:tc>
        <w:tc>
          <w:tcPr>
            <w:tcW w:type="dxa" w:w="3600"/>
            <w:shd w:fill="FFFFFF"/>
            <w:tcMar>
              <w:top w:w="80" w:type="dxa"/>
              <w:bottom w:w="80" w:type="dxa"/>
              <w:left w:w="120" w:type="dxa"/>
              <w:right w:w="120" w:type="dxa"/>
            </w:tcMar>
          </w:tcPr>
          <w:p>
            <w:r>
              <w:rPr>
                <w:rFonts w:ascii="Calibri" w:hAnsi="Calibri"/>
                <w:color w:val="2D3748"/>
                <w:sz w:val="18"/>
              </w:rPr>
              <w:t>Pre-transaction liquidity of sender from internal ledger. SAFE.</w:t>
            </w:r>
          </w:p>
        </w:tc>
      </w:tr>
      <w:tr>
        <w:tc>
          <w:tcPr>
            <w:tcW w:type="dxa" w:w="2592"/>
            <w:shd w:fill="F7FAFC"/>
            <w:tcMar>
              <w:top w:w="80" w:type="dxa"/>
              <w:bottom w:w="80" w:type="dxa"/>
              <w:left w:w="120" w:type="dxa"/>
              <w:right w:w="120" w:type="dxa"/>
            </w:tcMar>
          </w:tcPr>
          <w:p>
            <w:r>
              <w:rPr>
                <w:rFonts w:ascii="Calibri" w:hAnsi="Calibri"/>
                <w:color w:val="2D3748"/>
                <w:sz w:val="18"/>
              </w:rPr>
              <w:t>newbalanceOrig</w:t>
            </w:r>
          </w:p>
        </w:tc>
        <w:tc>
          <w:tcPr>
            <w:tcW w:type="dxa" w:w="3168"/>
            <w:shd w:fill="F7FAFC"/>
            <w:tcMar>
              <w:top w:w="80" w:type="dxa"/>
              <w:bottom w:w="80" w:type="dxa"/>
              <w:left w:w="120" w:type="dxa"/>
              <w:right w:w="120" w:type="dxa"/>
            </w:tcMar>
          </w:tcPr>
          <w:p>
            <w:r>
              <w:rPr>
                <w:rFonts w:ascii="Calibri" w:hAnsi="Calibri"/>
                <w:color w:val="2D3748"/>
                <w:sz w:val="18"/>
              </w:rPr>
              <w:t>Raw numerical float</w:t>
            </w:r>
          </w:p>
        </w:tc>
        <w:tc>
          <w:tcPr>
            <w:tcW w:type="dxa" w:w="3600"/>
            <w:shd w:fill="F7FAFC"/>
            <w:tcMar>
              <w:top w:w="80" w:type="dxa"/>
              <w:bottom w:w="80" w:type="dxa"/>
              <w:left w:w="120" w:type="dxa"/>
              <w:right w:w="120" w:type="dxa"/>
            </w:tcMar>
          </w:tcPr>
          <w:p>
            <w:r>
              <w:rPr>
                <w:rFonts w:ascii="Calibri" w:hAnsi="Calibri"/>
                <w:color w:val="2D3748"/>
                <w:sz w:val="18"/>
              </w:rPr>
              <w:t>Post-transaction sender balance. Monitored via ledger balance error. SAFE.</w:t>
            </w:r>
          </w:p>
        </w:tc>
      </w:tr>
      <w:tr>
        <w:tc>
          <w:tcPr>
            <w:tcW w:type="dxa" w:w="2592"/>
            <w:shd w:fill="FFFFFF"/>
            <w:tcMar>
              <w:top w:w="80" w:type="dxa"/>
              <w:bottom w:w="80" w:type="dxa"/>
              <w:left w:w="120" w:type="dxa"/>
              <w:right w:w="120" w:type="dxa"/>
            </w:tcMar>
          </w:tcPr>
          <w:p>
            <w:r>
              <w:rPr>
                <w:rFonts w:ascii="Calibri" w:hAnsi="Calibri"/>
                <w:color w:val="2D3748"/>
                <w:sz w:val="18"/>
              </w:rPr>
              <w:t>oldbalanceDest</w:t>
            </w:r>
          </w:p>
        </w:tc>
        <w:tc>
          <w:tcPr>
            <w:tcW w:type="dxa" w:w="3168"/>
            <w:shd w:fill="FFFFFF"/>
            <w:tcMar>
              <w:top w:w="80" w:type="dxa"/>
              <w:bottom w:w="80" w:type="dxa"/>
              <w:left w:w="120" w:type="dxa"/>
              <w:right w:w="120" w:type="dxa"/>
            </w:tcMar>
          </w:tcPr>
          <w:p>
            <w:r>
              <w:rPr>
                <w:rFonts w:ascii="Calibri" w:hAnsi="Calibri"/>
                <w:color w:val="2D3748"/>
                <w:sz w:val="18"/>
              </w:rPr>
              <w:t>Raw numerical float</w:t>
            </w:r>
          </w:p>
        </w:tc>
        <w:tc>
          <w:tcPr>
            <w:tcW w:type="dxa" w:w="3600"/>
            <w:shd w:fill="FFFFFF"/>
            <w:tcMar>
              <w:top w:w="80" w:type="dxa"/>
              <w:bottom w:w="80" w:type="dxa"/>
              <w:left w:w="120" w:type="dxa"/>
              <w:right w:w="120" w:type="dxa"/>
            </w:tcMar>
          </w:tcPr>
          <w:p>
            <w:r>
              <w:rPr>
                <w:rFonts w:ascii="Calibri" w:hAnsi="Calibri"/>
                <w:color w:val="2D3748"/>
                <w:sz w:val="18"/>
              </w:rPr>
              <w:t>Pre-transaction recipient balance from ledger. SAFE.</w:t>
            </w:r>
          </w:p>
        </w:tc>
      </w:tr>
      <w:tr>
        <w:tc>
          <w:tcPr>
            <w:tcW w:type="dxa" w:w="2592"/>
            <w:shd w:fill="F7FAFC"/>
            <w:tcMar>
              <w:top w:w="80" w:type="dxa"/>
              <w:bottom w:w="80" w:type="dxa"/>
              <w:left w:w="120" w:type="dxa"/>
              <w:right w:w="120" w:type="dxa"/>
            </w:tcMar>
          </w:tcPr>
          <w:p>
            <w:r>
              <w:rPr>
                <w:rFonts w:ascii="Calibri" w:hAnsi="Calibri"/>
                <w:color w:val="2D3748"/>
                <w:sz w:val="18"/>
              </w:rPr>
              <w:t>newbalanceDest</w:t>
            </w:r>
          </w:p>
        </w:tc>
        <w:tc>
          <w:tcPr>
            <w:tcW w:type="dxa" w:w="3168"/>
            <w:shd w:fill="F7FAFC"/>
            <w:tcMar>
              <w:top w:w="80" w:type="dxa"/>
              <w:bottom w:w="80" w:type="dxa"/>
              <w:left w:w="120" w:type="dxa"/>
              <w:right w:w="120" w:type="dxa"/>
            </w:tcMar>
          </w:tcPr>
          <w:p>
            <w:r>
              <w:rPr>
                <w:rFonts w:ascii="Calibri" w:hAnsi="Calibri"/>
                <w:color w:val="2D3748"/>
                <w:sz w:val="18"/>
              </w:rPr>
              <w:t>Raw numerical float</w:t>
            </w:r>
          </w:p>
        </w:tc>
        <w:tc>
          <w:tcPr>
            <w:tcW w:type="dxa" w:w="3600"/>
            <w:shd w:fill="F7FAFC"/>
            <w:tcMar>
              <w:top w:w="80" w:type="dxa"/>
              <w:bottom w:w="80" w:type="dxa"/>
              <w:left w:w="120" w:type="dxa"/>
              <w:right w:w="120" w:type="dxa"/>
            </w:tcMar>
          </w:tcPr>
          <w:p>
            <w:r>
              <w:rPr>
                <w:rFonts w:ascii="Calibri" w:hAnsi="Calibri"/>
                <w:color w:val="2D3748"/>
                <w:sz w:val="18"/>
              </w:rPr>
              <w:t>Post-transaction recipient balance from ledger. SAFE.</w:t>
            </w:r>
          </w:p>
        </w:tc>
      </w:tr>
      <w:tr>
        <w:tc>
          <w:tcPr>
            <w:tcW w:type="dxa" w:w="2592"/>
            <w:shd w:fill="FFFFFF"/>
            <w:tcMar>
              <w:top w:w="80" w:type="dxa"/>
              <w:bottom w:w="80" w:type="dxa"/>
              <w:left w:w="120" w:type="dxa"/>
              <w:right w:w="120" w:type="dxa"/>
            </w:tcMar>
          </w:tcPr>
          <w:p>
            <w:r>
              <w:rPr>
                <w:rFonts w:ascii="Calibri" w:hAnsi="Calibri"/>
                <w:color w:val="2D3748"/>
                <w:sz w:val="18"/>
              </w:rPr>
              <w:t>log_amount</w:t>
            </w:r>
          </w:p>
        </w:tc>
        <w:tc>
          <w:tcPr>
            <w:tcW w:type="dxa" w:w="3168"/>
            <w:shd w:fill="FFFFFF"/>
            <w:tcMar>
              <w:top w:w="80" w:type="dxa"/>
              <w:bottom w:w="80" w:type="dxa"/>
              <w:left w:w="120" w:type="dxa"/>
              <w:right w:w="120" w:type="dxa"/>
            </w:tcMar>
          </w:tcPr>
          <w:p>
            <w:r>
              <w:rPr>
                <w:rFonts w:ascii="Calibri" w:hAnsi="Calibri"/>
                <w:color w:val="2D3748"/>
                <w:sz w:val="18"/>
              </w:rPr>
              <w:t>log_e(amount + 1.0)</w:t>
            </w:r>
          </w:p>
        </w:tc>
        <w:tc>
          <w:tcPr>
            <w:tcW w:type="dxa" w:w="3600"/>
            <w:shd w:fill="FFFFFF"/>
            <w:tcMar>
              <w:top w:w="80" w:type="dxa"/>
              <w:bottom w:w="80" w:type="dxa"/>
              <w:left w:w="120" w:type="dxa"/>
              <w:right w:w="120" w:type="dxa"/>
            </w:tcMar>
          </w:tcPr>
          <w:p>
            <w:r>
              <w:rPr>
                <w:rFonts w:ascii="Calibri" w:hAnsi="Calibri"/>
                <w:color w:val="2D3748"/>
                <w:sz w:val="18"/>
              </w:rPr>
              <w:t>Compresses extreme monetary positive skew; stabilizes neural network gradients. SAFE.</w:t>
            </w:r>
          </w:p>
        </w:tc>
      </w:tr>
      <w:tr>
        <w:tc>
          <w:tcPr>
            <w:tcW w:type="dxa" w:w="2592"/>
            <w:shd w:fill="F7FAFC"/>
            <w:tcMar>
              <w:top w:w="80" w:type="dxa"/>
              <w:bottom w:w="80" w:type="dxa"/>
              <w:left w:w="120" w:type="dxa"/>
              <w:right w:w="120" w:type="dxa"/>
            </w:tcMar>
          </w:tcPr>
          <w:p>
            <w:r>
              <w:rPr>
                <w:rFonts w:ascii="Calibri" w:hAnsi="Calibri"/>
                <w:color w:val="2D3748"/>
                <w:sz w:val="18"/>
              </w:rPr>
              <w:t>is_transfer</w:t>
            </w:r>
          </w:p>
        </w:tc>
        <w:tc>
          <w:tcPr>
            <w:tcW w:type="dxa" w:w="3168"/>
            <w:shd w:fill="F7FAFC"/>
            <w:tcMar>
              <w:top w:w="80" w:type="dxa"/>
              <w:bottom w:w="80" w:type="dxa"/>
              <w:left w:w="120" w:type="dxa"/>
              <w:right w:w="120" w:type="dxa"/>
            </w:tcMar>
          </w:tcPr>
          <w:p>
            <w:r>
              <w:rPr>
                <w:rFonts w:ascii="Calibri" w:hAnsi="Calibri"/>
                <w:color w:val="2D3748"/>
                <w:sz w:val="18"/>
              </w:rPr>
              <w:t>I(type == 'TRANSFER')</w:t>
            </w:r>
          </w:p>
        </w:tc>
        <w:tc>
          <w:tcPr>
            <w:tcW w:type="dxa" w:w="3600"/>
            <w:shd w:fill="F7FAFC"/>
            <w:tcMar>
              <w:top w:w="80" w:type="dxa"/>
              <w:bottom w:w="80" w:type="dxa"/>
              <w:left w:w="120" w:type="dxa"/>
              <w:right w:w="120" w:type="dxa"/>
            </w:tcMar>
          </w:tcPr>
          <w:p>
            <w:r>
              <w:rPr>
                <w:rFonts w:ascii="Calibri" w:hAnsi="Calibri"/>
                <w:color w:val="2D3748"/>
                <w:sz w:val="18"/>
              </w:rPr>
              <w:t>Binary indicator for inter-account transfer routing. SAFE.</w:t>
            </w:r>
          </w:p>
        </w:tc>
      </w:tr>
      <w:tr>
        <w:tc>
          <w:tcPr>
            <w:tcW w:type="dxa" w:w="2592"/>
            <w:shd w:fill="FFFFFF"/>
            <w:tcMar>
              <w:top w:w="80" w:type="dxa"/>
              <w:bottom w:w="80" w:type="dxa"/>
              <w:left w:w="120" w:type="dxa"/>
              <w:right w:w="120" w:type="dxa"/>
            </w:tcMar>
          </w:tcPr>
          <w:p>
            <w:r>
              <w:rPr>
                <w:rFonts w:ascii="Calibri" w:hAnsi="Calibri"/>
                <w:color w:val="2D3748"/>
                <w:sz w:val="18"/>
              </w:rPr>
              <w:t>is_cash_out</w:t>
            </w:r>
          </w:p>
        </w:tc>
        <w:tc>
          <w:tcPr>
            <w:tcW w:type="dxa" w:w="3168"/>
            <w:shd w:fill="FFFFFF"/>
            <w:tcMar>
              <w:top w:w="80" w:type="dxa"/>
              <w:bottom w:w="80" w:type="dxa"/>
              <w:left w:w="120" w:type="dxa"/>
              <w:right w:w="120" w:type="dxa"/>
            </w:tcMar>
          </w:tcPr>
          <w:p>
            <w:r>
              <w:rPr>
                <w:rFonts w:ascii="Calibri" w:hAnsi="Calibri"/>
                <w:color w:val="2D3748"/>
                <w:sz w:val="18"/>
              </w:rPr>
              <w:t>I(type == 'CASH_OUT')</w:t>
            </w:r>
          </w:p>
        </w:tc>
        <w:tc>
          <w:tcPr>
            <w:tcW w:type="dxa" w:w="3600"/>
            <w:shd w:fill="FFFFFF"/>
            <w:tcMar>
              <w:top w:w="80" w:type="dxa"/>
              <w:bottom w:w="80" w:type="dxa"/>
              <w:left w:w="120" w:type="dxa"/>
              <w:right w:w="120" w:type="dxa"/>
            </w:tcMar>
          </w:tcPr>
          <w:p>
            <w:r>
              <w:rPr>
                <w:rFonts w:ascii="Calibri" w:hAnsi="Calibri"/>
                <w:color w:val="2D3748"/>
                <w:sz w:val="18"/>
              </w:rPr>
              <w:t>Binary indicator for ATM/agent cash-out liquidation routing. SAFE.</w:t>
            </w:r>
          </w:p>
        </w:tc>
      </w:tr>
      <w:tr>
        <w:tc>
          <w:tcPr>
            <w:tcW w:type="dxa" w:w="2592"/>
            <w:shd w:fill="F7FAFC"/>
            <w:tcMar>
              <w:top w:w="80" w:type="dxa"/>
              <w:bottom w:w="80" w:type="dxa"/>
              <w:left w:w="120" w:type="dxa"/>
              <w:right w:w="120" w:type="dxa"/>
            </w:tcMar>
          </w:tcPr>
          <w:p>
            <w:r>
              <w:rPr>
                <w:rFonts w:ascii="Calibri" w:hAnsi="Calibri"/>
                <w:color w:val="2D3748"/>
                <w:sz w:val="18"/>
              </w:rPr>
              <w:t>hour_of_day</w:t>
            </w:r>
          </w:p>
        </w:tc>
        <w:tc>
          <w:tcPr>
            <w:tcW w:type="dxa" w:w="3168"/>
            <w:shd w:fill="F7FAFC"/>
            <w:tcMar>
              <w:top w:w="80" w:type="dxa"/>
              <w:bottom w:w="80" w:type="dxa"/>
              <w:left w:w="120" w:type="dxa"/>
              <w:right w:w="120" w:type="dxa"/>
            </w:tcMar>
          </w:tcPr>
          <w:p>
            <w:r>
              <w:rPr>
                <w:rFonts w:ascii="Calibri" w:hAnsi="Calibri"/>
                <w:color w:val="2D3748"/>
                <w:sz w:val="18"/>
              </w:rPr>
              <w:t>step mod 24</w:t>
            </w:r>
          </w:p>
        </w:tc>
        <w:tc>
          <w:tcPr>
            <w:tcW w:type="dxa" w:w="3600"/>
            <w:shd w:fill="F7FAFC"/>
            <w:tcMar>
              <w:top w:w="80" w:type="dxa"/>
              <w:bottom w:w="80" w:type="dxa"/>
              <w:left w:w="120" w:type="dxa"/>
              <w:right w:w="120" w:type="dxa"/>
            </w:tcMar>
          </w:tcPr>
          <w:p>
            <w:r>
              <w:rPr>
                <w:rFonts w:ascii="Calibri" w:hAnsi="Calibri"/>
                <w:color w:val="2D3748"/>
                <w:sz w:val="18"/>
              </w:rPr>
              <w:t>Diurnal hour (0 to 23). Captures human circadian activity cycles. SAFE.</w:t>
            </w:r>
          </w:p>
        </w:tc>
      </w:tr>
      <w:tr>
        <w:tc>
          <w:tcPr>
            <w:tcW w:type="dxa" w:w="2592"/>
            <w:shd w:fill="FFFFFF"/>
            <w:tcMar>
              <w:top w:w="80" w:type="dxa"/>
              <w:bottom w:w="80" w:type="dxa"/>
              <w:left w:w="120" w:type="dxa"/>
              <w:right w:w="120" w:type="dxa"/>
            </w:tcMar>
          </w:tcPr>
          <w:p>
            <w:r>
              <w:rPr>
                <w:rFonts w:ascii="Calibri" w:hAnsi="Calibri"/>
                <w:color w:val="2D3748"/>
                <w:sz w:val="18"/>
              </w:rPr>
              <w:t>hour_sin</w:t>
            </w:r>
          </w:p>
        </w:tc>
        <w:tc>
          <w:tcPr>
            <w:tcW w:type="dxa" w:w="3168"/>
            <w:shd w:fill="FFFFFF"/>
            <w:tcMar>
              <w:top w:w="80" w:type="dxa"/>
              <w:bottom w:w="80" w:type="dxa"/>
              <w:left w:w="120" w:type="dxa"/>
              <w:right w:w="120" w:type="dxa"/>
            </w:tcMar>
          </w:tcPr>
          <w:p>
            <w:r>
              <w:rPr>
                <w:rFonts w:ascii="Calibri" w:hAnsi="Calibri"/>
                <w:color w:val="2D3748"/>
                <w:sz w:val="18"/>
              </w:rPr>
              <w:t>sin(2 * pi * hour / 24)</w:t>
            </w:r>
          </w:p>
        </w:tc>
        <w:tc>
          <w:tcPr>
            <w:tcW w:type="dxa" w:w="3600"/>
            <w:shd w:fill="FFFFFF"/>
            <w:tcMar>
              <w:top w:w="80" w:type="dxa"/>
              <w:bottom w:w="80" w:type="dxa"/>
              <w:left w:w="120" w:type="dxa"/>
              <w:right w:w="120" w:type="dxa"/>
            </w:tcMar>
          </w:tcPr>
          <w:p>
            <w:r>
              <w:rPr>
                <w:rFonts w:ascii="Calibri" w:hAnsi="Calibri"/>
                <w:color w:val="2D3748"/>
                <w:sz w:val="18"/>
              </w:rPr>
              <w:t>Cyclical circular sine encoding ensuring continuity at midnight (23:00 to 00:00). SAFE.</w:t>
            </w:r>
          </w:p>
        </w:tc>
      </w:tr>
      <w:tr>
        <w:tc>
          <w:tcPr>
            <w:tcW w:type="dxa" w:w="2592"/>
            <w:shd w:fill="F7FAFC"/>
            <w:tcMar>
              <w:top w:w="80" w:type="dxa"/>
              <w:bottom w:w="80" w:type="dxa"/>
              <w:left w:w="120" w:type="dxa"/>
              <w:right w:w="120" w:type="dxa"/>
            </w:tcMar>
          </w:tcPr>
          <w:p>
            <w:r>
              <w:rPr>
                <w:rFonts w:ascii="Calibri" w:hAnsi="Calibri"/>
                <w:color w:val="2D3748"/>
                <w:sz w:val="18"/>
              </w:rPr>
              <w:t>hour_cos</w:t>
            </w:r>
          </w:p>
        </w:tc>
        <w:tc>
          <w:tcPr>
            <w:tcW w:type="dxa" w:w="3168"/>
            <w:shd w:fill="F7FAFC"/>
            <w:tcMar>
              <w:top w:w="80" w:type="dxa"/>
              <w:bottom w:w="80" w:type="dxa"/>
              <w:left w:w="120" w:type="dxa"/>
              <w:right w:w="120" w:type="dxa"/>
            </w:tcMar>
          </w:tcPr>
          <w:p>
            <w:r>
              <w:rPr>
                <w:rFonts w:ascii="Calibri" w:hAnsi="Calibri"/>
                <w:color w:val="2D3748"/>
                <w:sz w:val="18"/>
              </w:rPr>
              <w:t>cos(2 * pi * hour / 24)</w:t>
            </w:r>
          </w:p>
        </w:tc>
        <w:tc>
          <w:tcPr>
            <w:tcW w:type="dxa" w:w="3600"/>
            <w:shd w:fill="F7FAFC"/>
            <w:tcMar>
              <w:top w:w="80" w:type="dxa"/>
              <w:bottom w:w="80" w:type="dxa"/>
              <w:left w:w="120" w:type="dxa"/>
              <w:right w:w="120" w:type="dxa"/>
            </w:tcMar>
          </w:tcPr>
          <w:p>
            <w:r>
              <w:rPr>
                <w:rFonts w:ascii="Calibri" w:hAnsi="Calibri"/>
                <w:color w:val="2D3748"/>
                <w:sz w:val="18"/>
              </w:rPr>
              <w:t>Cyclical circular cosine encoding ensuring smooth periodic representation. SAFE.</w:t>
            </w:r>
          </w:p>
        </w:tc>
      </w:tr>
      <w:tr>
        <w:tc>
          <w:tcPr>
            <w:tcW w:type="dxa" w:w="2592"/>
            <w:shd w:fill="FFFFFF"/>
            <w:tcMar>
              <w:top w:w="80" w:type="dxa"/>
              <w:bottom w:w="80" w:type="dxa"/>
              <w:left w:w="120" w:type="dxa"/>
              <w:right w:w="120" w:type="dxa"/>
            </w:tcMar>
          </w:tcPr>
          <w:p>
            <w:r>
              <w:rPr>
                <w:rFonts w:ascii="Calibri" w:hAnsi="Calibri"/>
                <w:color w:val="2D3748"/>
                <w:sz w:val="18"/>
              </w:rPr>
              <w:t>is_night_transaction</w:t>
            </w:r>
          </w:p>
        </w:tc>
        <w:tc>
          <w:tcPr>
            <w:tcW w:type="dxa" w:w="3168"/>
            <w:shd w:fill="FFFFFF"/>
            <w:tcMar>
              <w:top w:w="80" w:type="dxa"/>
              <w:bottom w:w="80" w:type="dxa"/>
              <w:left w:w="120" w:type="dxa"/>
              <w:right w:w="120" w:type="dxa"/>
            </w:tcMar>
          </w:tcPr>
          <w:p>
            <w:r>
              <w:rPr>
                <w:rFonts w:ascii="Calibri" w:hAnsi="Calibri"/>
                <w:color w:val="2D3748"/>
                <w:sz w:val="18"/>
              </w:rPr>
              <w:t>I(1 &lt;= hour &lt;= 6)</w:t>
            </w:r>
          </w:p>
        </w:tc>
        <w:tc>
          <w:tcPr>
            <w:tcW w:type="dxa" w:w="3600"/>
            <w:shd w:fill="FFFFFF"/>
            <w:tcMar>
              <w:top w:w="80" w:type="dxa"/>
              <w:bottom w:w="80" w:type="dxa"/>
              <w:left w:w="120" w:type="dxa"/>
              <w:right w:w="120" w:type="dxa"/>
            </w:tcMar>
          </w:tcPr>
          <w:p>
            <w:r>
              <w:rPr>
                <w:rFonts w:ascii="Calibri" w:hAnsi="Calibri"/>
                <w:color w:val="2D3748"/>
                <w:sz w:val="18"/>
              </w:rPr>
              <w:t>Flags the 01:00-06:00 window where fraud concentration surges to 22.3%. SAFE.</w:t>
            </w:r>
          </w:p>
        </w:tc>
      </w:tr>
      <w:tr>
        <w:tc>
          <w:tcPr>
            <w:tcW w:type="dxa" w:w="2592"/>
            <w:shd w:fill="F7FAFC"/>
            <w:tcMar>
              <w:top w:w="80" w:type="dxa"/>
              <w:bottom w:w="80" w:type="dxa"/>
              <w:left w:w="120" w:type="dxa"/>
              <w:right w:w="120" w:type="dxa"/>
            </w:tcMar>
          </w:tcPr>
          <w:p>
            <w:r>
              <w:rPr>
                <w:rFonts w:ascii="Calibri" w:hAnsi="Calibri"/>
                <w:color w:val="2D3748"/>
                <w:sz w:val="18"/>
              </w:rPr>
              <w:t>orig_balance_error</w:t>
            </w:r>
          </w:p>
        </w:tc>
        <w:tc>
          <w:tcPr>
            <w:tcW w:type="dxa" w:w="3168"/>
            <w:shd w:fill="F7FAFC"/>
            <w:tcMar>
              <w:top w:w="80" w:type="dxa"/>
              <w:bottom w:w="80" w:type="dxa"/>
              <w:left w:w="120" w:type="dxa"/>
              <w:right w:w="120" w:type="dxa"/>
            </w:tcMar>
          </w:tcPr>
          <w:p>
            <w:r>
              <w:rPr>
                <w:rFonts w:ascii="Calibri" w:hAnsi="Calibri"/>
                <w:color w:val="2D3748"/>
                <w:sz w:val="18"/>
              </w:rPr>
              <w:t>newOrig + amount - oldOrig</w:t>
            </w:r>
          </w:p>
        </w:tc>
        <w:tc>
          <w:tcPr>
            <w:tcW w:type="dxa" w:w="3600"/>
            <w:shd w:fill="F7FAFC"/>
            <w:tcMar>
              <w:top w:w="80" w:type="dxa"/>
              <w:bottom w:w="80" w:type="dxa"/>
              <w:left w:w="120" w:type="dxa"/>
              <w:right w:w="120" w:type="dxa"/>
            </w:tcMar>
          </w:tcPr>
          <w:p>
            <w:r>
              <w:rPr>
                <w:rFonts w:ascii="Calibri" w:hAnsi="Calibri"/>
                <w:color w:val="2D3748"/>
                <w:sz w:val="18"/>
              </w:rPr>
              <w:t>Quantifies deviation from double-entry ledger balance conservation on sender. SAFE.</w:t>
            </w:r>
          </w:p>
        </w:tc>
      </w:tr>
      <w:tr>
        <w:tc>
          <w:tcPr>
            <w:tcW w:type="dxa" w:w="2592"/>
            <w:shd w:fill="FFFFFF"/>
            <w:tcMar>
              <w:top w:w="80" w:type="dxa"/>
              <w:bottom w:w="80" w:type="dxa"/>
              <w:left w:w="120" w:type="dxa"/>
              <w:right w:w="120" w:type="dxa"/>
            </w:tcMar>
          </w:tcPr>
          <w:p>
            <w:r>
              <w:rPr>
                <w:rFonts w:ascii="Calibri" w:hAnsi="Calibri"/>
                <w:color w:val="2D3748"/>
                <w:sz w:val="18"/>
              </w:rPr>
              <w:t>orig_drain_ratio</w:t>
            </w:r>
          </w:p>
        </w:tc>
        <w:tc>
          <w:tcPr>
            <w:tcW w:type="dxa" w:w="3168"/>
            <w:shd w:fill="FFFFFF"/>
            <w:tcMar>
              <w:top w:w="80" w:type="dxa"/>
              <w:bottom w:w="80" w:type="dxa"/>
              <w:left w:w="120" w:type="dxa"/>
              <w:right w:w="120" w:type="dxa"/>
            </w:tcMar>
          </w:tcPr>
          <w:p>
            <w:r>
              <w:rPr>
                <w:rFonts w:ascii="Calibri" w:hAnsi="Calibri"/>
                <w:color w:val="2D3748"/>
                <w:sz w:val="18"/>
              </w:rPr>
              <w:t>amount / (oldOrig + 1.0)</w:t>
            </w:r>
          </w:p>
        </w:tc>
        <w:tc>
          <w:tcPr>
            <w:tcW w:type="dxa" w:w="3600"/>
            <w:shd w:fill="FFFFFF"/>
            <w:tcMar>
              <w:top w:w="80" w:type="dxa"/>
              <w:bottom w:w="80" w:type="dxa"/>
              <w:left w:w="120" w:type="dxa"/>
              <w:right w:w="120" w:type="dxa"/>
            </w:tcMar>
          </w:tcPr>
          <w:p>
            <w:r>
              <w:rPr>
                <w:rFonts w:ascii="Calibri" w:hAnsi="Calibri"/>
                <w:color w:val="2D3748"/>
                <w:sz w:val="18"/>
              </w:rPr>
              <w:t>Proportion of sender liquidity liquidated (epsilon prevents zero division). SAFE.</w:t>
            </w:r>
          </w:p>
        </w:tc>
      </w:tr>
      <w:tr>
        <w:tc>
          <w:tcPr>
            <w:tcW w:type="dxa" w:w="2592"/>
            <w:shd w:fill="F7FAFC"/>
            <w:tcMar>
              <w:top w:w="80" w:type="dxa"/>
              <w:bottom w:w="80" w:type="dxa"/>
              <w:left w:w="120" w:type="dxa"/>
              <w:right w:w="120" w:type="dxa"/>
            </w:tcMar>
          </w:tcPr>
          <w:p>
            <w:r>
              <w:rPr>
                <w:rFonts w:ascii="Calibri" w:hAnsi="Calibri"/>
                <w:color w:val="2D3748"/>
                <w:sz w:val="18"/>
              </w:rPr>
              <w:t>is_full_liquidation</w:t>
            </w:r>
          </w:p>
        </w:tc>
        <w:tc>
          <w:tcPr>
            <w:tcW w:type="dxa" w:w="3168"/>
            <w:shd w:fill="F7FAFC"/>
            <w:tcMar>
              <w:top w:w="80" w:type="dxa"/>
              <w:bottom w:w="80" w:type="dxa"/>
              <w:left w:w="120" w:type="dxa"/>
              <w:right w:w="120" w:type="dxa"/>
            </w:tcMar>
          </w:tcPr>
          <w:p>
            <w:r>
              <w:rPr>
                <w:rFonts w:ascii="Calibri" w:hAnsi="Calibri"/>
                <w:color w:val="2D3748"/>
                <w:sz w:val="18"/>
              </w:rPr>
              <w:t>I(oldOrig &gt; 0 and newOrig == 0)</w:t>
            </w:r>
          </w:p>
        </w:tc>
        <w:tc>
          <w:tcPr>
            <w:tcW w:type="dxa" w:w="3600"/>
            <w:shd w:fill="F7FAFC"/>
            <w:tcMar>
              <w:top w:w="80" w:type="dxa"/>
              <w:bottom w:w="80" w:type="dxa"/>
              <w:left w:w="120" w:type="dxa"/>
              <w:right w:w="120" w:type="dxa"/>
            </w:tcMar>
          </w:tcPr>
          <w:p>
            <w:r>
              <w:rPr>
                <w:rFonts w:ascii="Calibri" w:hAnsi="Calibri"/>
                <w:color w:val="2D3748"/>
                <w:sz w:val="18"/>
              </w:rPr>
              <w:t>Flags 100% account balance drainage (observed in 97.55% of fraud). SAFE.</w:t>
            </w:r>
          </w:p>
        </w:tc>
      </w:tr>
      <w:tr>
        <w:tc>
          <w:tcPr>
            <w:tcW w:type="dxa" w:w="2592"/>
            <w:shd w:fill="FFFFFF"/>
            <w:tcMar>
              <w:top w:w="80" w:type="dxa"/>
              <w:bottom w:w="80" w:type="dxa"/>
              <w:left w:w="120" w:type="dxa"/>
              <w:right w:w="120" w:type="dxa"/>
            </w:tcMar>
          </w:tcPr>
          <w:p>
            <w:r>
              <w:rPr>
                <w:rFonts w:ascii="Calibri" w:hAnsi="Calibri"/>
                <w:color w:val="2D3748"/>
                <w:sz w:val="18"/>
              </w:rPr>
              <w:t>dest_balance_error</w:t>
            </w:r>
          </w:p>
        </w:tc>
        <w:tc>
          <w:tcPr>
            <w:tcW w:type="dxa" w:w="3168"/>
            <w:shd w:fill="FFFFFF"/>
            <w:tcMar>
              <w:top w:w="80" w:type="dxa"/>
              <w:bottom w:w="80" w:type="dxa"/>
              <w:left w:w="120" w:type="dxa"/>
              <w:right w:w="120" w:type="dxa"/>
            </w:tcMar>
          </w:tcPr>
          <w:p>
            <w:r>
              <w:rPr>
                <w:rFonts w:ascii="Calibri" w:hAnsi="Calibri"/>
                <w:color w:val="2D3748"/>
                <w:sz w:val="18"/>
              </w:rPr>
              <w:t>oldDest + amount - newDest</w:t>
            </w:r>
          </w:p>
        </w:tc>
        <w:tc>
          <w:tcPr>
            <w:tcW w:type="dxa" w:w="3600"/>
            <w:shd w:fill="FFFFFF"/>
            <w:tcMar>
              <w:top w:w="80" w:type="dxa"/>
              <w:bottom w:w="80" w:type="dxa"/>
              <w:left w:w="120" w:type="dxa"/>
              <w:right w:w="120" w:type="dxa"/>
            </w:tcMar>
          </w:tcPr>
          <w:p>
            <w:r>
              <w:rPr>
                <w:rFonts w:ascii="Calibri" w:hAnsi="Calibri"/>
                <w:color w:val="2D3748"/>
                <w:sz w:val="18"/>
              </w:rPr>
              <w:t>Quantifies deviation from expected balance addition on recipient ledger. SAFE.</w:t>
            </w:r>
          </w:p>
        </w:tc>
      </w:tr>
      <w:tr>
        <w:tc>
          <w:tcPr>
            <w:tcW w:type="dxa" w:w="2592"/>
            <w:shd w:fill="F7FAFC"/>
            <w:tcMar>
              <w:top w:w="80" w:type="dxa"/>
              <w:bottom w:w="80" w:type="dxa"/>
              <w:left w:w="120" w:type="dxa"/>
              <w:right w:w="120" w:type="dxa"/>
            </w:tcMar>
          </w:tcPr>
          <w:p>
            <w:r>
              <w:rPr>
                <w:rFonts w:ascii="Calibri" w:hAnsi="Calibri"/>
                <w:color w:val="2D3748"/>
                <w:sz w:val="18"/>
              </w:rPr>
              <w:t>dest_drain_ratio</w:t>
            </w:r>
          </w:p>
        </w:tc>
        <w:tc>
          <w:tcPr>
            <w:tcW w:type="dxa" w:w="3168"/>
            <w:shd w:fill="F7FAFC"/>
            <w:tcMar>
              <w:top w:w="80" w:type="dxa"/>
              <w:bottom w:w="80" w:type="dxa"/>
              <w:left w:w="120" w:type="dxa"/>
              <w:right w:w="120" w:type="dxa"/>
            </w:tcMar>
          </w:tcPr>
          <w:p>
            <w:r>
              <w:rPr>
                <w:rFonts w:ascii="Calibri" w:hAnsi="Calibri"/>
                <w:color w:val="2D3748"/>
                <w:sz w:val="18"/>
              </w:rPr>
              <w:t>amount / (newDest + 1.0)</w:t>
            </w:r>
          </w:p>
        </w:tc>
        <w:tc>
          <w:tcPr>
            <w:tcW w:type="dxa" w:w="3600"/>
            <w:shd w:fill="F7FAFC"/>
            <w:tcMar>
              <w:top w:w="80" w:type="dxa"/>
              <w:bottom w:w="80" w:type="dxa"/>
              <w:left w:w="120" w:type="dxa"/>
              <w:right w:w="120" w:type="dxa"/>
            </w:tcMar>
          </w:tcPr>
          <w:p>
            <w:r>
              <w:rPr>
                <w:rFonts w:ascii="Calibri" w:hAnsi="Calibri"/>
                <w:color w:val="2D3748"/>
                <w:sz w:val="18"/>
              </w:rPr>
              <w:t>Ratio of transferred amount relative to recipient ending balance. SAFE.</w:t>
            </w:r>
          </w:p>
        </w:tc>
      </w:tr>
      <w:tr>
        <w:tc>
          <w:tcPr>
            <w:tcW w:type="dxa" w:w="2592"/>
            <w:shd w:fill="FFFFFF"/>
            <w:tcMar>
              <w:top w:w="80" w:type="dxa"/>
              <w:bottom w:w="80" w:type="dxa"/>
              <w:left w:w="120" w:type="dxa"/>
              <w:right w:w="120" w:type="dxa"/>
            </w:tcMar>
          </w:tcPr>
          <w:p>
            <w:r>
              <w:rPr>
                <w:rFonts w:ascii="Calibri" w:hAnsi="Calibri"/>
                <w:color w:val="2D3748"/>
                <w:sz w:val="18"/>
              </w:rPr>
              <w:t>dest_zero_balance_anomaly</w:t>
            </w:r>
          </w:p>
        </w:tc>
        <w:tc>
          <w:tcPr>
            <w:tcW w:type="dxa" w:w="3168"/>
            <w:shd w:fill="FFFFFF"/>
            <w:tcMar>
              <w:top w:w="80" w:type="dxa"/>
              <w:bottom w:w="80" w:type="dxa"/>
              <w:left w:w="120" w:type="dxa"/>
              <w:right w:w="120" w:type="dxa"/>
            </w:tcMar>
          </w:tcPr>
          <w:p>
            <w:r>
              <w:rPr>
                <w:rFonts w:ascii="Calibri" w:hAnsi="Calibri"/>
                <w:color w:val="2D3748"/>
                <w:sz w:val="18"/>
              </w:rPr>
              <w:t>I(oldDest==0 and newDest==0 and amount&gt;0)</w:t>
            </w:r>
          </w:p>
        </w:tc>
        <w:tc>
          <w:tcPr>
            <w:tcW w:type="dxa" w:w="3600"/>
            <w:shd w:fill="FFFFFF"/>
            <w:tcMar>
              <w:top w:w="80" w:type="dxa"/>
              <w:bottom w:w="80" w:type="dxa"/>
              <w:left w:w="120" w:type="dxa"/>
              <w:right w:w="120" w:type="dxa"/>
            </w:tcMar>
          </w:tcPr>
          <w:p>
            <w:r>
              <w:rPr>
                <w:rFonts w:ascii="Calibri" w:hAnsi="Calibri"/>
                <w:color w:val="2D3748"/>
                <w:sz w:val="18"/>
              </w:rPr>
              <w:t>Mule account marker: recipient balances remain zero despite fund arrival. SAFE.</w:t>
            </w:r>
          </w:p>
        </w:tc>
      </w:tr>
    </w:tbl>
    <w:p/>
    <w:p>
      <w:pPr>
        <w:pStyle w:val="Heading2"/>
        <w:spacing w:before="240" w:after="120"/>
      </w:pPr>
      <w:r>
        <w:rPr>
          <w:rFonts w:ascii="Calibri" w:hAnsi="Calibri"/>
          <w:color w:val="2B6CB0"/>
        </w:rPr>
        <w:t>Target Isolation &amp; Excluded Features</w:t>
      </w:r>
    </w:p>
    <w:p>
      <w:r>
        <w:t>To guarantee zero data leakage, strict programmatic assertions verify that the following fields NEVER enter feature matrix X:</w:t>
        <w:br/>
        <w:t>• isFraud: Ground truth target; strictly isolated as dependent variable y.</w:t>
        <w:br/>
        <w:t>• isFlaggedFraud: Excluded completely. It is an artificial simulator rule (&gt; $200,000) that missed 99.8% of fraud and represents a downstream policy output.</w:t>
        <w:br/>
        <w:t>• nameOrig &amp; nameDest: Raw string identifiers (6.35M unique senders). 99.85% of senders appear exactly once; feeding raw IDs into models causes severe memorization.</w:t>
        <w:br/>
        <w:t>• step: Monotonically increasing counter. Replaced by cyclical diurnal features to prevent linear split drift in tree models.</w:t>
        <w:br/>
        <w:t>• Sender Behavioral Velocity: Multi-transaction rolling velocity features (e.g., transactions in past hour) were investigated and deliberately deferred because 99.85% of senders in PaySim appear only once. Computing historical rolling aggregates on single-occurrence entities creates meaningless sparse columns; velocity features will be implemented via stateful Redis caching in Milestone 8.</w:t>
      </w:r>
    </w:p>
    <w:p>
      <w:pPr>
        <w:pStyle w:val="Heading2"/>
        <w:spacing w:before="240" w:after="120"/>
      </w:pPr>
      <w:r>
        <w:rPr>
          <w:rFonts w:ascii="Calibri" w:hAnsi="Calibri"/>
          <w:color w:val="2B6CB0"/>
        </w:rPr>
        <w:t>Chronological Temporal Partitioning</w:t>
      </w:r>
    </w:p>
    <w:p>
      <w:r>
        <w:t>Random k-fold cross-validation was strictly rejected because it leaks future diurnal patterns into past training. The modeling subspace (2,770,409 rows) was partitioned chronologically along the simulation timeline:</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728"/>
            <w:shd w:fill="1A365D"/>
            <w:tcMar>
              <w:top w:w="120" w:type="dxa"/>
              <w:bottom w:w="120" w:type="dxa"/>
              <w:left w:w="140" w:type="dxa"/>
              <w:right w:w="140" w:type="dxa"/>
            </w:tcMar>
          </w:tcPr>
          <w:p>
            <w:pPr>
              <w:jc w:val="left"/>
            </w:pPr>
            <w:r>
              <w:rPr>
                <w:rFonts w:ascii="Calibri" w:hAnsi="Calibri"/>
                <w:b/>
                <w:color w:val="FFFFFF"/>
                <w:sz w:val="19"/>
              </w:rPr>
              <w:t>Partition</w:t>
            </w:r>
          </w:p>
        </w:tc>
        <w:tc>
          <w:tcPr>
            <w:tcW w:type="dxa" w:w="1728"/>
            <w:shd w:fill="1A365D"/>
            <w:tcMar>
              <w:top w:w="120" w:type="dxa"/>
              <w:bottom w:w="120" w:type="dxa"/>
              <w:left w:w="140" w:type="dxa"/>
              <w:right w:w="140" w:type="dxa"/>
            </w:tcMar>
          </w:tcPr>
          <w:p>
            <w:pPr>
              <w:jc w:val="left"/>
            </w:pPr>
            <w:r>
              <w:rPr>
                <w:rFonts w:ascii="Calibri" w:hAnsi="Calibri"/>
                <w:b/>
                <w:color w:val="FFFFFF"/>
                <w:sz w:val="19"/>
              </w:rPr>
              <w:t>Step Range</w:t>
            </w:r>
          </w:p>
        </w:tc>
        <w:tc>
          <w:tcPr>
            <w:tcW w:type="dxa" w:w="1728"/>
            <w:shd w:fill="1A365D"/>
            <w:tcMar>
              <w:top w:w="120" w:type="dxa"/>
              <w:bottom w:w="120" w:type="dxa"/>
              <w:left w:w="140" w:type="dxa"/>
              <w:right w:w="140" w:type="dxa"/>
            </w:tcMar>
          </w:tcPr>
          <w:p>
            <w:pPr>
              <w:jc w:val="left"/>
            </w:pPr>
            <w:r>
              <w:rPr>
                <w:rFonts w:ascii="Calibri" w:hAnsi="Calibri"/>
                <w:b/>
                <w:color w:val="FFFFFF"/>
                <w:sz w:val="19"/>
              </w:rPr>
              <w:t>Row Count</w:t>
            </w:r>
          </w:p>
        </w:tc>
        <w:tc>
          <w:tcPr>
            <w:tcW w:type="dxa" w:w="1440"/>
            <w:shd w:fill="1A365D"/>
            <w:tcMar>
              <w:top w:w="120" w:type="dxa"/>
              <w:bottom w:w="120" w:type="dxa"/>
              <w:left w:w="140" w:type="dxa"/>
              <w:right w:w="140" w:type="dxa"/>
            </w:tcMar>
          </w:tcPr>
          <w:p>
            <w:pPr>
              <w:jc w:val="left"/>
            </w:pPr>
            <w:r>
              <w:rPr>
                <w:rFonts w:ascii="Calibri" w:hAnsi="Calibri"/>
                <w:b/>
                <w:color w:val="FFFFFF"/>
                <w:sz w:val="19"/>
              </w:rPr>
              <w:t>Fraud Count</w:t>
            </w:r>
          </w:p>
        </w:tc>
        <w:tc>
          <w:tcPr>
            <w:tcW w:type="dxa" w:w="1440"/>
            <w:shd w:fill="1A365D"/>
            <w:tcMar>
              <w:top w:w="120" w:type="dxa"/>
              <w:bottom w:w="120" w:type="dxa"/>
              <w:left w:w="140" w:type="dxa"/>
              <w:right w:w="140" w:type="dxa"/>
            </w:tcMar>
          </w:tcPr>
          <w:p>
            <w:pPr>
              <w:jc w:val="left"/>
            </w:pPr>
            <w:r>
              <w:rPr>
                <w:rFonts w:ascii="Calibri" w:hAnsi="Calibri"/>
                <w:b/>
                <w:color w:val="FFFFFF"/>
                <w:sz w:val="19"/>
              </w:rPr>
              <w:t>Fraud Rate</w:t>
            </w:r>
          </w:p>
        </w:tc>
        <w:tc>
          <w:tcPr>
            <w:tcW w:type="dxa" w:w="1440"/>
            <w:shd w:fill="1A365D"/>
            <w:tcMar>
              <w:top w:w="120" w:type="dxa"/>
              <w:bottom w:w="120" w:type="dxa"/>
              <w:left w:w="140" w:type="dxa"/>
              <w:right w:w="140" w:type="dxa"/>
            </w:tcMar>
          </w:tcPr>
          <w:p>
            <w:pPr>
              <w:jc w:val="left"/>
            </w:pPr>
            <w:r>
              <w:rPr>
                <w:rFonts w:ascii="Calibri" w:hAnsi="Calibri"/>
                <w:b/>
                <w:color w:val="FFFFFF"/>
                <w:sz w:val="19"/>
              </w:rPr>
              <w:t>Imbalance</w:t>
            </w:r>
          </w:p>
        </w:tc>
      </w:tr>
      <w:tr>
        <w:tc>
          <w:tcPr>
            <w:tcW w:type="dxa" w:w="1728"/>
            <w:shd w:fill="F7FAFC"/>
            <w:tcMar>
              <w:top w:w="80" w:type="dxa"/>
              <w:bottom w:w="80" w:type="dxa"/>
              <w:left w:w="120" w:type="dxa"/>
              <w:right w:w="120" w:type="dxa"/>
            </w:tcMar>
          </w:tcPr>
          <w:p>
            <w:r>
              <w:rPr>
                <w:rFonts w:ascii="Calibri" w:hAnsi="Calibri"/>
                <w:color w:val="2D3748"/>
                <w:sz w:val="18"/>
              </w:rPr>
              <w:t>Train</w:t>
            </w:r>
          </w:p>
        </w:tc>
        <w:tc>
          <w:tcPr>
            <w:tcW w:type="dxa" w:w="1728"/>
            <w:shd w:fill="F7FAFC"/>
            <w:tcMar>
              <w:top w:w="80" w:type="dxa"/>
              <w:bottom w:w="80" w:type="dxa"/>
              <w:left w:w="120" w:type="dxa"/>
              <w:right w:w="120" w:type="dxa"/>
            </w:tcMar>
          </w:tcPr>
          <w:p>
            <w:r>
              <w:rPr>
                <w:rFonts w:ascii="Calibri" w:hAnsi="Calibri"/>
                <w:color w:val="2D3748"/>
                <w:sz w:val="18"/>
              </w:rPr>
              <w:t>Steps 1 to 520 (70.0%)</w:t>
            </w:r>
          </w:p>
        </w:tc>
        <w:tc>
          <w:tcPr>
            <w:tcW w:type="dxa" w:w="1728"/>
            <w:shd w:fill="F7FAFC"/>
            <w:tcMar>
              <w:top w:w="80" w:type="dxa"/>
              <w:bottom w:w="80" w:type="dxa"/>
              <w:left w:w="120" w:type="dxa"/>
              <w:right w:w="120" w:type="dxa"/>
            </w:tcMar>
          </w:tcPr>
          <w:p>
            <w:r>
              <w:rPr>
                <w:rFonts w:ascii="Calibri" w:hAnsi="Calibri"/>
                <w:color w:val="2D3748"/>
                <w:sz w:val="18"/>
              </w:rPr>
              <w:t>2,653,729</w:t>
            </w:r>
          </w:p>
        </w:tc>
        <w:tc>
          <w:tcPr>
            <w:tcW w:type="dxa" w:w="1440"/>
            <w:shd w:fill="F7FAFC"/>
            <w:tcMar>
              <w:top w:w="80" w:type="dxa"/>
              <w:bottom w:w="80" w:type="dxa"/>
              <w:left w:w="120" w:type="dxa"/>
              <w:right w:w="120" w:type="dxa"/>
            </w:tcMar>
          </w:tcPr>
          <w:p>
            <w:r>
              <w:rPr>
                <w:rFonts w:ascii="Calibri" w:hAnsi="Calibri"/>
                <w:color w:val="2D3748"/>
                <w:sz w:val="18"/>
              </w:rPr>
              <w:t>5,781</w:t>
            </w:r>
          </w:p>
        </w:tc>
        <w:tc>
          <w:tcPr>
            <w:tcW w:type="dxa" w:w="1440"/>
            <w:shd w:fill="F7FAFC"/>
            <w:tcMar>
              <w:top w:w="80" w:type="dxa"/>
              <w:bottom w:w="80" w:type="dxa"/>
              <w:left w:w="120" w:type="dxa"/>
              <w:right w:w="120" w:type="dxa"/>
            </w:tcMar>
          </w:tcPr>
          <w:p>
            <w:r>
              <w:rPr>
                <w:rFonts w:ascii="Calibri" w:hAnsi="Calibri"/>
                <w:color w:val="2D3748"/>
                <w:sz w:val="18"/>
              </w:rPr>
              <w:t>0.2178%</w:t>
            </w:r>
          </w:p>
        </w:tc>
        <w:tc>
          <w:tcPr>
            <w:tcW w:type="dxa" w:w="1440"/>
            <w:shd w:fill="F7FAFC"/>
            <w:tcMar>
              <w:top w:w="80" w:type="dxa"/>
              <w:bottom w:w="80" w:type="dxa"/>
              <w:left w:w="120" w:type="dxa"/>
              <w:right w:w="120" w:type="dxa"/>
            </w:tcMar>
          </w:tcPr>
          <w:p>
            <w:r>
              <w:rPr>
                <w:rFonts w:ascii="Calibri" w:hAnsi="Calibri"/>
                <w:color w:val="2D3748"/>
                <w:sz w:val="18"/>
              </w:rPr>
              <w:t>458.0 : 1</w:t>
            </w:r>
          </w:p>
        </w:tc>
      </w:tr>
      <w:tr>
        <w:tc>
          <w:tcPr>
            <w:tcW w:type="dxa" w:w="1728"/>
            <w:shd w:fill="FFFFFF"/>
            <w:tcMar>
              <w:top w:w="80" w:type="dxa"/>
              <w:bottom w:w="80" w:type="dxa"/>
              <w:left w:w="120" w:type="dxa"/>
              <w:right w:w="120" w:type="dxa"/>
            </w:tcMar>
          </w:tcPr>
          <w:p>
            <w:r>
              <w:rPr>
                <w:rFonts w:ascii="Calibri" w:hAnsi="Calibri"/>
                <w:color w:val="2D3748"/>
                <w:sz w:val="18"/>
              </w:rPr>
              <w:t>Validation</w:t>
            </w:r>
          </w:p>
        </w:tc>
        <w:tc>
          <w:tcPr>
            <w:tcW w:type="dxa" w:w="1728"/>
            <w:shd w:fill="FFFFFF"/>
            <w:tcMar>
              <w:top w:w="80" w:type="dxa"/>
              <w:bottom w:w="80" w:type="dxa"/>
              <w:left w:w="120" w:type="dxa"/>
              <w:right w:w="120" w:type="dxa"/>
            </w:tcMar>
          </w:tcPr>
          <w:p>
            <w:r>
              <w:rPr>
                <w:rFonts w:ascii="Calibri" w:hAnsi="Calibri"/>
                <w:color w:val="2D3748"/>
                <w:sz w:val="18"/>
              </w:rPr>
              <w:t>Steps 521 to 631 (14.9%)</w:t>
            </w:r>
          </w:p>
        </w:tc>
        <w:tc>
          <w:tcPr>
            <w:tcW w:type="dxa" w:w="1728"/>
            <w:shd w:fill="FFFFFF"/>
            <w:tcMar>
              <w:top w:w="80" w:type="dxa"/>
              <w:bottom w:w="80" w:type="dxa"/>
              <w:left w:w="120" w:type="dxa"/>
              <w:right w:w="120" w:type="dxa"/>
            </w:tcMar>
          </w:tcPr>
          <w:p>
            <w:r>
              <w:rPr>
                <w:rFonts w:ascii="Calibri" w:hAnsi="Calibri"/>
                <w:color w:val="2D3748"/>
                <w:sz w:val="18"/>
              </w:rPr>
              <w:t>78,701</w:t>
            </w:r>
          </w:p>
        </w:tc>
        <w:tc>
          <w:tcPr>
            <w:tcW w:type="dxa" w:w="1440"/>
            <w:shd w:fill="FFFFFF"/>
            <w:tcMar>
              <w:top w:w="80" w:type="dxa"/>
              <w:bottom w:w="80" w:type="dxa"/>
              <w:left w:w="120" w:type="dxa"/>
              <w:right w:w="120" w:type="dxa"/>
            </w:tcMar>
          </w:tcPr>
          <w:p>
            <w:r>
              <w:rPr>
                <w:rFonts w:ascii="Calibri" w:hAnsi="Calibri"/>
                <w:color w:val="2D3748"/>
                <w:sz w:val="18"/>
              </w:rPr>
              <w:t>1,180</w:t>
            </w:r>
          </w:p>
        </w:tc>
        <w:tc>
          <w:tcPr>
            <w:tcW w:type="dxa" w:w="1440"/>
            <w:shd w:fill="FFFFFF"/>
            <w:tcMar>
              <w:top w:w="80" w:type="dxa"/>
              <w:bottom w:w="80" w:type="dxa"/>
              <w:left w:w="120" w:type="dxa"/>
              <w:right w:w="120" w:type="dxa"/>
            </w:tcMar>
          </w:tcPr>
          <w:p>
            <w:r>
              <w:rPr>
                <w:rFonts w:ascii="Calibri" w:hAnsi="Calibri"/>
                <w:color w:val="2D3748"/>
                <w:sz w:val="18"/>
              </w:rPr>
              <w:t>1.4993%</w:t>
            </w:r>
          </w:p>
        </w:tc>
        <w:tc>
          <w:tcPr>
            <w:tcW w:type="dxa" w:w="1440"/>
            <w:shd w:fill="FFFFFF"/>
            <w:tcMar>
              <w:top w:w="80" w:type="dxa"/>
              <w:bottom w:w="80" w:type="dxa"/>
              <w:left w:w="120" w:type="dxa"/>
              <w:right w:w="120" w:type="dxa"/>
            </w:tcMar>
          </w:tcPr>
          <w:p>
            <w:r>
              <w:rPr>
                <w:rFonts w:ascii="Calibri" w:hAnsi="Calibri"/>
                <w:color w:val="2D3748"/>
                <w:sz w:val="18"/>
              </w:rPr>
              <w:t>65.7 : 1</w:t>
            </w:r>
          </w:p>
        </w:tc>
      </w:tr>
      <w:tr>
        <w:tc>
          <w:tcPr>
            <w:tcW w:type="dxa" w:w="1728"/>
            <w:shd w:fill="F7FAFC"/>
            <w:tcMar>
              <w:top w:w="80" w:type="dxa"/>
              <w:bottom w:w="80" w:type="dxa"/>
              <w:left w:w="120" w:type="dxa"/>
              <w:right w:w="120" w:type="dxa"/>
            </w:tcMar>
          </w:tcPr>
          <w:p>
            <w:r>
              <w:rPr>
                <w:rFonts w:ascii="Calibri" w:hAnsi="Calibri"/>
                <w:color w:val="2D3748"/>
                <w:sz w:val="18"/>
              </w:rPr>
              <w:t>Test (Holdout)</w:t>
            </w:r>
          </w:p>
        </w:tc>
        <w:tc>
          <w:tcPr>
            <w:tcW w:type="dxa" w:w="1728"/>
            <w:shd w:fill="F7FAFC"/>
            <w:tcMar>
              <w:top w:w="80" w:type="dxa"/>
              <w:bottom w:w="80" w:type="dxa"/>
              <w:left w:w="120" w:type="dxa"/>
              <w:right w:w="120" w:type="dxa"/>
            </w:tcMar>
          </w:tcPr>
          <w:p>
            <w:r>
              <w:rPr>
                <w:rFonts w:ascii="Calibri" w:hAnsi="Calibri"/>
                <w:color w:val="2D3748"/>
                <w:sz w:val="18"/>
              </w:rPr>
              <w:t>Steps 632 to 743 (15.1%)</w:t>
            </w:r>
          </w:p>
        </w:tc>
        <w:tc>
          <w:tcPr>
            <w:tcW w:type="dxa" w:w="1728"/>
            <w:shd w:fill="F7FAFC"/>
            <w:tcMar>
              <w:top w:w="80" w:type="dxa"/>
              <w:bottom w:w="80" w:type="dxa"/>
              <w:left w:w="120" w:type="dxa"/>
              <w:right w:w="120" w:type="dxa"/>
            </w:tcMar>
          </w:tcPr>
          <w:p>
            <w:r>
              <w:rPr>
                <w:rFonts w:ascii="Calibri" w:hAnsi="Calibri"/>
                <w:color w:val="2D3748"/>
                <w:sz w:val="18"/>
              </w:rPr>
              <w:t>37,979</w:t>
            </w:r>
          </w:p>
        </w:tc>
        <w:tc>
          <w:tcPr>
            <w:tcW w:type="dxa" w:w="1440"/>
            <w:shd w:fill="F7FAFC"/>
            <w:tcMar>
              <w:top w:w="80" w:type="dxa"/>
              <w:bottom w:w="80" w:type="dxa"/>
              <w:left w:w="120" w:type="dxa"/>
              <w:right w:w="120" w:type="dxa"/>
            </w:tcMar>
          </w:tcPr>
          <w:p>
            <w:r>
              <w:rPr>
                <w:rFonts w:ascii="Calibri" w:hAnsi="Calibri"/>
                <w:color w:val="2D3748"/>
                <w:sz w:val="18"/>
              </w:rPr>
              <w:t>1,252</w:t>
            </w:r>
          </w:p>
        </w:tc>
        <w:tc>
          <w:tcPr>
            <w:tcW w:type="dxa" w:w="1440"/>
            <w:shd w:fill="F7FAFC"/>
            <w:tcMar>
              <w:top w:w="80" w:type="dxa"/>
              <w:bottom w:w="80" w:type="dxa"/>
              <w:left w:w="120" w:type="dxa"/>
              <w:right w:w="120" w:type="dxa"/>
            </w:tcMar>
          </w:tcPr>
          <w:p>
            <w:r>
              <w:rPr>
                <w:rFonts w:ascii="Calibri" w:hAnsi="Calibri"/>
                <w:color w:val="2D3748"/>
                <w:sz w:val="18"/>
              </w:rPr>
              <w:t>3.2966%</w:t>
            </w:r>
          </w:p>
        </w:tc>
        <w:tc>
          <w:tcPr>
            <w:tcW w:type="dxa" w:w="1440"/>
            <w:shd w:fill="F7FAFC"/>
            <w:tcMar>
              <w:top w:w="80" w:type="dxa"/>
              <w:bottom w:w="80" w:type="dxa"/>
              <w:left w:w="120" w:type="dxa"/>
              <w:right w:w="120" w:type="dxa"/>
            </w:tcMar>
          </w:tcPr>
          <w:p>
            <w:r>
              <w:rPr>
                <w:rFonts w:ascii="Calibri" w:hAnsi="Calibri"/>
                <w:color w:val="2D3748"/>
                <w:sz w:val="18"/>
              </w:rPr>
              <w:t>29.3 : 1</w:t>
            </w:r>
          </w:p>
        </w:tc>
      </w:tr>
      <w:tr>
        <w:tc>
          <w:tcPr>
            <w:tcW w:type="dxa" w:w="1728"/>
            <w:shd w:fill="FFFFFF"/>
            <w:tcMar>
              <w:top w:w="80" w:type="dxa"/>
              <w:bottom w:w="80" w:type="dxa"/>
              <w:left w:w="120" w:type="dxa"/>
              <w:right w:w="120" w:type="dxa"/>
            </w:tcMar>
          </w:tcPr>
          <w:p>
            <w:r>
              <w:rPr>
                <w:rFonts w:ascii="Calibri" w:hAnsi="Calibri"/>
                <w:color w:val="2D3748"/>
                <w:sz w:val="18"/>
              </w:rPr>
              <w:t>Total Subspace</w:t>
            </w:r>
          </w:p>
        </w:tc>
        <w:tc>
          <w:tcPr>
            <w:tcW w:type="dxa" w:w="1728"/>
            <w:shd w:fill="FFFFFF"/>
            <w:tcMar>
              <w:top w:w="80" w:type="dxa"/>
              <w:bottom w:w="80" w:type="dxa"/>
              <w:left w:w="120" w:type="dxa"/>
              <w:right w:w="120" w:type="dxa"/>
            </w:tcMar>
          </w:tcPr>
          <w:p>
            <w:r>
              <w:rPr>
                <w:rFonts w:ascii="Calibri" w:hAnsi="Calibri"/>
                <w:color w:val="2D3748"/>
                <w:sz w:val="18"/>
              </w:rPr>
              <w:t>Steps 1 to 743 (100%)</w:t>
            </w:r>
          </w:p>
        </w:tc>
        <w:tc>
          <w:tcPr>
            <w:tcW w:type="dxa" w:w="1728"/>
            <w:shd w:fill="FFFFFF"/>
            <w:tcMar>
              <w:top w:w="80" w:type="dxa"/>
              <w:bottom w:w="80" w:type="dxa"/>
              <w:left w:w="120" w:type="dxa"/>
              <w:right w:w="120" w:type="dxa"/>
            </w:tcMar>
          </w:tcPr>
          <w:p>
            <w:r>
              <w:rPr>
                <w:rFonts w:ascii="Calibri" w:hAnsi="Calibri"/>
                <w:color w:val="2D3748"/>
                <w:sz w:val="18"/>
              </w:rPr>
              <w:t>2,770,409</w:t>
            </w:r>
          </w:p>
        </w:tc>
        <w:tc>
          <w:tcPr>
            <w:tcW w:type="dxa" w:w="1440"/>
            <w:shd w:fill="FFFFFF"/>
            <w:tcMar>
              <w:top w:w="80" w:type="dxa"/>
              <w:bottom w:w="80" w:type="dxa"/>
              <w:left w:w="120" w:type="dxa"/>
              <w:right w:w="120" w:type="dxa"/>
            </w:tcMar>
          </w:tcPr>
          <w:p>
            <w:r>
              <w:rPr>
                <w:rFonts w:ascii="Calibri" w:hAnsi="Calibri"/>
                <w:color w:val="2D3748"/>
                <w:sz w:val="18"/>
              </w:rPr>
              <w:t>8,213</w:t>
            </w:r>
          </w:p>
        </w:tc>
        <w:tc>
          <w:tcPr>
            <w:tcW w:type="dxa" w:w="1440"/>
            <w:shd w:fill="FFFFFF"/>
            <w:tcMar>
              <w:top w:w="80" w:type="dxa"/>
              <w:bottom w:w="80" w:type="dxa"/>
              <w:left w:w="120" w:type="dxa"/>
              <w:right w:w="120" w:type="dxa"/>
            </w:tcMar>
          </w:tcPr>
          <w:p>
            <w:r>
              <w:rPr>
                <w:rFonts w:ascii="Calibri" w:hAnsi="Calibri"/>
                <w:color w:val="2D3748"/>
                <w:sz w:val="18"/>
              </w:rPr>
              <w:t>0.2965%</w:t>
            </w:r>
          </w:p>
        </w:tc>
        <w:tc>
          <w:tcPr>
            <w:tcW w:type="dxa" w:w="1440"/>
            <w:shd w:fill="FFFFFF"/>
            <w:tcMar>
              <w:top w:w="80" w:type="dxa"/>
              <w:bottom w:w="80" w:type="dxa"/>
              <w:left w:w="120" w:type="dxa"/>
              <w:right w:w="120" w:type="dxa"/>
            </w:tcMar>
          </w:tcPr>
          <w:p>
            <w:r>
              <w:rPr>
                <w:rFonts w:ascii="Calibri" w:hAnsi="Calibri"/>
                <w:color w:val="2D3748"/>
                <w:sz w:val="18"/>
              </w:rPr>
              <w:t>336.3 : 1</w:t>
            </w:r>
          </w:p>
        </w:tc>
      </w:tr>
    </w:tbl>
    <w:p/>
    <w:p>
      <w:r>
        <w:t>Scaler Isolation Guarantee: Scikit-learn's StandardScaler was fitted strictly on the Train partition (X_train) and serialized to models/feature_scaler.joblib. The validation and test partitions were transformed using training parameters without updating mean or variance parameters. Five unit tests in tests/test_features.py pass cleanly.</w:t>
      </w:r>
    </w:p>
    <w:p>
      <w:r>
        <w:br w:type="page"/>
      </w:r>
    </w:p>
    <w:p>
      <w:pPr>
        <w:pStyle w:val="Heading1"/>
        <w:spacing w:before="320" w:after="160"/>
      </w:pPr>
      <w:r>
        <w:rPr>
          <w:rFonts w:ascii="Calibri" w:hAnsi="Calibri"/>
          <w:color w:val="1A365D"/>
        </w:rPr>
        <w:t>6. Milestone 3: Model Development &amp; Training Results</w:t>
      </w:r>
    </w:p>
    <w:p>
      <w:r>
        <w:t>A robust fraud detection system cannot rely on a single model architecture. A.R.G.U.S. deploys a four-model strategy combining supervised linear classification, gradient-boosted decision trees, tree-based unsupervised anomaly detection, and deep neural reconstruction error:</w:t>
      </w:r>
    </w:p>
    <w:p>
      <w:r>
        <w:t>Model Roles &amp; Behavioral Niches:</w:t>
        <w:br/>
        <w:t>1. Logistic Regression: Baseline linear fraud classifier. Uses class_weight='balanced' to handle class skew. Provides an interpretable linear benchmark. Formal probability calibration such as Platt scaling or isotonic regression has not been implemented; its outputs represent model-estimated fraud probabilities.</w:t>
        <w:br/>
        <w:t>2. XGBoost: Primary supervised fraud classifier. Captures complex nonlinear feature interactions across balance discrepancies. Configured with scale_pos_weight = 458.04 (the exact negative-to-positive ratio in training data).</w:t>
        <w:br/>
        <w:t>3. Isolation Forest: Tree-based unsupervised anomaly detection. Isolates outliers through recursive random feature partitioning; anomalies tend to be isolated through shorter tree paths without requiring fraud labels, allowing it to detect novel fraud topologies.</w:t>
        <w:br/>
        <w:t>4. Deep Autoencoder (PyTorch): Deep learning representation model. Comprises a symmetric bottleneck architecture:</w:t>
        <w:br/>
        <w:t xml:space="preserve">   Input(18) → Dense(64) → Dense(32) → Latent Bottleneck(16) → Dense(32) → Dense(64) → Output(18)</w:t>
        <w:br/>
        <w:t xml:space="preserve">   Trained strictly on legitimate transactions with Mean Squared Error (MSE) reconstruction loss. The 16-dimensional bottleneck    serves as the compact latent space representation of normal transaction dynamics. Transactions producing elevated reconstruction MSE    represent anomalous behavior deviating from the normal manifold.</w:t>
      </w:r>
    </w:p>
    <w:p>
      <w:pPr>
        <w:pStyle w:val="Heading2"/>
        <w:spacing w:before="240" w:after="120"/>
      </w:pPr>
      <w:r>
        <w:rPr>
          <w:rFonts w:ascii="Calibri" w:hAnsi="Calibri"/>
          <w:color w:val="2B6CB0"/>
        </w:rPr>
        <w:t>Empirical Evaluation Metrics (Validation &amp; Test Sets)</w:t>
      </w:r>
    </w:p>
    <w:p>
      <w:r>
        <w:t>The following results represent verified empirical metrics logged during Milestone 3 and audited in Milestone 3A. Optimal decision thresholds were selected on the Validation partition to maximize the F1-score and evaluated on the Test holdout:</w:t>
      </w:r>
    </w:p>
    <w:p>
      <w:r>
        <w:t>Table A: Model Performance on Validation Partition (78,701 transactions; 1,180 fraud cases)</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2304"/>
            <w:shd w:fill="1A365D"/>
            <w:tcMar>
              <w:top w:w="120" w:type="dxa"/>
              <w:bottom w:w="120" w:type="dxa"/>
              <w:left w:w="140" w:type="dxa"/>
              <w:right w:w="140" w:type="dxa"/>
            </w:tcMar>
          </w:tcPr>
          <w:p>
            <w:pPr>
              <w:jc w:val="left"/>
            </w:pPr>
            <w:r>
              <w:rPr>
                <w:rFonts w:ascii="Calibri" w:hAnsi="Calibri"/>
                <w:b/>
                <w:color w:val="FFFFFF"/>
                <w:sz w:val="19"/>
              </w:rPr>
              <w:t>Model Architecture</w:t>
            </w:r>
          </w:p>
        </w:tc>
        <w:tc>
          <w:tcPr>
            <w:tcW w:type="dxa" w:w="1152"/>
            <w:shd w:fill="1A365D"/>
            <w:tcMar>
              <w:top w:w="120" w:type="dxa"/>
              <w:bottom w:w="120" w:type="dxa"/>
              <w:left w:w="140" w:type="dxa"/>
              <w:right w:w="140" w:type="dxa"/>
            </w:tcMar>
          </w:tcPr>
          <w:p>
            <w:pPr>
              <w:jc w:val="left"/>
            </w:pPr>
            <w:r>
              <w:rPr>
                <w:rFonts w:ascii="Calibri" w:hAnsi="Calibri"/>
                <w:b/>
                <w:color w:val="FFFFFF"/>
                <w:sz w:val="19"/>
              </w:rPr>
              <w:t>PR-AUC</w:t>
            </w:r>
          </w:p>
        </w:tc>
        <w:tc>
          <w:tcPr>
            <w:tcW w:type="dxa" w:w="1152"/>
            <w:shd w:fill="1A365D"/>
            <w:tcMar>
              <w:top w:w="120" w:type="dxa"/>
              <w:bottom w:w="120" w:type="dxa"/>
              <w:left w:w="140" w:type="dxa"/>
              <w:right w:w="140" w:type="dxa"/>
            </w:tcMar>
          </w:tcPr>
          <w:p>
            <w:pPr>
              <w:jc w:val="left"/>
            </w:pPr>
            <w:r>
              <w:rPr>
                <w:rFonts w:ascii="Calibri" w:hAnsi="Calibri"/>
                <w:b/>
                <w:color w:val="FFFFFF"/>
                <w:sz w:val="19"/>
              </w:rPr>
              <w:t>ROC-AUC</w:t>
            </w:r>
          </w:p>
        </w:tc>
        <w:tc>
          <w:tcPr>
            <w:tcW w:type="dxa" w:w="1152"/>
            <w:shd w:fill="1A365D"/>
            <w:tcMar>
              <w:top w:w="120" w:type="dxa"/>
              <w:bottom w:w="120" w:type="dxa"/>
              <w:left w:w="140" w:type="dxa"/>
              <w:right w:w="140" w:type="dxa"/>
            </w:tcMar>
          </w:tcPr>
          <w:p>
            <w:pPr>
              <w:jc w:val="left"/>
            </w:pPr>
            <w:r>
              <w:rPr>
                <w:rFonts w:ascii="Calibri" w:hAnsi="Calibri"/>
                <w:b/>
                <w:color w:val="FFFFFF"/>
                <w:sz w:val="19"/>
              </w:rPr>
              <w:t>Precision</w:t>
            </w:r>
          </w:p>
        </w:tc>
        <w:tc>
          <w:tcPr>
            <w:tcW w:type="dxa" w:w="1152"/>
            <w:shd w:fill="1A365D"/>
            <w:tcMar>
              <w:top w:w="120" w:type="dxa"/>
              <w:bottom w:w="120" w:type="dxa"/>
              <w:left w:w="140" w:type="dxa"/>
              <w:right w:w="140" w:type="dxa"/>
            </w:tcMar>
          </w:tcPr>
          <w:p>
            <w:pPr>
              <w:jc w:val="left"/>
            </w:pPr>
            <w:r>
              <w:rPr>
                <w:rFonts w:ascii="Calibri" w:hAnsi="Calibri"/>
                <w:b/>
                <w:color w:val="FFFFFF"/>
                <w:sz w:val="19"/>
              </w:rPr>
              <w:t>Recall</w:t>
            </w:r>
          </w:p>
        </w:tc>
        <w:tc>
          <w:tcPr>
            <w:tcW w:type="dxa" w:w="1152"/>
            <w:shd w:fill="1A365D"/>
            <w:tcMar>
              <w:top w:w="120" w:type="dxa"/>
              <w:bottom w:w="120" w:type="dxa"/>
              <w:left w:w="140" w:type="dxa"/>
              <w:right w:w="140" w:type="dxa"/>
            </w:tcMar>
          </w:tcPr>
          <w:p>
            <w:pPr>
              <w:jc w:val="left"/>
            </w:pPr>
            <w:r>
              <w:rPr>
                <w:rFonts w:ascii="Calibri" w:hAnsi="Calibri"/>
                <w:b/>
                <w:color w:val="FFFFFF"/>
                <w:sz w:val="19"/>
              </w:rPr>
              <w:t>F1-Score</w:t>
            </w:r>
          </w:p>
        </w:tc>
        <w:tc>
          <w:tcPr>
            <w:tcW w:type="dxa" w:w="1296"/>
            <w:shd w:fill="1A365D"/>
            <w:tcMar>
              <w:top w:w="120" w:type="dxa"/>
              <w:bottom w:w="120" w:type="dxa"/>
              <w:left w:w="140" w:type="dxa"/>
              <w:right w:w="140" w:type="dxa"/>
            </w:tcMar>
          </w:tcPr>
          <w:p>
            <w:pPr>
              <w:jc w:val="left"/>
            </w:pPr>
            <w:r>
              <w:rPr>
                <w:rFonts w:ascii="Calibri" w:hAnsi="Calibri"/>
                <w:b/>
                <w:color w:val="FFFFFF"/>
                <w:sz w:val="19"/>
              </w:rPr>
              <w:t>Opt. Thresh</w:t>
            </w:r>
          </w:p>
        </w:tc>
      </w:tr>
      <w:tr>
        <w:tc>
          <w:tcPr>
            <w:tcW w:type="dxa" w:w="2304"/>
            <w:shd w:fill="F7FAFC"/>
            <w:tcMar>
              <w:top w:w="80" w:type="dxa"/>
              <w:bottom w:w="80" w:type="dxa"/>
              <w:left w:w="120" w:type="dxa"/>
              <w:right w:w="120" w:type="dxa"/>
            </w:tcMar>
          </w:tcPr>
          <w:p>
            <w:r>
              <w:rPr>
                <w:rFonts w:ascii="Calibri" w:hAnsi="Calibri"/>
                <w:color w:val="2D3748"/>
                <w:sz w:val="18"/>
              </w:rPr>
              <w:t>Logistic Regression</w:t>
            </w:r>
          </w:p>
        </w:tc>
        <w:tc>
          <w:tcPr>
            <w:tcW w:type="dxa" w:w="1152"/>
            <w:shd w:fill="F7FAFC"/>
            <w:tcMar>
              <w:top w:w="80" w:type="dxa"/>
              <w:bottom w:w="80" w:type="dxa"/>
              <w:left w:w="120" w:type="dxa"/>
              <w:right w:w="120" w:type="dxa"/>
            </w:tcMar>
          </w:tcPr>
          <w:p>
            <w:r>
              <w:rPr>
                <w:rFonts w:ascii="Calibri" w:hAnsi="Calibri"/>
                <w:color w:val="2D3748"/>
                <w:sz w:val="18"/>
              </w:rPr>
              <w:t>0.9400</w:t>
            </w:r>
          </w:p>
        </w:tc>
        <w:tc>
          <w:tcPr>
            <w:tcW w:type="dxa" w:w="1152"/>
            <w:shd w:fill="F7FAFC"/>
            <w:tcMar>
              <w:top w:w="80" w:type="dxa"/>
              <w:bottom w:w="80" w:type="dxa"/>
              <w:left w:w="120" w:type="dxa"/>
              <w:right w:w="120" w:type="dxa"/>
            </w:tcMar>
          </w:tcPr>
          <w:p>
            <w:r>
              <w:rPr>
                <w:rFonts w:ascii="Calibri" w:hAnsi="Calibri"/>
                <w:color w:val="2D3748"/>
                <w:sz w:val="18"/>
              </w:rPr>
              <w:t>0.9976</w:t>
            </w:r>
          </w:p>
        </w:tc>
        <w:tc>
          <w:tcPr>
            <w:tcW w:type="dxa" w:w="1152"/>
            <w:shd w:fill="F7FAFC"/>
            <w:tcMar>
              <w:top w:w="80" w:type="dxa"/>
              <w:bottom w:w="80" w:type="dxa"/>
              <w:left w:w="120" w:type="dxa"/>
              <w:right w:w="120" w:type="dxa"/>
            </w:tcMar>
          </w:tcPr>
          <w:p>
            <w:r>
              <w:rPr>
                <w:rFonts w:ascii="Calibri" w:hAnsi="Calibri"/>
                <w:color w:val="2D3748"/>
                <w:sz w:val="18"/>
              </w:rPr>
              <w:t>0.9753</w:t>
            </w:r>
          </w:p>
        </w:tc>
        <w:tc>
          <w:tcPr>
            <w:tcW w:type="dxa" w:w="1152"/>
            <w:shd w:fill="F7FAFC"/>
            <w:tcMar>
              <w:top w:w="80" w:type="dxa"/>
              <w:bottom w:w="80" w:type="dxa"/>
              <w:left w:w="120" w:type="dxa"/>
              <w:right w:w="120" w:type="dxa"/>
            </w:tcMar>
          </w:tcPr>
          <w:p>
            <w:r>
              <w:rPr>
                <w:rFonts w:ascii="Calibri" w:hAnsi="Calibri"/>
                <w:color w:val="2D3748"/>
                <w:sz w:val="18"/>
              </w:rPr>
              <w:t>0.8364</w:t>
            </w:r>
          </w:p>
        </w:tc>
        <w:tc>
          <w:tcPr>
            <w:tcW w:type="dxa" w:w="1152"/>
            <w:shd w:fill="F7FAFC"/>
            <w:tcMar>
              <w:top w:w="80" w:type="dxa"/>
              <w:bottom w:w="80" w:type="dxa"/>
              <w:left w:w="120" w:type="dxa"/>
              <w:right w:w="120" w:type="dxa"/>
            </w:tcMar>
          </w:tcPr>
          <w:p>
            <w:r>
              <w:rPr>
                <w:rFonts w:ascii="Calibri" w:hAnsi="Calibri"/>
                <w:color w:val="2D3748"/>
                <w:sz w:val="18"/>
              </w:rPr>
              <w:t>0.9005</w:t>
            </w:r>
          </w:p>
        </w:tc>
        <w:tc>
          <w:tcPr>
            <w:tcW w:type="dxa" w:w="1296"/>
            <w:shd w:fill="F7FAFC"/>
            <w:tcMar>
              <w:top w:w="80" w:type="dxa"/>
              <w:bottom w:w="80" w:type="dxa"/>
              <w:left w:w="120" w:type="dxa"/>
              <w:right w:w="120" w:type="dxa"/>
            </w:tcMar>
          </w:tcPr>
          <w:p>
            <w:r>
              <w:rPr>
                <w:rFonts w:ascii="Calibri" w:hAnsi="Calibri"/>
                <w:color w:val="2D3748"/>
                <w:sz w:val="18"/>
              </w:rPr>
              <w:t>0.9902</w:t>
            </w:r>
          </w:p>
        </w:tc>
      </w:tr>
      <w:tr>
        <w:tc>
          <w:tcPr>
            <w:tcW w:type="dxa" w:w="2304"/>
            <w:shd w:fill="FFFFFF"/>
            <w:tcMar>
              <w:top w:w="80" w:type="dxa"/>
              <w:bottom w:w="80" w:type="dxa"/>
              <w:left w:w="120" w:type="dxa"/>
              <w:right w:w="120" w:type="dxa"/>
            </w:tcMar>
          </w:tcPr>
          <w:p>
            <w:r>
              <w:rPr>
                <w:rFonts w:ascii="Calibri" w:hAnsi="Calibri"/>
                <w:color w:val="2D3748"/>
                <w:sz w:val="18"/>
              </w:rPr>
              <w:t>XGBoost Classifier</w:t>
            </w:r>
          </w:p>
        </w:tc>
        <w:tc>
          <w:tcPr>
            <w:tcW w:type="dxa" w:w="1152"/>
            <w:shd w:fill="FFFFFF"/>
            <w:tcMar>
              <w:top w:w="80" w:type="dxa"/>
              <w:bottom w:w="80" w:type="dxa"/>
              <w:left w:w="120" w:type="dxa"/>
              <w:right w:w="120" w:type="dxa"/>
            </w:tcMar>
          </w:tcPr>
          <w:p>
            <w:r>
              <w:rPr>
                <w:rFonts w:ascii="Calibri" w:hAnsi="Calibri"/>
                <w:color w:val="2D3748"/>
                <w:sz w:val="18"/>
              </w:rPr>
              <w:t>0.9997</w:t>
            </w:r>
          </w:p>
        </w:tc>
        <w:tc>
          <w:tcPr>
            <w:tcW w:type="dxa" w:w="1152"/>
            <w:shd w:fill="FFFFFF"/>
            <w:tcMar>
              <w:top w:w="80" w:type="dxa"/>
              <w:bottom w:w="80" w:type="dxa"/>
              <w:left w:w="120" w:type="dxa"/>
              <w:right w:w="120" w:type="dxa"/>
            </w:tcMar>
          </w:tcPr>
          <w:p>
            <w:r>
              <w:rPr>
                <w:rFonts w:ascii="Calibri" w:hAnsi="Calibri"/>
                <w:color w:val="2D3748"/>
                <w:sz w:val="18"/>
              </w:rPr>
              <w:t>1.0000</w:t>
            </w:r>
          </w:p>
        </w:tc>
        <w:tc>
          <w:tcPr>
            <w:tcW w:type="dxa" w:w="1152"/>
            <w:shd w:fill="FFFFFF"/>
            <w:tcMar>
              <w:top w:w="80" w:type="dxa"/>
              <w:bottom w:w="80" w:type="dxa"/>
              <w:left w:w="120" w:type="dxa"/>
              <w:right w:w="120" w:type="dxa"/>
            </w:tcMar>
          </w:tcPr>
          <w:p>
            <w:r>
              <w:rPr>
                <w:rFonts w:ascii="Calibri" w:hAnsi="Calibri"/>
                <w:color w:val="2D3748"/>
                <w:sz w:val="18"/>
              </w:rPr>
              <w:t>1.0000</w:t>
            </w:r>
          </w:p>
        </w:tc>
        <w:tc>
          <w:tcPr>
            <w:tcW w:type="dxa" w:w="1152"/>
            <w:shd w:fill="FFFFFF"/>
            <w:tcMar>
              <w:top w:w="80" w:type="dxa"/>
              <w:bottom w:w="80" w:type="dxa"/>
              <w:left w:w="120" w:type="dxa"/>
              <w:right w:w="120" w:type="dxa"/>
            </w:tcMar>
          </w:tcPr>
          <w:p>
            <w:r>
              <w:rPr>
                <w:rFonts w:ascii="Calibri" w:hAnsi="Calibri"/>
                <w:color w:val="2D3748"/>
                <w:sz w:val="18"/>
              </w:rPr>
              <w:t>0.9992</w:t>
            </w:r>
          </w:p>
        </w:tc>
        <w:tc>
          <w:tcPr>
            <w:tcW w:type="dxa" w:w="1152"/>
            <w:shd w:fill="FFFFFF"/>
            <w:tcMar>
              <w:top w:w="80" w:type="dxa"/>
              <w:bottom w:w="80" w:type="dxa"/>
              <w:left w:w="120" w:type="dxa"/>
              <w:right w:w="120" w:type="dxa"/>
            </w:tcMar>
          </w:tcPr>
          <w:p>
            <w:r>
              <w:rPr>
                <w:rFonts w:ascii="Calibri" w:hAnsi="Calibri"/>
                <w:color w:val="2D3748"/>
                <w:sz w:val="18"/>
              </w:rPr>
              <w:t>0.9996</w:t>
            </w:r>
          </w:p>
        </w:tc>
        <w:tc>
          <w:tcPr>
            <w:tcW w:type="dxa" w:w="1296"/>
            <w:shd w:fill="FFFFFF"/>
            <w:tcMar>
              <w:top w:w="80" w:type="dxa"/>
              <w:bottom w:w="80" w:type="dxa"/>
              <w:left w:w="120" w:type="dxa"/>
              <w:right w:w="120" w:type="dxa"/>
            </w:tcMar>
          </w:tcPr>
          <w:p>
            <w:r>
              <w:rPr>
                <w:rFonts w:ascii="Calibri" w:hAnsi="Calibri"/>
                <w:color w:val="2D3748"/>
                <w:sz w:val="18"/>
              </w:rPr>
              <w:t>0.9425</w:t>
            </w:r>
          </w:p>
        </w:tc>
      </w:tr>
      <w:tr>
        <w:tc>
          <w:tcPr>
            <w:tcW w:type="dxa" w:w="2304"/>
            <w:shd w:fill="F7FAFC"/>
            <w:tcMar>
              <w:top w:w="80" w:type="dxa"/>
              <w:bottom w:w="80" w:type="dxa"/>
              <w:left w:w="120" w:type="dxa"/>
              <w:right w:w="120" w:type="dxa"/>
            </w:tcMar>
          </w:tcPr>
          <w:p>
            <w:r>
              <w:rPr>
                <w:rFonts w:ascii="Calibri" w:hAnsi="Calibri"/>
                <w:color w:val="2D3748"/>
                <w:sz w:val="18"/>
              </w:rPr>
              <w:t>Isolation Forest</w:t>
            </w:r>
          </w:p>
        </w:tc>
        <w:tc>
          <w:tcPr>
            <w:tcW w:type="dxa" w:w="1152"/>
            <w:shd w:fill="F7FAFC"/>
            <w:tcMar>
              <w:top w:w="80" w:type="dxa"/>
              <w:bottom w:w="80" w:type="dxa"/>
              <w:left w:w="120" w:type="dxa"/>
              <w:right w:w="120" w:type="dxa"/>
            </w:tcMar>
          </w:tcPr>
          <w:p>
            <w:r>
              <w:rPr>
                <w:rFonts w:ascii="Calibri" w:hAnsi="Calibri"/>
                <w:color w:val="2D3748"/>
                <w:sz w:val="18"/>
              </w:rPr>
              <w:t>0.5943</w:t>
            </w:r>
          </w:p>
        </w:tc>
        <w:tc>
          <w:tcPr>
            <w:tcW w:type="dxa" w:w="1152"/>
            <w:shd w:fill="F7FAFC"/>
            <w:tcMar>
              <w:top w:w="80" w:type="dxa"/>
              <w:bottom w:w="80" w:type="dxa"/>
              <w:left w:w="120" w:type="dxa"/>
              <w:right w:w="120" w:type="dxa"/>
            </w:tcMar>
          </w:tcPr>
          <w:p>
            <w:r>
              <w:rPr>
                <w:rFonts w:ascii="Calibri" w:hAnsi="Calibri"/>
                <w:color w:val="2D3748"/>
                <w:sz w:val="18"/>
              </w:rPr>
              <w:t>0.9248</w:t>
            </w:r>
          </w:p>
        </w:tc>
        <w:tc>
          <w:tcPr>
            <w:tcW w:type="dxa" w:w="1152"/>
            <w:shd w:fill="F7FAFC"/>
            <w:tcMar>
              <w:top w:w="80" w:type="dxa"/>
              <w:bottom w:w="80" w:type="dxa"/>
              <w:left w:w="120" w:type="dxa"/>
              <w:right w:w="120" w:type="dxa"/>
            </w:tcMar>
          </w:tcPr>
          <w:p>
            <w:r>
              <w:rPr>
                <w:rFonts w:ascii="Calibri" w:hAnsi="Calibri"/>
                <w:color w:val="2D3748"/>
                <w:sz w:val="18"/>
              </w:rPr>
              <w:t>0.6014</w:t>
            </w:r>
          </w:p>
        </w:tc>
        <w:tc>
          <w:tcPr>
            <w:tcW w:type="dxa" w:w="1152"/>
            <w:shd w:fill="F7FAFC"/>
            <w:tcMar>
              <w:top w:w="80" w:type="dxa"/>
              <w:bottom w:w="80" w:type="dxa"/>
              <w:left w:w="120" w:type="dxa"/>
              <w:right w:w="120" w:type="dxa"/>
            </w:tcMar>
          </w:tcPr>
          <w:p>
            <w:r>
              <w:rPr>
                <w:rFonts w:ascii="Calibri" w:hAnsi="Calibri"/>
                <w:color w:val="2D3748"/>
                <w:sz w:val="18"/>
              </w:rPr>
              <w:t>0.6381</w:t>
            </w:r>
          </w:p>
        </w:tc>
        <w:tc>
          <w:tcPr>
            <w:tcW w:type="dxa" w:w="1152"/>
            <w:shd w:fill="F7FAFC"/>
            <w:tcMar>
              <w:top w:w="80" w:type="dxa"/>
              <w:bottom w:w="80" w:type="dxa"/>
              <w:left w:w="120" w:type="dxa"/>
              <w:right w:w="120" w:type="dxa"/>
            </w:tcMar>
          </w:tcPr>
          <w:p>
            <w:r>
              <w:rPr>
                <w:rFonts w:ascii="Calibri" w:hAnsi="Calibri"/>
                <w:color w:val="2D3748"/>
                <w:sz w:val="18"/>
              </w:rPr>
              <w:t>0.6192</w:t>
            </w:r>
          </w:p>
        </w:tc>
        <w:tc>
          <w:tcPr>
            <w:tcW w:type="dxa" w:w="1296"/>
            <w:shd w:fill="F7FAFC"/>
            <w:tcMar>
              <w:top w:w="80" w:type="dxa"/>
              <w:bottom w:w="80" w:type="dxa"/>
              <w:left w:w="120" w:type="dxa"/>
              <w:right w:w="120" w:type="dxa"/>
            </w:tcMar>
          </w:tcPr>
          <w:p>
            <w:r>
              <w:rPr>
                <w:rFonts w:ascii="Calibri" w:hAnsi="Calibri"/>
                <w:color w:val="2D3748"/>
                <w:sz w:val="18"/>
              </w:rPr>
              <w:t>0.3828</w:t>
            </w:r>
          </w:p>
        </w:tc>
      </w:tr>
      <w:tr>
        <w:tc>
          <w:tcPr>
            <w:tcW w:type="dxa" w:w="2304"/>
            <w:shd w:fill="FFFFFF"/>
            <w:tcMar>
              <w:top w:w="80" w:type="dxa"/>
              <w:bottom w:w="80" w:type="dxa"/>
              <w:left w:w="120" w:type="dxa"/>
              <w:right w:w="120" w:type="dxa"/>
            </w:tcMar>
          </w:tcPr>
          <w:p>
            <w:r>
              <w:rPr>
                <w:rFonts w:ascii="Calibri" w:hAnsi="Calibri"/>
                <w:color w:val="2D3748"/>
                <w:sz w:val="18"/>
              </w:rPr>
              <w:t>Deep Autoencoder</w:t>
            </w:r>
          </w:p>
        </w:tc>
        <w:tc>
          <w:tcPr>
            <w:tcW w:type="dxa" w:w="1152"/>
            <w:shd w:fill="FFFFFF"/>
            <w:tcMar>
              <w:top w:w="80" w:type="dxa"/>
              <w:bottom w:w="80" w:type="dxa"/>
              <w:left w:w="120" w:type="dxa"/>
              <w:right w:w="120" w:type="dxa"/>
            </w:tcMar>
          </w:tcPr>
          <w:p>
            <w:r>
              <w:rPr>
                <w:rFonts w:ascii="Calibri" w:hAnsi="Calibri"/>
                <w:color w:val="2D3748"/>
                <w:sz w:val="18"/>
              </w:rPr>
              <w:t>0.7402</w:t>
            </w:r>
          </w:p>
        </w:tc>
        <w:tc>
          <w:tcPr>
            <w:tcW w:type="dxa" w:w="1152"/>
            <w:shd w:fill="FFFFFF"/>
            <w:tcMar>
              <w:top w:w="80" w:type="dxa"/>
              <w:bottom w:w="80" w:type="dxa"/>
              <w:left w:w="120" w:type="dxa"/>
              <w:right w:w="120" w:type="dxa"/>
            </w:tcMar>
          </w:tcPr>
          <w:p>
            <w:r>
              <w:rPr>
                <w:rFonts w:ascii="Calibri" w:hAnsi="Calibri"/>
                <w:color w:val="2D3748"/>
                <w:sz w:val="18"/>
              </w:rPr>
              <w:t>0.9440</w:t>
            </w:r>
          </w:p>
        </w:tc>
        <w:tc>
          <w:tcPr>
            <w:tcW w:type="dxa" w:w="1152"/>
            <w:shd w:fill="FFFFFF"/>
            <w:tcMar>
              <w:top w:w="80" w:type="dxa"/>
              <w:bottom w:w="80" w:type="dxa"/>
              <w:left w:w="120" w:type="dxa"/>
              <w:right w:w="120" w:type="dxa"/>
            </w:tcMar>
          </w:tcPr>
          <w:p>
            <w:r>
              <w:rPr>
                <w:rFonts w:ascii="Calibri" w:hAnsi="Calibri"/>
                <w:color w:val="2D3748"/>
                <w:sz w:val="18"/>
              </w:rPr>
              <w:t>0.9199</w:t>
            </w:r>
          </w:p>
        </w:tc>
        <w:tc>
          <w:tcPr>
            <w:tcW w:type="dxa" w:w="1152"/>
            <w:shd w:fill="FFFFFF"/>
            <w:tcMar>
              <w:top w:w="80" w:type="dxa"/>
              <w:bottom w:w="80" w:type="dxa"/>
              <w:left w:w="120" w:type="dxa"/>
              <w:right w:w="120" w:type="dxa"/>
            </w:tcMar>
          </w:tcPr>
          <w:p>
            <w:r>
              <w:rPr>
                <w:rFonts w:ascii="Calibri" w:hAnsi="Calibri"/>
                <w:color w:val="2D3748"/>
                <w:sz w:val="18"/>
              </w:rPr>
              <w:t>0.6619</w:t>
            </w:r>
          </w:p>
        </w:tc>
        <w:tc>
          <w:tcPr>
            <w:tcW w:type="dxa" w:w="1152"/>
            <w:shd w:fill="FFFFFF"/>
            <w:tcMar>
              <w:top w:w="80" w:type="dxa"/>
              <w:bottom w:w="80" w:type="dxa"/>
              <w:left w:w="120" w:type="dxa"/>
              <w:right w:w="120" w:type="dxa"/>
            </w:tcMar>
          </w:tcPr>
          <w:p>
            <w:r>
              <w:rPr>
                <w:rFonts w:ascii="Calibri" w:hAnsi="Calibri"/>
                <w:color w:val="2D3748"/>
                <w:sz w:val="18"/>
              </w:rPr>
              <w:t>0.7698</w:t>
            </w:r>
          </w:p>
        </w:tc>
        <w:tc>
          <w:tcPr>
            <w:tcW w:type="dxa" w:w="1296"/>
            <w:shd w:fill="FFFFFF"/>
            <w:tcMar>
              <w:top w:w="80" w:type="dxa"/>
              <w:bottom w:w="80" w:type="dxa"/>
              <w:left w:w="120" w:type="dxa"/>
              <w:right w:w="120" w:type="dxa"/>
            </w:tcMar>
          </w:tcPr>
          <w:p>
            <w:r>
              <w:rPr>
                <w:rFonts w:ascii="Calibri" w:hAnsi="Calibri"/>
                <w:color w:val="2D3748"/>
                <w:sz w:val="18"/>
              </w:rPr>
              <w:t>0.9999</w:t>
            </w:r>
          </w:p>
        </w:tc>
      </w:tr>
    </w:tbl>
    <w:p/>
    <w:p>
      <w:r>
        <w:t>Table B: Model Performance on Test Holdout Partition (37,979 transactions; 1,252 fraud cases)</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2304"/>
            <w:shd w:fill="1A365D"/>
            <w:tcMar>
              <w:top w:w="120" w:type="dxa"/>
              <w:bottom w:w="120" w:type="dxa"/>
              <w:left w:w="140" w:type="dxa"/>
              <w:right w:w="140" w:type="dxa"/>
            </w:tcMar>
          </w:tcPr>
          <w:p>
            <w:pPr>
              <w:jc w:val="left"/>
            </w:pPr>
            <w:r>
              <w:rPr>
                <w:rFonts w:ascii="Calibri" w:hAnsi="Calibri"/>
                <w:b/>
                <w:color w:val="FFFFFF"/>
                <w:sz w:val="19"/>
              </w:rPr>
              <w:t>Model Architecture</w:t>
            </w:r>
          </w:p>
        </w:tc>
        <w:tc>
          <w:tcPr>
            <w:tcW w:type="dxa" w:w="1152"/>
            <w:shd w:fill="1A365D"/>
            <w:tcMar>
              <w:top w:w="120" w:type="dxa"/>
              <w:bottom w:w="120" w:type="dxa"/>
              <w:left w:w="140" w:type="dxa"/>
              <w:right w:w="140" w:type="dxa"/>
            </w:tcMar>
          </w:tcPr>
          <w:p>
            <w:pPr>
              <w:jc w:val="left"/>
            </w:pPr>
            <w:r>
              <w:rPr>
                <w:rFonts w:ascii="Calibri" w:hAnsi="Calibri"/>
                <w:b/>
                <w:color w:val="FFFFFF"/>
                <w:sz w:val="19"/>
              </w:rPr>
              <w:t>PR-AUC</w:t>
            </w:r>
          </w:p>
        </w:tc>
        <w:tc>
          <w:tcPr>
            <w:tcW w:type="dxa" w:w="1152"/>
            <w:shd w:fill="1A365D"/>
            <w:tcMar>
              <w:top w:w="120" w:type="dxa"/>
              <w:bottom w:w="120" w:type="dxa"/>
              <w:left w:w="140" w:type="dxa"/>
              <w:right w:w="140" w:type="dxa"/>
            </w:tcMar>
          </w:tcPr>
          <w:p>
            <w:pPr>
              <w:jc w:val="left"/>
            </w:pPr>
            <w:r>
              <w:rPr>
                <w:rFonts w:ascii="Calibri" w:hAnsi="Calibri"/>
                <w:b/>
                <w:color w:val="FFFFFF"/>
                <w:sz w:val="19"/>
              </w:rPr>
              <w:t>ROC-AUC</w:t>
            </w:r>
          </w:p>
        </w:tc>
        <w:tc>
          <w:tcPr>
            <w:tcW w:type="dxa" w:w="1152"/>
            <w:shd w:fill="1A365D"/>
            <w:tcMar>
              <w:top w:w="120" w:type="dxa"/>
              <w:bottom w:w="120" w:type="dxa"/>
              <w:left w:w="140" w:type="dxa"/>
              <w:right w:w="140" w:type="dxa"/>
            </w:tcMar>
          </w:tcPr>
          <w:p>
            <w:pPr>
              <w:jc w:val="left"/>
            </w:pPr>
            <w:r>
              <w:rPr>
                <w:rFonts w:ascii="Calibri" w:hAnsi="Calibri"/>
                <w:b/>
                <w:color w:val="FFFFFF"/>
                <w:sz w:val="19"/>
              </w:rPr>
              <w:t>Precision</w:t>
            </w:r>
          </w:p>
        </w:tc>
        <w:tc>
          <w:tcPr>
            <w:tcW w:type="dxa" w:w="1152"/>
            <w:shd w:fill="1A365D"/>
            <w:tcMar>
              <w:top w:w="120" w:type="dxa"/>
              <w:bottom w:w="120" w:type="dxa"/>
              <w:left w:w="140" w:type="dxa"/>
              <w:right w:w="140" w:type="dxa"/>
            </w:tcMar>
          </w:tcPr>
          <w:p>
            <w:pPr>
              <w:jc w:val="left"/>
            </w:pPr>
            <w:r>
              <w:rPr>
                <w:rFonts w:ascii="Calibri" w:hAnsi="Calibri"/>
                <w:b/>
                <w:color w:val="FFFFFF"/>
                <w:sz w:val="19"/>
              </w:rPr>
              <w:t>Recall</w:t>
            </w:r>
          </w:p>
        </w:tc>
        <w:tc>
          <w:tcPr>
            <w:tcW w:type="dxa" w:w="1152"/>
            <w:shd w:fill="1A365D"/>
            <w:tcMar>
              <w:top w:w="120" w:type="dxa"/>
              <w:bottom w:w="120" w:type="dxa"/>
              <w:left w:w="140" w:type="dxa"/>
              <w:right w:w="140" w:type="dxa"/>
            </w:tcMar>
          </w:tcPr>
          <w:p>
            <w:pPr>
              <w:jc w:val="left"/>
            </w:pPr>
            <w:r>
              <w:rPr>
                <w:rFonts w:ascii="Calibri" w:hAnsi="Calibri"/>
                <w:b/>
                <w:color w:val="FFFFFF"/>
                <w:sz w:val="19"/>
              </w:rPr>
              <w:t>F1-Score</w:t>
            </w:r>
          </w:p>
        </w:tc>
        <w:tc>
          <w:tcPr>
            <w:tcW w:type="dxa" w:w="1296"/>
            <w:shd w:fill="1A365D"/>
            <w:tcMar>
              <w:top w:w="120" w:type="dxa"/>
              <w:bottom w:w="120" w:type="dxa"/>
              <w:left w:w="140" w:type="dxa"/>
              <w:right w:w="140" w:type="dxa"/>
            </w:tcMar>
          </w:tcPr>
          <w:p>
            <w:pPr>
              <w:jc w:val="left"/>
            </w:pPr>
            <w:r>
              <w:rPr>
                <w:rFonts w:ascii="Calibri" w:hAnsi="Calibri"/>
                <w:b/>
                <w:color w:val="FFFFFF"/>
                <w:sz w:val="19"/>
              </w:rPr>
              <w:t>FPR</w:t>
            </w:r>
          </w:p>
        </w:tc>
      </w:tr>
      <w:tr>
        <w:tc>
          <w:tcPr>
            <w:tcW w:type="dxa" w:w="2304"/>
            <w:shd w:fill="F7FAFC"/>
            <w:tcMar>
              <w:top w:w="80" w:type="dxa"/>
              <w:bottom w:w="80" w:type="dxa"/>
              <w:left w:w="120" w:type="dxa"/>
              <w:right w:w="120" w:type="dxa"/>
            </w:tcMar>
          </w:tcPr>
          <w:p>
            <w:r>
              <w:rPr>
                <w:rFonts w:ascii="Calibri" w:hAnsi="Calibri"/>
                <w:color w:val="2D3748"/>
                <w:sz w:val="18"/>
              </w:rPr>
              <w:t>Logistic Regression</w:t>
            </w:r>
          </w:p>
        </w:tc>
        <w:tc>
          <w:tcPr>
            <w:tcW w:type="dxa" w:w="1152"/>
            <w:shd w:fill="F7FAFC"/>
            <w:tcMar>
              <w:top w:w="80" w:type="dxa"/>
              <w:bottom w:w="80" w:type="dxa"/>
              <w:left w:w="120" w:type="dxa"/>
              <w:right w:w="120" w:type="dxa"/>
            </w:tcMar>
          </w:tcPr>
          <w:p>
            <w:r>
              <w:rPr>
                <w:rFonts w:ascii="Calibri" w:hAnsi="Calibri"/>
                <w:color w:val="2D3748"/>
                <w:sz w:val="18"/>
              </w:rPr>
              <w:t>0.9512</w:t>
            </w:r>
          </w:p>
        </w:tc>
        <w:tc>
          <w:tcPr>
            <w:tcW w:type="dxa" w:w="1152"/>
            <w:shd w:fill="F7FAFC"/>
            <w:tcMar>
              <w:top w:w="80" w:type="dxa"/>
              <w:bottom w:w="80" w:type="dxa"/>
              <w:left w:w="120" w:type="dxa"/>
              <w:right w:w="120" w:type="dxa"/>
            </w:tcMar>
          </w:tcPr>
          <w:p>
            <w:r>
              <w:rPr>
                <w:rFonts w:ascii="Calibri" w:hAnsi="Calibri"/>
                <w:color w:val="2D3748"/>
                <w:sz w:val="18"/>
              </w:rPr>
              <w:t>0.9946</w:t>
            </w:r>
          </w:p>
        </w:tc>
        <w:tc>
          <w:tcPr>
            <w:tcW w:type="dxa" w:w="1152"/>
            <w:shd w:fill="F7FAFC"/>
            <w:tcMar>
              <w:top w:w="80" w:type="dxa"/>
              <w:bottom w:w="80" w:type="dxa"/>
              <w:left w:w="120" w:type="dxa"/>
              <w:right w:w="120" w:type="dxa"/>
            </w:tcMar>
          </w:tcPr>
          <w:p>
            <w:r>
              <w:rPr>
                <w:rFonts w:ascii="Calibri" w:hAnsi="Calibri"/>
                <w:color w:val="2D3748"/>
                <w:sz w:val="18"/>
              </w:rPr>
              <w:t>0.9826</w:t>
            </w:r>
          </w:p>
        </w:tc>
        <w:tc>
          <w:tcPr>
            <w:tcW w:type="dxa" w:w="1152"/>
            <w:shd w:fill="F7FAFC"/>
            <w:tcMar>
              <w:top w:w="80" w:type="dxa"/>
              <w:bottom w:w="80" w:type="dxa"/>
              <w:left w:w="120" w:type="dxa"/>
              <w:right w:w="120" w:type="dxa"/>
            </w:tcMar>
          </w:tcPr>
          <w:p>
            <w:r>
              <w:rPr>
                <w:rFonts w:ascii="Calibri" w:hAnsi="Calibri"/>
                <w:color w:val="2D3748"/>
                <w:sz w:val="18"/>
              </w:rPr>
              <w:t>0.8099</w:t>
            </w:r>
          </w:p>
        </w:tc>
        <w:tc>
          <w:tcPr>
            <w:tcW w:type="dxa" w:w="1152"/>
            <w:shd w:fill="F7FAFC"/>
            <w:tcMar>
              <w:top w:w="80" w:type="dxa"/>
              <w:bottom w:w="80" w:type="dxa"/>
              <w:left w:w="120" w:type="dxa"/>
              <w:right w:w="120" w:type="dxa"/>
            </w:tcMar>
          </w:tcPr>
          <w:p>
            <w:r>
              <w:rPr>
                <w:rFonts w:ascii="Calibri" w:hAnsi="Calibri"/>
                <w:color w:val="2D3748"/>
                <w:sz w:val="18"/>
              </w:rPr>
              <w:t>0.8879</w:t>
            </w:r>
          </w:p>
        </w:tc>
        <w:tc>
          <w:tcPr>
            <w:tcW w:type="dxa" w:w="1296"/>
            <w:shd w:fill="F7FAFC"/>
            <w:tcMar>
              <w:top w:w="80" w:type="dxa"/>
              <w:bottom w:w="80" w:type="dxa"/>
              <w:left w:w="120" w:type="dxa"/>
              <w:right w:w="120" w:type="dxa"/>
            </w:tcMar>
          </w:tcPr>
          <w:p>
            <w:r>
              <w:rPr>
                <w:rFonts w:ascii="Calibri" w:hAnsi="Calibri"/>
                <w:color w:val="2D3748"/>
                <w:sz w:val="18"/>
              </w:rPr>
              <w:t>0.0005</w:t>
            </w:r>
          </w:p>
        </w:tc>
      </w:tr>
      <w:tr>
        <w:tc>
          <w:tcPr>
            <w:tcW w:type="dxa" w:w="2304"/>
            <w:shd w:fill="FFFFFF"/>
            <w:tcMar>
              <w:top w:w="80" w:type="dxa"/>
              <w:bottom w:w="80" w:type="dxa"/>
              <w:left w:w="120" w:type="dxa"/>
              <w:right w:w="120" w:type="dxa"/>
            </w:tcMar>
          </w:tcPr>
          <w:p>
            <w:r>
              <w:rPr>
                <w:rFonts w:ascii="Calibri" w:hAnsi="Calibri"/>
                <w:color w:val="2D3748"/>
                <w:sz w:val="18"/>
              </w:rPr>
              <w:t>XGBoost Classifier</w:t>
            </w:r>
          </w:p>
        </w:tc>
        <w:tc>
          <w:tcPr>
            <w:tcW w:type="dxa" w:w="1152"/>
            <w:shd w:fill="FFFFFF"/>
            <w:tcMar>
              <w:top w:w="80" w:type="dxa"/>
              <w:bottom w:w="80" w:type="dxa"/>
              <w:left w:w="120" w:type="dxa"/>
              <w:right w:w="120" w:type="dxa"/>
            </w:tcMar>
          </w:tcPr>
          <w:p>
            <w:r>
              <w:rPr>
                <w:rFonts w:ascii="Calibri" w:hAnsi="Calibri"/>
                <w:color w:val="2D3748"/>
                <w:sz w:val="18"/>
              </w:rPr>
              <w:t>1.0000</w:t>
            </w:r>
          </w:p>
        </w:tc>
        <w:tc>
          <w:tcPr>
            <w:tcW w:type="dxa" w:w="1152"/>
            <w:shd w:fill="FFFFFF"/>
            <w:tcMar>
              <w:top w:w="80" w:type="dxa"/>
              <w:bottom w:w="80" w:type="dxa"/>
              <w:left w:w="120" w:type="dxa"/>
              <w:right w:w="120" w:type="dxa"/>
            </w:tcMar>
          </w:tcPr>
          <w:p>
            <w:r>
              <w:rPr>
                <w:rFonts w:ascii="Calibri" w:hAnsi="Calibri"/>
                <w:color w:val="2D3748"/>
                <w:sz w:val="18"/>
              </w:rPr>
              <w:t>1.0000</w:t>
            </w:r>
          </w:p>
        </w:tc>
        <w:tc>
          <w:tcPr>
            <w:tcW w:type="dxa" w:w="1152"/>
            <w:shd w:fill="FFFFFF"/>
            <w:tcMar>
              <w:top w:w="80" w:type="dxa"/>
              <w:bottom w:w="80" w:type="dxa"/>
              <w:left w:w="120" w:type="dxa"/>
              <w:right w:w="120" w:type="dxa"/>
            </w:tcMar>
          </w:tcPr>
          <w:p>
            <w:r>
              <w:rPr>
                <w:rFonts w:ascii="Calibri" w:hAnsi="Calibri"/>
                <w:color w:val="2D3748"/>
                <w:sz w:val="18"/>
              </w:rPr>
              <w:t>1.0000</w:t>
            </w:r>
          </w:p>
        </w:tc>
        <w:tc>
          <w:tcPr>
            <w:tcW w:type="dxa" w:w="1152"/>
            <w:shd w:fill="FFFFFF"/>
            <w:tcMar>
              <w:top w:w="80" w:type="dxa"/>
              <w:bottom w:w="80" w:type="dxa"/>
              <w:left w:w="120" w:type="dxa"/>
              <w:right w:w="120" w:type="dxa"/>
            </w:tcMar>
          </w:tcPr>
          <w:p>
            <w:r>
              <w:rPr>
                <w:rFonts w:ascii="Calibri" w:hAnsi="Calibri"/>
                <w:color w:val="2D3748"/>
                <w:sz w:val="18"/>
              </w:rPr>
              <w:t>0.9992</w:t>
            </w:r>
          </w:p>
        </w:tc>
        <w:tc>
          <w:tcPr>
            <w:tcW w:type="dxa" w:w="1152"/>
            <w:shd w:fill="FFFFFF"/>
            <w:tcMar>
              <w:top w:w="80" w:type="dxa"/>
              <w:bottom w:w="80" w:type="dxa"/>
              <w:left w:w="120" w:type="dxa"/>
              <w:right w:w="120" w:type="dxa"/>
            </w:tcMar>
          </w:tcPr>
          <w:p>
            <w:r>
              <w:rPr>
                <w:rFonts w:ascii="Calibri" w:hAnsi="Calibri"/>
                <w:color w:val="2D3748"/>
                <w:sz w:val="18"/>
              </w:rPr>
              <w:t>0.9996</w:t>
            </w:r>
          </w:p>
        </w:tc>
        <w:tc>
          <w:tcPr>
            <w:tcW w:type="dxa" w:w="1296"/>
            <w:shd w:fill="FFFFFF"/>
            <w:tcMar>
              <w:top w:w="80" w:type="dxa"/>
              <w:bottom w:w="80" w:type="dxa"/>
              <w:left w:w="120" w:type="dxa"/>
              <w:right w:w="120" w:type="dxa"/>
            </w:tcMar>
          </w:tcPr>
          <w:p>
            <w:r>
              <w:rPr>
                <w:rFonts w:ascii="Calibri" w:hAnsi="Calibri"/>
                <w:color w:val="2D3748"/>
                <w:sz w:val="18"/>
              </w:rPr>
              <w:t>0.0000</w:t>
            </w:r>
          </w:p>
        </w:tc>
      </w:tr>
      <w:tr>
        <w:tc>
          <w:tcPr>
            <w:tcW w:type="dxa" w:w="2304"/>
            <w:shd w:fill="F7FAFC"/>
            <w:tcMar>
              <w:top w:w="80" w:type="dxa"/>
              <w:bottom w:w="80" w:type="dxa"/>
              <w:left w:w="120" w:type="dxa"/>
              <w:right w:w="120" w:type="dxa"/>
            </w:tcMar>
          </w:tcPr>
          <w:p>
            <w:r>
              <w:rPr>
                <w:rFonts w:ascii="Calibri" w:hAnsi="Calibri"/>
                <w:color w:val="2D3748"/>
                <w:sz w:val="18"/>
              </w:rPr>
              <w:t>Isolation Forest</w:t>
            </w:r>
          </w:p>
        </w:tc>
        <w:tc>
          <w:tcPr>
            <w:tcW w:type="dxa" w:w="1152"/>
            <w:shd w:fill="F7FAFC"/>
            <w:tcMar>
              <w:top w:w="80" w:type="dxa"/>
              <w:bottom w:w="80" w:type="dxa"/>
              <w:left w:w="120" w:type="dxa"/>
              <w:right w:w="120" w:type="dxa"/>
            </w:tcMar>
          </w:tcPr>
          <w:p>
            <w:r>
              <w:rPr>
                <w:rFonts w:ascii="Calibri" w:hAnsi="Calibri"/>
                <w:color w:val="2D3748"/>
                <w:sz w:val="18"/>
              </w:rPr>
              <w:t>0.7329</w:t>
            </w:r>
          </w:p>
        </w:tc>
        <w:tc>
          <w:tcPr>
            <w:tcW w:type="dxa" w:w="1152"/>
            <w:shd w:fill="F7FAFC"/>
            <w:tcMar>
              <w:top w:w="80" w:type="dxa"/>
              <w:bottom w:w="80" w:type="dxa"/>
              <w:left w:w="120" w:type="dxa"/>
              <w:right w:w="120" w:type="dxa"/>
            </w:tcMar>
          </w:tcPr>
          <w:p>
            <w:r>
              <w:rPr>
                <w:rFonts w:ascii="Calibri" w:hAnsi="Calibri"/>
                <w:color w:val="2D3748"/>
                <w:sz w:val="18"/>
              </w:rPr>
              <w:t>0.9163</w:t>
            </w:r>
          </w:p>
        </w:tc>
        <w:tc>
          <w:tcPr>
            <w:tcW w:type="dxa" w:w="1152"/>
            <w:shd w:fill="F7FAFC"/>
            <w:tcMar>
              <w:top w:w="80" w:type="dxa"/>
              <w:bottom w:w="80" w:type="dxa"/>
              <w:left w:w="120" w:type="dxa"/>
              <w:right w:w="120" w:type="dxa"/>
            </w:tcMar>
          </w:tcPr>
          <w:p>
            <w:r>
              <w:rPr>
                <w:rFonts w:ascii="Calibri" w:hAnsi="Calibri"/>
                <w:color w:val="2D3748"/>
                <w:sz w:val="18"/>
              </w:rPr>
              <w:t>0.8576</w:t>
            </w:r>
          </w:p>
        </w:tc>
        <w:tc>
          <w:tcPr>
            <w:tcW w:type="dxa" w:w="1152"/>
            <w:shd w:fill="F7FAFC"/>
            <w:tcMar>
              <w:top w:w="80" w:type="dxa"/>
              <w:bottom w:w="80" w:type="dxa"/>
              <w:left w:w="120" w:type="dxa"/>
              <w:right w:w="120" w:type="dxa"/>
            </w:tcMar>
          </w:tcPr>
          <w:p>
            <w:r>
              <w:rPr>
                <w:rFonts w:ascii="Calibri" w:hAnsi="Calibri"/>
                <w:color w:val="2D3748"/>
                <w:sz w:val="18"/>
              </w:rPr>
              <w:t>0.6254</w:t>
            </w:r>
          </w:p>
        </w:tc>
        <w:tc>
          <w:tcPr>
            <w:tcW w:type="dxa" w:w="1152"/>
            <w:shd w:fill="F7FAFC"/>
            <w:tcMar>
              <w:top w:w="80" w:type="dxa"/>
              <w:bottom w:w="80" w:type="dxa"/>
              <w:left w:w="120" w:type="dxa"/>
              <w:right w:w="120" w:type="dxa"/>
            </w:tcMar>
          </w:tcPr>
          <w:p>
            <w:r>
              <w:rPr>
                <w:rFonts w:ascii="Calibri" w:hAnsi="Calibri"/>
                <w:color w:val="2D3748"/>
                <w:sz w:val="18"/>
              </w:rPr>
              <w:t>0.7233</w:t>
            </w:r>
          </w:p>
        </w:tc>
        <w:tc>
          <w:tcPr>
            <w:tcW w:type="dxa" w:w="1296"/>
            <w:shd w:fill="F7FAFC"/>
            <w:tcMar>
              <w:top w:w="80" w:type="dxa"/>
              <w:bottom w:w="80" w:type="dxa"/>
              <w:left w:w="120" w:type="dxa"/>
              <w:right w:w="120" w:type="dxa"/>
            </w:tcMar>
          </w:tcPr>
          <w:p>
            <w:r>
              <w:rPr>
                <w:rFonts w:ascii="Calibri" w:hAnsi="Calibri"/>
                <w:color w:val="2D3748"/>
                <w:sz w:val="18"/>
              </w:rPr>
              <w:t>0.0035</w:t>
            </w:r>
          </w:p>
        </w:tc>
      </w:tr>
      <w:tr>
        <w:tc>
          <w:tcPr>
            <w:tcW w:type="dxa" w:w="2304"/>
            <w:shd w:fill="FFFFFF"/>
            <w:tcMar>
              <w:top w:w="80" w:type="dxa"/>
              <w:bottom w:w="80" w:type="dxa"/>
              <w:left w:w="120" w:type="dxa"/>
              <w:right w:w="120" w:type="dxa"/>
            </w:tcMar>
          </w:tcPr>
          <w:p>
            <w:r>
              <w:rPr>
                <w:rFonts w:ascii="Calibri" w:hAnsi="Calibri"/>
                <w:color w:val="2D3748"/>
                <w:sz w:val="18"/>
              </w:rPr>
              <w:t>Deep Autoencoder</w:t>
            </w:r>
          </w:p>
        </w:tc>
        <w:tc>
          <w:tcPr>
            <w:tcW w:type="dxa" w:w="1152"/>
            <w:shd w:fill="FFFFFF"/>
            <w:tcMar>
              <w:top w:w="80" w:type="dxa"/>
              <w:bottom w:w="80" w:type="dxa"/>
              <w:left w:w="120" w:type="dxa"/>
              <w:right w:w="120" w:type="dxa"/>
            </w:tcMar>
          </w:tcPr>
          <w:p>
            <w:r>
              <w:rPr>
                <w:rFonts w:ascii="Calibri" w:hAnsi="Calibri"/>
                <w:color w:val="2D3748"/>
                <w:sz w:val="18"/>
              </w:rPr>
              <w:t>0.7835</w:t>
            </w:r>
          </w:p>
        </w:tc>
        <w:tc>
          <w:tcPr>
            <w:tcW w:type="dxa" w:w="1152"/>
            <w:shd w:fill="FFFFFF"/>
            <w:tcMar>
              <w:top w:w="80" w:type="dxa"/>
              <w:bottom w:w="80" w:type="dxa"/>
              <w:left w:w="120" w:type="dxa"/>
              <w:right w:w="120" w:type="dxa"/>
            </w:tcMar>
          </w:tcPr>
          <w:p>
            <w:r>
              <w:rPr>
                <w:rFonts w:ascii="Calibri" w:hAnsi="Calibri"/>
                <w:color w:val="2D3748"/>
                <w:sz w:val="18"/>
              </w:rPr>
              <w:t>0.9302</w:t>
            </w:r>
          </w:p>
        </w:tc>
        <w:tc>
          <w:tcPr>
            <w:tcW w:type="dxa" w:w="1152"/>
            <w:shd w:fill="FFFFFF"/>
            <w:tcMar>
              <w:top w:w="80" w:type="dxa"/>
              <w:bottom w:w="80" w:type="dxa"/>
              <w:left w:w="120" w:type="dxa"/>
              <w:right w:w="120" w:type="dxa"/>
            </w:tcMar>
          </w:tcPr>
          <w:p>
            <w:r>
              <w:rPr>
                <w:rFonts w:ascii="Calibri" w:hAnsi="Calibri"/>
                <w:color w:val="2D3748"/>
                <w:sz w:val="18"/>
              </w:rPr>
              <w:t>0.9763</w:t>
            </w:r>
          </w:p>
        </w:tc>
        <w:tc>
          <w:tcPr>
            <w:tcW w:type="dxa" w:w="1152"/>
            <w:shd w:fill="FFFFFF"/>
            <w:tcMar>
              <w:top w:w="80" w:type="dxa"/>
              <w:bottom w:w="80" w:type="dxa"/>
              <w:left w:w="120" w:type="dxa"/>
              <w:right w:w="120" w:type="dxa"/>
            </w:tcMar>
          </w:tcPr>
          <w:p>
            <w:r>
              <w:rPr>
                <w:rFonts w:ascii="Calibri" w:hAnsi="Calibri"/>
                <w:color w:val="2D3748"/>
                <w:sz w:val="18"/>
              </w:rPr>
              <w:t>0.6573</w:t>
            </w:r>
          </w:p>
        </w:tc>
        <w:tc>
          <w:tcPr>
            <w:tcW w:type="dxa" w:w="1152"/>
            <w:shd w:fill="FFFFFF"/>
            <w:tcMar>
              <w:top w:w="80" w:type="dxa"/>
              <w:bottom w:w="80" w:type="dxa"/>
              <w:left w:w="120" w:type="dxa"/>
              <w:right w:w="120" w:type="dxa"/>
            </w:tcMar>
          </w:tcPr>
          <w:p>
            <w:r>
              <w:rPr>
                <w:rFonts w:ascii="Calibri" w:hAnsi="Calibri"/>
                <w:color w:val="2D3748"/>
                <w:sz w:val="18"/>
              </w:rPr>
              <w:t>0.7857</w:t>
            </w:r>
          </w:p>
        </w:tc>
        <w:tc>
          <w:tcPr>
            <w:tcW w:type="dxa" w:w="1296"/>
            <w:shd w:fill="FFFFFF"/>
            <w:tcMar>
              <w:top w:w="80" w:type="dxa"/>
              <w:bottom w:w="80" w:type="dxa"/>
              <w:left w:w="120" w:type="dxa"/>
              <w:right w:w="120" w:type="dxa"/>
            </w:tcMar>
          </w:tcPr>
          <w:p>
            <w:r>
              <w:rPr>
                <w:rFonts w:ascii="Calibri" w:hAnsi="Calibri"/>
                <w:color w:val="2D3748"/>
                <w:sz w:val="18"/>
              </w:rPr>
              <w:t>0.0005</w:t>
            </w:r>
          </w:p>
        </w:tc>
      </w:tr>
    </w:tbl>
    <w:p/>
    <w:p>
      <w:r>
        <w:t>Important Contextualization on XGBoost Performance:</w:t>
        <w:br/>
        <w:t>XGBoost achieved near-perfect performance on the PaySim test partition (Test PR-AUC 1.0000, F1 0.9996). This result is strongly influenced by deterministic transaction-generation patterns in the synthetic PaySim environment and should not be generalized directly to real-world financial fraud. In live production banking, fraud strategies mutate, attack vectors evolve, and balance behaviors do not follow rigid deterministic formulas.</w:t>
      </w:r>
    </w:p>
    <w:p>
      <w:r>
        <w:t>Deep Autoencoder Architecture &amp; Training Specifications:</w:t>
        <w:br/>
        <w:t>• Network Topology: Symmetric deep bottleneck:</w:t>
        <w:br/>
        <w:t xml:space="preserve">  Input(18) → Linear(18, 64) + BatchNorm1d + LeakyReLU(0.1)</w:t>
        <w:br/>
        <w:t xml:space="preserve">  → Linear(64, 32) + BatchNorm1d + LeakyReLU(0.1)</w:t>
        <w:br/>
        <w:t xml:space="preserve">  → Linear(32, 16) [16-dimensional Latent Bottleneck]</w:t>
        <w:br/>
        <w:t xml:space="preserve">  → Linear(16, 32) + BatchNorm1d + LeakyReLU(0.1)</w:t>
        <w:br/>
        <w:t xml:space="preserve">  → Linear(32, 64) + BatchNorm1d + LeakyReLU(0.1)</w:t>
        <w:br/>
        <w:t xml:space="preserve">  → Linear(64, 18) [Reconstruction Output]</w:t>
        <w:br/>
        <w:t>• Loss Function: Mean Squared Error (MSE) between input and reconstructed feature vector.</w:t>
        <w:br/>
        <w:t>• Training Regime: Trained on CPU using 2,647,948 legitimate transactions from the Train partition.</w:t>
        <w:br/>
        <w:t>• Optimizer &amp; Schedule: Adam optimizer (lr=0.001), batch size 2,048.</w:t>
        <w:br/>
        <w:t>• Convergence: 15 epochs attempted; early stopping triggered at Epoch 11 with best validation normal MSE of 0.002083.</w:t>
        <w:br/>
        <w:t>• Error Distribution: Normal validation reconstruction error exhibited mean = 0.002975, std = 0.014327, and P95 = 0.009046.</w:t>
      </w:r>
    </w:p>
    <w:p>
      <w:r>
        <w:br w:type="page"/>
      </w:r>
    </w:p>
    <w:p>
      <w:pPr>
        <w:pStyle w:val="Heading1"/>
        <w:spacing w:before="320" w:after="160"/>
      </w:pPr>
      <w:r>
        <w:rPr>
          <w:rFonts w:ascii="Calibri" w:hAnsi="Calibri"/>
          <w:color w:val="1A365D"/>
        </w:rPr>
        <w:t>7. Milestone 3A: Model Result &amp; Leakage Audit</w:t>
      </w:r>
    </w:p>
    <w:p>
      <w:r>
        <w:t>In response to the near-perfect metrics achieved by XGBoost (Test PR-AUC 1.0000, F1 0.9996; TP=1,251, FP=0, TN=36,727, FN=1), a comprehensive forensic audit was conducted in Milestone 3A. In machine learning, near-perfect scores frequently indicate target leakage, future information contamination, or evaluation bugs. Milestone 3A audited the source code, feature distributions, and booster split gains to establish technical validity.</w:t>
      </w:r>
    </w:p>
    <w:p>
      <w:pPr>
        <w:pStyle w:val="Heading2"/>
        <w:spacing w:before="240" w:after="120"/>
      </w:pPr>
      <w:r>
        <w:rPr>
          <w:rFonts w:ascii="Calibri" w:hAnsi="Calibri"/>
          <w:color w:val="2B6CB0"/>
        </w:rPr>
        <w:t>Feature Importance &amp; Gain Concentration</w:t>
      </w:r>
    </w:p>
    <w:p>
      <w:r>
        <w:t>An inspection of the XGBoost booster gain metrics (the relative contribution of each feature to decision tree splits) uncovered an extreme concentration of predictive power:</w:t>
      </w:r>
    </w:p>
    <w:tbl>
      <w:tblPr>
        <w:tblW w:type="auto" w:w="0"/>
        <w:jc w:val="center"/>
        <w:tblLayout w:type="fixed"/>
        <w:tblLook w:firstColumn="1" w:firstRow="1" w:lastColumn="0" w:lastRow="0" w:noHBand="0" w:noVBand="1" w:val="04A0"/>
      </w:tblPr>
      <w:tblGrid>
        <w:gridCol w:w="3120"/>
        <w:gridCol w:w="3120"/>
        <w:gridCol w:w="3120"/>
      </w:tblGrid>
      <w:tr>
        <w:tc>
          <w:tcPr>
            <w:tcW w:type="dxa" w:w="2880"/>
            <w:shd w:fill="1A365D"/>
            <w:tcMar>
              <w:top w:w="120" w:type="dxa"/>
              <w:bottom w:w="120" w:type="dxa"/>
              <w:left w:w="140" w:type="dxa"/>
              <w:right w:w="140" w:type="dxa"/>
            </w:tcMar>
          </w:tcPr>
          <w:p>
            <w:pPr>
              <w:jc w:val="left"/>
            </w:pPr>
            <w:r>
              <w:rPr>
                <w:rFonts w:ascii="Calibri" w:hAnsi="Calibri"/>
                <w:b/>
                <w:color w:val="FFFFFF"/>
                <w:sz w:val="19"/>
              </w:rPr>
              <w:t>Feature Name</w:t>
            </w:r>
          </w:p>
        </w:tc>
        <w:tc>
          <w:tcPr>
            <w:tcW w:type="dxa" w:w="2592"/>
            <w:shd w:fill="1A365D"/>
            <w:tcMar>
              <w:top w:w="120" w:type="dxa"/>
              <w:bottom w:w="120" w:type="dxa"/>
              <w:left w:w="140" w:type="dxa"/>
              <w:right w:w="140" w:type="dxa"/>
            </w:tcMar>
          </w:tcPr>
          <w:p>
            <w:pPr>
              <w:jc w:val="left"/>
            </w:pPr>
            <w:r>
              <w:rPr>
                <w:rFonts w:ascii="Calibri" w:hAnsi="Calibri"/>
                <w:b/>
                <w:color w:val="FFFFFF"/>
                <w:sz w:val="19"/>
              </w:rPr>
              <w:t>Gain Contribution (%)</w:t>
            </w:r>
          </w:p>
        </w:tc>
        <w:tc>
          <w:tcPr>
            <w:tcW w:type="dxa" w:w="3888"/>
            <w:shd w:fill="1A365D"/>
            <w:tcMar>
              <w:top w:w="120" w:type="dxa"/>
              <w:bottom w:w="120" w:type="dxa"/>
              <w:left w:w="140" w:type="dxa"/>
              <w:right w:w="140" w:type="dxa"/>
            </w:tcMar>
          </w:tcPr>
          <w:p>
            <w:pPr>
              <w:jc w:val="left"/>
            </w:pPr>
            <w:r>
              <w:rPr>
                <w:rFonts w:ascii="Calibri" w:hAnsi="Calibri"/>
                <w:b/>
                <w:color w:val="FFFFFF"/>
                <w:sz w:val="19"/>
              </w:rPr>
              <w:t>Behavioral / Synthetic Rationale</w:t>
            </w:r>
          </w:p>
        </w:tc>
      </w:tr>
      <w:tr>
        <w:tc>
          <w:tcPr>
            <w:tcW w:type="dxa" w:w="2880"/>
            <w:shd w:fill="F7FAFC"/>
            <w:tcMar>
              <w:top w:w="80" w:type="dxa"/>
              <w:bottom w:w="80" w:type="dxa"/>
              <w:left w:w="120" w:type="dxa"/>
              <w:right w:w="120" w:type="dxa"/>
            </w:tcMar>
          </w:tcPr>
          <w:p>
            <w:r>
              <w:rPr>
                <w:rFonts w:ascii="Calibri" w:hAnsi="Calibri"/>
                <w:color w:val="2D3748"/>
                <w:sz w:val="18"/>
              </w:rPr>
              <w:t>orig_balance_error</w:t>
            </w:r>
          </w:p>
        </w:tc>
        <w:tc>
          <w:tcPr>
            <w:tcW w:type="dxa" w:w="2592"/>
            <w:shd w:fill="F7FAFC"/>
            <w:tcMar>
              <w:top w:w="80" w:type="dxa"/>
              <w:bottom w:w="80" w:type="dxa"/>
              <w:left w:w="120" w:type="dxa"/>
              <w:right w:w="120" w:type="dxa"/>
            </w:tcMar>
          </w:tcPr>
          <w:p>
            <w:r>
              <w:rPr>
                <w:rFonts w:ascii="Calibri" w:hAnsi="Calibri"/>
                <w:color w:val="2D3748"/>
                <w:sz w:val="18"/>
              </w:rPr>
              <w:t>66.71%</w:t>
            </w:r>
          </w:p>
        </w:tc>
        <w:tc>
          <w:tcPr>
            <w:tcW w:type="dxa" w:w="3888"/>
            <w:shd w:fill="F7FAFC"/>
            <w:tcMar>
              <w:top w:w="80" w:type="dxa"/>
              <w:bottom w:w="80" w:type="dxa"/>
              <w:left w:w="120" w:type="dxa"/>
              <w:right w:w="120" w:type="dxa"/>
            </w:tcMar>
          </w:tcPr>
          <w:p>
            <w:r>
              <w:rPr>
                <w:rFonts w:ascii="Calibri" w:hAnsi="Calibri"/>
                <w:color w:val="2D3748"/>
                <w:sz w:val="18"/>
              </w:rPr>
              <w:t>Double-entry violation: amount exceeds old balance or doesn't decrement cleanly.</w:t>
            </w:r>
          </w:p>
        </w:tc>
      </w:tr>
      <w:tr>
        <w:tc>
          <w:tcPr>
            <w:tcW w:type="dxa" w:w="2880"/>
            <w:shd w:fill="FFFFFF"/>
            <w:tcMar>
              <w:top w:w="80" w:type="dxa"/>
              <w:bottom w:w="80" w:type="dxa"/>
              <w:left w:w="120" w:type="dxa"/>
              <w:right w:w="120" w:type="dxa"/>
            </w:tcMar>
          </w:tcPr>
          <w:p>
            <w:r>
              <w:rPr>
                <w:rFonts w:ascii="Calibri" w:hAnsi="Calibri"/>
                <w:color w:val="2D3748"/>
                <w:sz w:val="18"/>
              </w:rPr>
              <w:t>newbalanceOrig</w:t>
            </w:r>
          </w:p>
        </w:tc>
        <w:tc>
          <w:tcPr>
            <w:tcW w:type="dxa" w:w="2592"/>
            <w:shd w:fill="FFFFFF"/>
            <w:tcMar>
              <w:top w:w="80" w:type="dxa"/>
              <w:bottom w:w="80" w:type="dxa"/>
              <w:left w:w="120" w:type="dxa"/>
              <w:right w:w="120" w:type="dxa"/>
            </w:tcMar>
          </w:tcPr>
          <w:p>
            <w:r>
              <w:rPr>
                <w:rFonts w:ascii="Calibri" w:hAnsi="Calibri"/>
                <w:color w:val="2D3748"/>
                <w:sz w:val="18"/>
              </w:rPr>
              <w:t>11.07%</w:t>
            </w:r>
          </w:p>
        </w:tc>
        <w:tc>
          <w:tcPr>
            <w:tcW w:type="dxa" w:w="3888"/>
            <w:shd w:fill="FFFFFF"/>
            <w:tcMar>
              <w:top w:w="80" w:type="dxa"/>
              <w:bottom w:w="80" w:type="dxa"/>
              <w:left w:w="120" w:type="dxa"/>
              <w:right w:w="120" w:type="dxa"/>
            </w:tcMar>
          </w:tcPr>
          <w:p>
            <w:r>
              <w:rPr>
                <w:rFonts w:ascii="Calibri" w:hAnsi="Calibri"/>
                <w:color w:val="2D3748"/>
                <w:sz w:val="18"/>
              </w:rPr>
              <w:t>Zero-balance endpoint: 97.55% of simulated frauds drain sender to exactly 0.00.</w:t>
            </w:r>
          </w:p>
        </w:tc>
      </w:tr>
      <w:tr>
        <w:tc>
          <w:tcPr>
            <w:tcW w:type="dxa" w:w="2880"/>
            <w:shd w:fill="F7FAFC"/>
            <w:tcMar>
              <w:top w:w="80" w:type="dxa"/>
              <w:bottom w:w="80" w:type="dxa"/>
              <w:left w:w="120" w:type="dxa"/>
              <w:right w:w="120" w:type="dxa"/>
            </w:tcMar>
          </w:tcPr>
          <w:p>
            <w:r>
              <w:rPr>
                <w:rFonts w:ascii="Calibri" w:hAnsi="Calibri"/>
                <w:color w:val="2D3748"/>
                <w:sz w:val="18"/>
              </w:rPr>
              <w:t>orig_drain_ratio</w:t>
            </w:r>
          </w:p>
        </w:tc>
        <w:tc>
          <w:tcPr>
            <w:tcW w:type="dxa" w:w="2592"/>
            <w:shd w:fill="F7FAFC"/>
            <w:tcMar>
              <w:top w:w="80" w:type="dxa"/>
              <w:bottom w:w="80" w:type="dxa"/>
              <w:left w:w="120" w:type="dxa"/>
              <w:right w:w="120" w:type="dxa"/>
            </w:tcMar>
          </w:tcPr>
          <w:p>
            <w:r>
              <w:rPr>
                <w:rFonts w:ascii="Calibri" w:hAnsi="Calibri"/>
                <w:color w:val="2D3748"/>
                <w:sz w:val="18"/>
              </w:rPr>
              <w:t>9.01%</w:t>
            </w:r>
          </w:p>
        </w:tc>
        <w:tc>
          <w:tcPr>
            <w:tcW w:type="dxa" w:w="3888"/>
            <w:shd w:fill="F7FAFC"/>
            <w:tcMar>
              <w:top w:w="80" w:type="dxa"/>
              <w:bottom w:w="80" w:type="dxa"/>
              <w:left w:w="120" w:type="dxa"/>
              <w:right w:w="120" w:type="dxa"/>
            </w:tcMar>
          </w:tcPr>
          <w:p>
            <w:r>
              <w:rPr>
                <w:rFonts w:ascii="Calibri" w:hAnsi="Calibri"/>
                <w:color w:val="2D3748"/>
                <w:sz w:val="18"/>
              </w:rPr>
              <w:t>Liquidation proportion: fraud transactions overwhelmingly exhibit drain_ratio == 1.0.</w:t>
            </w:r>
          </w:p>
        </w:tc>
      </w:tr>
      <w:tr>
        <w:tc>
          <w:tcPr>
            <w:tcW w:type="dxa" w:w="2880"/>
            <w:shd w:fill="FFFFFF"/>
            <w:tcMar>
              <w:top w:w="80" w:type="dxa"/>
              <w:bottom w:w="80" w:type="dxa"/>
              <w:left w:w="120" w:type="dxa"/>
              <w:right w:w="120" w:type="dxa"/>
            </w:tcMar>
          </w:tcPr>
          <w:p>
            <w:r>
              <w:rPr>
                <w:rFonts w:ascii="Calibri" w:hAnsi="Calibri"/>
                <w:color w:val="2D3748"/>
                <w:sz w:val="18"/>
              </w:rPr>
              <w:t>is_full_liquidation</w:t>
            </w:r>
          </w:p>
        </w:tc>
        <w:tc>
          <w:tcPr>
            <w:tcW w:type="dxa" w:w="2592"/>
            <w:shd w:fill="FFFFFF"/>
            <w:tcMar>
              <w:top w:w="80" w:type="dxa"/>
              <w:bottom w:w="80" w:type="dxa"/>
              <w:left w:w="120" w:type="dxa"/>
              <w:right w:w="120" w:type="dxa"/>
            </w:tcMar>
          </w:tcPr>
          <w:p>
            <w:r>
              <w:rPr>
                <w:rFonts w:ascii="Calibri" w:hAnsi="Calibri"/>
                <w:color w:val="2D3748"/>
                <w:sz w:val="18"/>
              </w:rPr>
              <w:t>5.47%</w:t>
            </w:r>
          </w:p>
        </w:tc>
        <w:tc>
          <w:tcPr>
            <w:tcW w:type="dxa" w:w="3888"/>
            <w:shd w:fill="FFFFFF"/>
            <w:tcMar>
              <w:top w:w="80" w:type="dxa"/>
              <w:bottom w:w="80" w:type="dxa"/>
              <w:left w:w="120" w:type="dxa"/>
              <w:right w:w="120" w:type="dxa"/>
            </w:tcMar>
          </w:tcPr>
          <w:p>
            <w:r>
              <w:rPr>
                <w:rFonts w:ascii="Calibri" w:hAnsi="Calibri"/>
                <w:color w:val="2D3748"/>
                <w:sz w:val="18"/>
              </w:rPr>
              <w:t>Direct indicator for complete balance drainage.</w:t>
            </w:r>
          </w:p>
        </w:tc>
      </w:tr>
      <w:tr>
        <w:tc>
          <w:tcPr>
            <w:tcW w:type="dxa" w:w="2880"/>
            <w:shd w:fill="F7FAFC"/>
            <w:tcMar>
              <w:top w:w="80" w:type="dxa"/>
              <w:bottom w:w="80" w:type="dxa"/>
              <w:left w:w="120" w:type="dxa"/>
              <w:right w:w="120" w:type="dxa"/>
            </w:tcMar>
          </w:tcPr>
          <w:p>
            <w:r>
              <w:rPr>
                <w:rFonts w:ascii="Calibri" w:hAnsi="Calibri"/>
                <w:color w:val="2D3748"/>
                <w:sz w:val="18"/>
              </w:rPr>
              <w:t>Top 4 Combined</w:t>
            </w:r>
          </w:p>
        </w:tc>
        <w:tc>
          <w:tcPr>
            <w:tcW w:type="dxa" w:w="2592"/>
            <w:shd w:fill="F7FAFC"/>
            <w:tcMar>
              <w:top w:w="80" w:type="dxa"/>
              <w:bottom w:w="80" w:type="dxa"/>
              <w:left w:w="120" w:type="dxa"/>
              <w:right w:w="120" w:type="dxa"/>
            </w:tcMar>
          </w:tcPr>
          <w:p>
            <w:r>
              <w:rPr>
                <w:rFonts w:ascii="Calibri" w:hAnsi="Calibri"/>
                <w:color w:val="2D3748"/>
                <w:sz w:val="18"/>
              </w:rPr>
              <w:t>92.25%</w:t>
            </w:r>
          </w:p>
        </w:tc>
        <w:tc>
          <w:tcPr>
            <w:tcW w:type="dxa" w:w="3888"/>
            <w:shd w:fill="F7FAFC"/>
            <w:tcMar>
              <w:top w:w="80" w:type="dxa"/>
              <w:bottom w:w="80" w:type="dxa"/>
              <w:left w:w="120" w:type="dxa"/>
              <w:right w:w="120" w:type="dxa"/>
            </w:tcMar>
          </w:tcPr>
          <w:p>
            <w:r>
              <w:rPr>
                <w:rFonts w:ascii="Calibri" w:hAnsi="Calibri"/>
                <w:color w:val="2D3748"/>
                <w:sz w:val="18"/>
              </w:rPr>
              <w:t>Four sender balance features account for over 92% of the booster's total split gain.</w:t>
            </w:r>
          </w:p>
        </w:tc>
      </w:tr>
    </w:tbl>
    <w:p/>
    <w:p>
      <w:r>
        <w:t>Why is XGBoost Performance So High? The Synthetic Simulator Reality:</w:t>
        <w:br/>
        <w:t>The forensic audit conclusively verified that there is ZERO TARGET LEAKAGE and ZERO TEMPORAL LEAKAGE. All 18 features are strictly derivable from the ingress transaction payload and current ledger balances at transaction time. The extraordinary performance is an inherent artifact of the PaySim multi-agent simulation: the synthetic fraud agents were programmed with rigid, deterministic heuristics (specifically: always empty the victim account completely, and frequently discard destination ledger balances). Because these heuristic rules are deterministic, gradient-boosted trees easily partition the feature space with near-zero error. In a real-world banking environment, human fraudsters continuously vary transaction amounts, leave residual balances, and utilize complex money-mule layering to blend with normal commerce. Thus, the near-perfect metrics must be understood as an artifact of the simulation rather than an infallible real-world fraud detector.</w:t>
      </w:r>
    </w:p>
    <w:p>
      <w:pPr>
        <w:pStyle w:val="Heading2"/>
        <w:spacing w:before="240" w:after="120"/>
      </w:pPr>
      <w:r>
        <w:rPr>
          <w:rFonts w:ascii="Calibri" w:hAnsi="Calibri"/>
          <w:color w:val="2B6CB0"/>
        </w:rPr>
        <w:t>Forensic Analysis of the Singular False Negative (Test Row 3583)</w:t>
      </w:r>
    </w:p>
    <w:p>
      <w:r>
        <w:t>Across all 37,979 test transactions, XGBoost produced exactly ONE false negative (Row index 3583). A forensic autopsy of this transaction demonstrates why a multi-model ensemble is critical:</w:t>
      </w:r>
    </w:p>
    <w:tbl>
      <w:tblPr>
        <w:tblW w:type="auto" w:w="0"/>
        <w:tblLook w:firstColumn="1" w:firstRow="1" w:lastColumn="0" w:lastRow="0" w:noHBand="0" w:noVBand="1" w:val="04A0"/>
      </w:tblPr>
      <w:tblGrid>
        <w:gridCol w:w="4680"/>
        <w:gridCol w:w="4680"/>
      </w:tblGrid>
      <w:tr>
        <w:tc>
          <w:tcPr>
            <w:tcW w:type="dxa" w:w="3168"/>
            <w:shd w:fill="EDF2F7"/>
            <w:tcMar>
              <w:top w:w="60" w:type="dxa"/>
              <w:bottom w:w="60" w:type="dxa"/>
              <w:left w:w="100" w:type="dxa"/>
              <w:right w:w="100" w:type="dxa"/>
            </w:tcMar>
          </w:tcPr>
          <w:p>
            <w:r>
              <w:rPr>
                <w:b/>
                <w:color w:val="1A365D"/>
                <w:sz w:val="18"/>
              </w:rPr>
              <w:t>Transaction Attribute</w:t>
            </w:r>
          </w:p>
        </w:tc>
        <w:tc>
          <w:tcPr>
            <w:tcW w:type="dxa" w:w="6192"/>
            <w:shd w:fill="F7FAFC"/>
            <w:tcMar>
              <w:top w:w="60" w:type="dxa"/>
              <w:bottom w:w="60" w:type="dxa"/>
              <w:left w:w="100" w:type="dxa"/>
              <w:right w:w="100" w:type="dxa"/>
            </w:tcMar>
          </w:tcPr>
          <w:p>
            <w:r>
              <w:rPr>
                <w:color w:val="2D3748"/>
                <w:sz w:val="18"/>
              </w:rPr>
              <w:t>Observed Empirical Value</w:t>
            </w:r>
          </w:p>
        </w:tc>
      </w:tr>
      <w:tr>
        <w:tc>
          <w:tcPr>
            <w:tcW w:type="dxa" w:w="3168"/>
            <w:shd w:fill="EDF2F7"/>
            <w:tcMar>
              <w:top w:w="60" w:type="dxa"/>
              <w:bottom w:w="60" w:type="dxa"/>
              <w:left w:w="100" w:type="dxa"/>
              <w:right w:w="100" w:type="dxa"/>
            </w:tcMar>
          </w:tcPr>
          <w:p>
            <w:r>
              <w:rPr>
                <w:b/>
                <w:color w:val="1A365D"/>
                <w:sz w:val="18"/>
              </w:rPr>
              <w:t>Transaction Type &amp; Step</w:t>
            </w:r>
          </w:p>
        </w:tc>
        <w:tc>
          <w:tcPr>
            <w:tcW w:type="dxa" w:w="6192"/>
            <w:shd w:fill="F7FAFC"/>
            <w:tcMar>
              <w:top w:w="60" w:type="dxa"/>
              <w:bottom w:w="60" w:type="dxa"/>
              <w:left w:w="100" w:type="dxa"/>
              <w:right w:w="100" w:type="dxa"/>
            </w:tcMar>
          </w:tcPr>
          <w:p>
            <w:r>
              <w:rPr>
                <w:color w:val="2D3748"/>
                <w:sz w:val="18"/>
              </w:rPr>
              <w:t>TRANSFER at Step 654 (Hour 22:00 Diurnal)</w:t>
            </w:r>
          </w:p>
        </w:tc>
      </w:tr>
      <w:tr>
        <w:tc>
          <w:tcPr>
            <w:tcW w:type="dxa" w:w="3168"/>
            <w:shd w:fill="EDF2F7"/>
            <w:tcMar>
              <w:top w:w="60" w:type="dxa"/>
              <w:bottom w:w="60" w:type="dxa"/>
              <w:left w:w="100" w:type="dxa"/>
              <w:right w:w="100" w:type="dxa"/>
            </w:tcMar>
          </w:tcPr>
          <w:p>
            <w:r>
              <w:rPr>
                <w:b/>
                <w:color w:val="1A365D"/>
                <w:sz w:val="18"/>
              </w:rPr>
              <w:t>Transaction Amount</w:t>
            </w:r>
          </w:p>
        </w:tc>
        <w:tc>
          <w:tcPr>
            <w:tcW w:type="dxa" w:w="6192"/>
            <w:shd w:fill="F7FAFC"/>
            <w:tcMar>
              <w:top w:w="60" w:type="dxa"/>
              <w:bottom w:w="60" w:type="dxa"/>
              <w:left w:w="100" w:type="dxa"/>
              <w:right w:w="100" w:type="dxa"/>
            </w:tcMar>
          </w:tcPr>
          <w:p>
            <w:r>
              <w:rPr>
                <w:color w:val="2D3748"/>
                <w:sz w:val="18"/>
              </w:rPr>
              <w:t>$399,045.08</w:t>
            </w:r>
          </w:p>
        </w:tc>
      </w:tr>
      <w:tr>
        <w:tc>
          <w:tcPr>
            <w:tcW w:type="dxa" w:w="3168"/>
            <w:shd w:fill="EDF2F7"/>
            <w:tcMar>
              <w:top w:w="60" w:type="dxa"/>
              <w:bottom w:w="60" w:type="dxa"/>
              <w:left w:w="100" w:type="dxa"/>
              <w:right w:w="100" w:type="dxa"/>
            </w:tcMar>
          </w:tcPr>
          <w:p>
            <w:r>
              <w:rPr>
                <w:b/>
                <w:color w:val="1A365D"/>
                <w:sz w:val="18"/>
              </w:rPr>
              <w:t>Sender Balances</w:t>
            </w:r>
          </w:p>
        </w:tc>
        <w:tc>
          <w:tcPr>
            <w:tcW w:type="dxa" w:w="6192"/>
            <w:shd w:fill="F7FAFC"/>
            <w:tcMar>
              <w:top w:w="60" w:type="dxa"/>
              <w:bottom w:w="60" w:type="dxa"/>
              <w:left w:w="100" w:type="dxa"/>
              <w:right w:w="100" w:type="dxa"/>
            </w:tcMar>
          </w:tcPr>
          <w:p>
            <w:r>
              <w:rPr>
                <w:color w:val="2D3748"/>
                <w:sz w:val="18"/>
              </w:rPr>
              <w:t>oldbalanceOrg = $10,399,045.08 | newbalanceOrig = $10,399,045.08 (Balance not debited)</w:t>
            </w:r>
          </w:p>
        </w:tc>
      </w:tr>
      <w:tr>
        <w:tc>
          <w:tcPr>
            <w:tcW w:type="dxa" w:w="3168"/>
            <w:shd w:fill="EDF2F7"/>
            <w:tcMar>
              <w:top w:w="60" w:type="dxa"/>
              <w:bottom w:w="60" w:type="dxa"/>
              <w:left w:w="100" w:type="dxa"/>
              <w:right w:w="100" w:type="dxa"/>
            </w:tcMar>
          </w:tcPr>
          <w:p>
            <w:r>
              <w:rPr>
                <w:b/>
                <w:color w:val="1A365D"/>
                <w:sz w:val="18"/>
              </w:rPr>
              <w:t>Account Drain Ratio</w:t>
            </w:r>
          </w:p>
        </w:tc>
        <w:tc>
          <w:tcPr>
            <w:tcW w:type="dxa" w:w="6192"/>
            <w:shd w:fill="F7FAFC"/>
            <w:tcMar>
              <w:top w:w="60" w:type="dxa"/>
              <w:bottom w:w="60" w:type="dxa"/>
              <w:left w:w="100" w:type="dxa"/>
              <w:right w:w="100" w:type="dxa"/>
            </w:tcMar>
          </w:tcPr>
          <w:p>
            <w:r>
              <w:rPr>
                <w:color w:val="2D3748"/>
                <w:sz w:val="18"/>
              </w:rPr>
              <w:t>0.0384 (Only 3.84% of account drained; funds remained in account)</w:t>
            </w:r>
          </w:p>
        </w:tc>
      </w:tr>
      <w:tr>
        <w:tc>
          <w:tcPr>
            <w:tcW w:type="dxa" w:w="3168"/>
            <w:shd w:fill="EDF2F7"/>
            <w:tcMar>
              <w:top w:w="60" w:type="dxa"/>
              <w:bottom w:w="60" w:type="dxa"/>
              <w:left w:w="100" w:type="dxa"/>
              <w:right w:w="100" w:type="dxa"/>
            </w:tcMar>
          </w:tcPr>
          <w:p>
            <w:r>
              <w:rPr>
                <w:b/>
                <w:color w:val="1A365D"/>
                <w:sz w:val="18"/>
              </w:rPr>
              <w:t>Ledger Balance Error</w:t>
            </w:r>
          </w:p>
        </w:tc>
        <w:tc>
          <w:tcPr>
            <w:tcW w:type="dxa" w:w="6192"/>
            <w:shd w:fill="F7FAFC"/>
            <w:tcMar>
              <w:top w:w="60" w:type="dxa"/>
              <w:bottom w:w="60" w:type="dxa"/>
              <w:left w:w="100" w:type="dxa"/>
              <w:right w:w="100" w:type="dxa"/>
            </w:tcMar>
          </w:tcPr>
          <w:p>
            <w:r>
              <w:rPr>
                <w:color w:val="2D3748"/>
                <w:sz w:val="18"/>
              </w:rPr>
              <w:t>orig_balance_error = $399,045.08 | dest_zero_balance_anomaly = 1.0</w:t>
            </w:r>
          </w:p>
        </w:tc>
      </w:tr>
      <w:tr>
        <w:tc>
          <w:tcPr>
            <w:tcW w:type="dxa" w:w="3168"/>
            <w:shd w:fill="EDF2F7"/>
            <w:tcMar>
              <w:top w:w="60" w:type="dxa"/>
              <w:bottom w:w="60" w:type="dxa"/>
              <w:left w:w="100" w:type="dxa"/>
              <w:right w:w="100" w:type="dxa"/>
            </w:tcMar>
          </w:tcPr>
          <w:p>
            <w:r>
              <w:rPr>
                <w:b/>
                <w:color w:val="1A365D"/>
                <w:sz w:val="18"/>
              </w:rPr>
              <w:t>Model Inferences</w:t>
            </w:r>
          </w:p>
        </w:tc>
        <w:tc>
          <w:tcPr>
            <w:tcW w:type="dxa" w:w="6192"/>
            <w:shd w:fill="F7FAFC"/>
            <w:tcMar>
              <w:top w:w="60" w:type="dxa"/>
              <w:bottom w:w="60" w:type="dxa"/>
              <w:left w:w="100" w:type="dxa"/>
              <w:right w:w="100" w:type="dxa"/>
            </w:tcMar>
          </w:tcPr>
          <w:p>
            <w:r>
              <w:rPr>
                <w:color w:val="2D3748"/>
                <w:sz w:val="18"/>
              </w:rPr>
              <w:t>XGBoost Probability = 0.7654 | Autoencoder Normalized Anomaly = 0.8412</w:t>
            </w:r>
          </w:p>
        </w:tc>
      </w:tr>
    </w:tbl>
    <w:p/>
    <w:p>
      <w:r>
        <w:t>Forensic Insight: In this transaction, the fraudster did NOT drain the account to zero; they extracted $399,045.08 from a massive $10.4M account, leaving funds behind without draining. Because XGBoost learned that PaySim fraud almost universally exhibits full liquidation (92.25% gain concentration), its model-estimated probability dropped to 0.7654. Under XGBoost's standalone binary threshold of 0.9425, it was misclassified as legitimate (FN). However, under the A.R.G.U.S. multi-signal Risk Engine, the combination of XGBoost (0.7654) and Autoencoder reconstruction anomaly detection (0.8412) produces an elevated aggregate risk score that places it firmly in the REVIEW queue. Rather than silently approving the transaction, A.R.G.U.S. flags it for analyst investigation.</w:t>
      </w:r>
    </w:p>
    <w:p>
      <w:pPr>
        <w:pStyle w:val="Heading2"/>
        <w:spacing w:before="240" w:after="120"/>
      </w:pPr>
      <w:r>
        <w:rPr>
          <w:rFonts w:ascii="Calibri" w:hAnsi="Calibri"/>
          <w:color w:val="2B6CB0"/>
        </w:rPr>
        <w:t>PyTorch Tensor Writability Bug Fix</w:t>
      </w:r>
    </w:p>
    <w:p>
      <w:r>
        <w:t>During the audit, a UserWarning was identified in ml_engine/models/autoencoder.py: 'The given NumPy array is not writable, and PyTorch does not support non-writable tensors'. This occurred because Scikit-learn feature slices generated non-contiguous, read-only memory views before conversion to PyTorch tensors. The issue was resolved cleanly without retraining by modifying predict_reconstruction_error() to create an explicit writable copy via torch.from_numpy(np.array(x_scaled, copy=True)). Subsequent test execution verified 12/12 unit tests passing with zero warnings.</w:t>
      </w:r>
    </w:p>
    <w:p>
      <w:r>
        <w:br w:type="page"/>
      </w:r>
    </w:p>
    <w:p>
      <w:pPr>
        <w:pStyle w:val="Heading1"/>
        <w:spacing w:before="320" w:after="160"/>
      </w:pPr>
      <w:r>
        <w:rPr>
          <w:rFonts w:ascii="Calibri" w:hAnsi="Calibri"/>
          <w:color w:val="1A365D"/>
        </w:rPr>
        <w:t>8. Milestone 4: Risk Scoring &amp; Decision Engine</w:t>
      </w:r>
    </w:p>
    <w:p>
      <w:r>
        <w:t>Milestone 4 implemented the central intelligence hub of A.R.G.U.S.: the Risk Scoring &amp; Decision Engine (ml_engine/risk/). The Risk Engine provides a multi-signal operational framework that combines supervised classification and independent anomaly signals into a continuous risk score and tri-state decision. It normalizes heterogeneous signals across all four models into a bounded continuous scale [0.0, 1.0], combines them via an empirically weighted sum, scales the result to a 0–100 Risk Score, and triggers an operational tri-state decision policy.</w:t>
      </w:r>
    </w:p>
    <w:p>
      <w:r>
        <w:t>Signal Normalization Mechanics:</w:t>
        <w:br/>
        <w:t>• Supervised Signals (XGBoost &amp; Logistic Regression): Outputs represent model-estimated fraud probabilities residing in [0.0, 1.0]. Formal probability calibration such as Platt scaling or isotonic regression has not been implemented.</w:t>
        <w:br/>
        <w:t>• Isolation Forest Signal: Scikit-learn's score_samples() outputs tree-based isolation scores where smaller values indicate outliers. The signal is normalized using empirical training distribution bounds [0.3395, 0.7949]:</w:t>
        <w:br/>
        <w:t xml:space="preserve">  Normalized IF Signal = clip((score - min_bound) / (max_bound - min_bound), 0.0, 1.0)</w:t>
        <w:br/>
        <w:t>• Deep Autoencoder Signal: Raw Mean Squared Error (MSE) reconstruction loss is mapped to [0.0, 1.0] using validation normal statistics (mean = 0.002975, std = 0.014327, P95 = 0.009046):</w:t>
        <w:br/>
        <w:t xml:space="preserve">  Normalized AE Signal = clip(0.5 + 0.5 * (mse - val_mean) / (3.0 * val_std), 0.0, 1.0)</w:t>
      </w:r>
    </w:p>
    <w:p>
      <w:r>
        <w:t>Ensemble Aggregation Weights &amp; Risk Scoring Formula:</w:t>
        <w:br/>
        <w:t>The individual normalized signals S_i are combined using conservative ensemble weights reflecting each model's audited reliability:</w:t>
        <w:br/>
        <w:t>• XGBoost (w_xgb = 0.50): Dominant supervised fraud classifier.</w:t>
        <w:br/>
        <w:t>• Deep Autoencoder (w_ae = 0.20): Deep representation anomaly detector (18 → 64 → 32 → 16 → 32 → 64 → 18).</w:t>
        <w:br/>
        <w:t>• Isolation Forest (w_if = 0.15): Tree-based unsupervised anomaly detector.</w:t>
        <w:br/>
        <w:t>• Logistic Regression (w_lr = 0.15): Baseline linear fraud classifier.</w:t>
        <w:br/>
        <w:br/>
        <w:t>Mathematical Formulation:</w:t>
        <w:br/>
        <w:t xml:space="preserve">  Aggregated Risk Signal = 0.50 * S_xgb + 0.20 * S_ae + 0.15 * S_if + 0.15 * S_lr</w:t>
        <w:br/>
        <w:t xml:space="preserve">  Risk Score = Aggregated Risk Signal * 100.0  ∈ [0.00, 100.00]</w:t>
      </w:r>
    </w:p>
    <w:p>
      <w:r>
        <w:t>Tri-State Operational Decision Policies:</w:t>
        <w:br/>
        <w:t>• Score &lt; 40.0 → APPROVE: Low risk. Immediate settlement with near-zero latency.</w:t>
        <w:br/>
        <w:t>• 40.0 &lt;= Score &lt; 70.0 → REVIEW: Elevated risk. Routed to fraud analysts with observable risk factors and model explanations.</w:t>
        <w:br/>
        <w:t>• Score &gt;= 70.0 → BLOCK: Critical risk. Transaction rejected by the current decision policy. (Account freezing or forensic hold is noted strictly as a potential future operational policy).</w:t>
      </w:r>
    </w:p>
    <w:p>
      <w:pPr>
        <w:pStyle w:val="Heading2"/>
        <w:spacing w:before="240" w:after="120"/>
      </w:pPr>
      <w:r>
        <w:rPr>
          <w:rFonts w:ascii="Calibri" w:hAnsi="Calibri"/>
          <w:color w:val="2B6CB0"/>
        </w:rPr>
        <w:t>Empirical Evaluation on the PaySim Validation Partition (78,701 Transactions)</w:t>
      </w:r>
    </w:p>
    <w:p>
      <w:r>
        <w:t>The Risk Engine was evaluated across the entire Validation partition (78,701 transactions; 1,180 ground-truth fraud cases). Validation-set operational evaluation demonstrates strong triage performance on the simulated data:</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728"/>
            <w:shd w:fill="1A365D"/>
            <w:tcMar>
              <w:top w:w="120" w:type="dxa"/>
              <w:bottom w:w="120" w:type="dxa"/>
              <w:left w:w="140" w:type="dxa"/>
              <w:right w:w="140" w:type="dxa"/>
            </w:tcMar>
          </w:tcPr>
          <w:p>
            <w:pPr>
              <w:jc w:val="left"/>
            </w:pPr>
            <w:r>
              <w:rPr>
                <w:rFonts w:ascii="Calibri" w:hAnsi="Calibri"/>
                <w:b/>
                <w:color w:val="FFFFFF"/>
                <w:sz w:val="19"/>
              </w:rPr>
              <w:t>Decision</w:t>
            </w:r>
          </w:p>
        </w:tc>
        <w:tc>
          <w:tcPr>
            <w:tcW w:type="dxa" w:w="1584"/>
            <w:shd w:fill="1A365D"/>
            <w:tcMar>
              <w:top w:w="120" w:type="dxa"/>
              <w:bottom w:w="120" w:type="dxa"/>
              <w:left w:w="140" w:type="dxa"/>
              <w:right w:w="140" w:type="dxa"/>
            </w:tcMar>
          </w:tcPr>
          <w:p>
            <w:pPr>
              <w:jc w:val="left"/>
            </w:pPr>
            <w:r>
              <w:rPr>
                <w:rFonts w:ascii="Calibri" w:hAnsi="Calibri"/>
                <w:b/>
                <w:color w:val="FFFFFF"/>
                <w:sz w:val="19"/>
              </w:rPr>
              <w:t>Total Volume</w:t>
            </w:r>
          </w:p>
        </w:tc>
        <w:tc>
          <w:tcPr>
            <w:tcW w:type="dxa" w:w="1584"/>
            <w:shd w:fill="1A365D"/>
            <w:tcMar>
              <w:top w:w="120" w:type="dxa"/>
              <w:bottom w:w="120" w:type="dxa"/>
              <w:left w:w="140" w:type="dxa"/>
              <w:right w:w="140" w:type="dxa"/>
            </w:tcMar>
          </w:tcPr>
          <w:p>
            <w:pPr>
              <w:jc w:val="left"/>
            </w:pPr>
            <w:r>
              <w:rPr>
                <w:rFonts w:ascii="Calibri" w:hAnsi="Calibri"/>
                <w:b/>
                <w:color w:val="FFFFFF"/>
                <w:sz w:val="19"/>
              </w:rPr>
              <w:t>% of Traffic</w:t>
            </w:r>
          </w:p>
        </w:tc>
        <w:tc>
          <w:tcPr>
            <w:tcW w:type="dxa" w:w="1584"/>
            <w:shd w:fill="1A365D"/>
            <w:tcMar>
              <w:top w:w="120" w:type="dxa"/>
              <w:bottom w:w="120" w:type="dxa"/>
              <w:left w:w="140" w:type="dxa"/>
              <w:right w:w="140" w:type="dxa"/>
            </w:tcMar>
          </w:tcPr>
          <w:p>
            <w:pPr>
              <w:jc w:val="left"/>
            </w:pPr>
            <w:r>
              <w:rPr>
                <w:rFonts w:ascii="Calibri" w:hAnsi="Calibri"/>
                <w:b/>
                <w:color w:val="FFFFFF"/>
                <w:sz w:val="19"/>
              </w:rPr>
              <w:t>Legitimate</w:t>
            </w:r>
          </w:p>
        </w:tc>
        <w:tc>
          <w:tcPr>
            <w:tcW w:type="dxa" w:w="1440"/>
            <w:shd w:fill="1A365D"/>
            <w:tcMar>
              <w:top w:w="120" w:type="dxa"/>
              <w:bottom w:w="120" w:type="dxa"/>
              <w:left w:w="140" w:type="dxa"/>
              <w:right w:w="140" w:type="dxa"/>
            </w:tcMar>
          </w:tcPr>
          <w:p>
            <w:pPr>
              <w:jc w:val="left"/>
            </w:pPr>
            <w:r>
              <w:rPr>
                <w:rFonts w:ascii="Calibri" w:hAnsi="Calibri"/>
                <w:b/>
                <w:color w:val="FFFFFF"/>
                <w:sz w:val="19"/>
              </w:rPr>
              <w:t>Fraud Caught</w:t>
            </w:r>
          </w:p>
        </w:tc>
        <w:tc>
          <w:tcPr>
            <w:tcW w:type="dxa" w:w="1440"/>
            <w:shd w:fill="1A365D"/>
            <w:tcMar>
              <w:top w:w="120" w:type="dxa"/>
              <w:bottom w:w="120" w:type="dxa"/>
              <w:left w:w="140" w:type="dxa"/>
              <w:right w:w="140" w:type="dxa"/>
            </w:tcMar>
          </w:tcPr>
          <w:p>
            <w:pPr>
              <w:jc w:val="left"/>
            </w:pPr>
            <w:r>
              <w:rPr>
                <w:rFonts w:ascii="Calibri" w:hAnsi="Calibri"/>
                <w:b/>
                <w:color w:val="FFFFFF"/>
                <w:sz w:val="19"/>
              </w:rPr>
              <w:t>Fraud Hit Rate</w:t>
            </w:r>
          </w:p>
        </w:tc>
      </w:tr>
      <w:tr>
        <w:tc>
          <w:tcPr>
            <w:tcW w:type="dxa" w:w="1728"/>
            <w:shd w:fill="F7FAFC"/>
            <w:tcMar>
              <w:top w:w="80" w:type="dxa"/>
              <w:bottom w:w="80" w:type="dxa"/>
              <w:left w:w="120" w:type="dxa"/>
              <w:right w:w="120" w:type="dxa"/>
            </w:tcMar>
          </w:tcPr>
          <w:p>
            <w:r>
              <w:rPr>
                <w:rFonts w:ascii="Calibri" w:hAnsi="Calibri"/>
                <w:color w:val="2D3748"/>
                <w:sz w:val="18"/>
              </w:rPr>
              <w:t>APPROVE</w:t>
            </w:r>
          </w:p>
        </w:tc>
        <w:tc>
          <w:tcPr>
            <w:tcW w:type="dxa" w:w="1584"/>
            <w:shd w:fill="F7FAFC"/>
            <w:tcMar>
              <w:top w:w="80" w:type="dxa"/>
              <w:bottom w:w="80" w:type="dxa"/>
              <w:left w:w="120" w:type="dxa"/>
              <w:right w:w="120" w:type="dxa"/>
            </w:tcMar>
          </w:tcPr>
          <w:p>
            <w:r>
              <w:rPr>
                <w:rFonts w:ascii="Calibri" w:hAnsi="Calibri"/>
                <w:color w:val="2D3748"/>
                <w:sz w:val="18"/>
              </w:rPr>
              <w:t>77,473</w:t>
            </w:r>
          </w:p>
        </w:tc>
        <w:tc>
          <w:tcPr>
            <w:tcW w:type="dxa" w:w="1584"/>
            <w:shd w:fill="F7FAFC"/>
            <w:tcMar>
              <w:top w:w="80" w:type="dxa"/>
              <w:bottom w:w="80" w:type="dxa"/>
              <w:left w:w="120" w:type="dxa"/>
              <w:right w:w="120" w:type="dxa"/>
            </w:tcMar>
          </w:tcPr>
          <w:p>
            <w:r>
              <w:rPr>
                <w:rFonts w:ascii="Calibri" w:hAnsi="Calibri"/>
                <w:color w:val="2D3748"/>
                <w:sz w:val="18"/>
              </w:rPr>
              <w:t>98.44%</w:t>
            </w:r>
          </w:p>
        </w:tc>
        <w:tc>
          <w:tcPr>
            <w:tcW w:type="dxa" w:w="1584"/>
            <w:shd w:fill="F7FAFC"/>
            <w:tcMar>
              <w:top w:w="80" w:type="dxa"/>
              <w:bottom w:w="80" w:type="dxa"/>
              <w:left w:w="120" w:type="dxa"/>
              <w:right w:w="120" w:type="dxa"/>
            </w:tcMar>
          </w:tcPr>
          <w:p>
            <w:r>
              <w:rPr>
                <w:rFonts w:ascii="Calibri" w:hAnsi="Calibri"/>
                <w:color w:val="2D3748"/>
                <w:sz w:val="18"/>
              </w:rPr>
              <w:t>77,472</w:t>
            </w:r>
          </w:p>
        </w:tc>
        <w:tc>
          <w:tcPr>
            <w:tcW w:type="dxa" w:w="1440"/>
            <w:shd w:fill="F7FAFC"/>
            <w:tcMar>
              <w:top w:w="80" w:type="dxa"/>
              <w:bottom w:w="80" w:type="dxa"/>
              <w:left w:w="120" w:type="dxa"/>
              <w:right w:w="120" w:type="dxa"/>
            </w:tcMar>
          </w:tcPr>
          <w:p>
            <w:r>
              <w:rPr>
                <w:rFonts w:ascii="Calibri" w:hAnsi="Calibri"/>
                <w:color w:val="2D3748"/>
                <w:sz w:val="18"/>
              </w:rPr>
              <w:t>1 (FN)</w:t>
            </w:r>
          </w:p>
        </w:tc>
        <w:tc>
          <w:tcPr>
            <w:tcW w:type="dxa" w:w="1440"/>
            <w:shd w:fill="F7FAFC"/>
            <w:tcMar>
              <w:top w:w="80" w:type="dxa"/>
              <w:bottom w:w="80" w:type="dxa"/>
              <w:left w:w="120" w:type="dxa"/>
              <w:right w:w="120" w:type="dxa"/>
            </w:tcMar>
          </w:tcPr>
          <w:p>
            <w:r>
              <w:rPr>
                <w:rFonts w:ascii="Calibri" w:hAnsi="Calibri"/>
                <w:color w:val="2D3748"/>
                <w:sz w:val="18"/>
              </w:rPr>
              <w:t>0.00%</w:t>
            </w:r>
          </w:p>
        </w:tc>
      </w:tr>
      <w:tr>
        <w:tc>
          <w:tcPr>
            <w:tcW w:type="dxa" w:w="1728"/>
            <w:shd w:fill="FFFFFF"/>
            <w:tcMar>
              <w:top w:w="80" w:type="dxa"/>
              <w:bottom w:w="80" w:type="dxa"/>
              <w:left w:w="120" w:type="dxa"/>
              <w:right w:w="120" w:type="dxa"/>
            </w:tcMar>
          </w:tcPr>
          <w:p>
            <w:r>
              <w:rPr>
                <w:rFonts w:ascii="Calibri" w:hAnsi="Calibri"/>
                <w:color w:val="2D3748"/>
                <w:sz w:val="18"/>
              </w:rPr>
              <w:t>REVIEW</w:t>
            </w:r>
          </w:p>
        </w:tc>
        <w:tc>
          <w:tcPr>
            <w:tcW w:type="dxa" w:w="1584"/>
            <w:shd w:fill="FFFFFF"/>
            <w:tcMar>
              <w:top w:w="80" w:type="dxa"/>
              <w:bottom w:w="80" w:type="dxa"/>
              <w:left w:w="120" w:type="dxa"/>
              <w:right w:w="120" w:type="dxa"/>
            </w:tcMar>
          </w:tcPr>
          <w:p>
            <w:r>
              <w:rPr>
                <w:rFonts w:ascii="Calibri" w:hAnsi="Calibri"/>
                <w:color w:val="2D3748"/>
                <w:sz w:val="18"/>
              </w:rPr>
              <w:t>165</w:t>
            </w:r>
          </w:p>
        </w:tc>
        <w:tc>
          <w:tcPr>
            <w:tcW w:type="dxa" w:w="1584"/>
            <w:shd w:fill="FFFFFF"/>
            <w:tcMar>
              <w:top w:w="80" w:type="dxa"/>
              <w:bottom w:w="80" w:type="dxa"/>
              <w:left w:w="120" w:type="dxa"/>
              <w:right w:w="120" w:type="dxa"/>
            </w:tcMar>
          </w:tcPr>
          <w:p>
            <w:r>
              <w:rPr>
                <w:rFonts w:ascii="Calibri" w:hAnsi="Calibri"/>
                <w:color w:val="2D3748"/>
                <w:sz w:val="18"/>
              </w:rPr>
              <w:t>0.21%</w:t>
            </w:r>
          </w:p>
        </w:tc>
        <w:tc>
          <w:tcPr>
            <w:tcW w:type="dxa" w:w="1584"/>
            <w:shd w:fill="FFFFFF"/>
            <w:tcMar>
              <w:top w:w="80" w:type="dxa"/>
              <w:bottom w:w="80" w:type="dxa"/>
              <w:left w:w="120" w:type="dxa"/>
              <w:right w:w="120" w:type="dxa"/>
            </w:tcMar>
          </w:tcPr>
          <w:p>
            <w:r>
              <w:rPr>
                <w:rFonts w:ascii="Calibri" w:hAnsi="Calibri"/>
                <w:color w:val="2D3748"/>
                <w:sz w:val="18"/>
              </w:rPr>
              <w:t>49</w:t>
            </w:r>
          </w:p>
        </w:tc>
        <w:tc>
          <w:tcPr>
            <w:tcW w:type="dxa" w:w="1440"/>
            <w:shd w:fill="FFFFFF"/>
            <w:tcMar>
              <w:top w:w="80" w:type="dxa"/>
              <w:bottom w:w="80" w:type="dxa"/>
              <w:left w:w="120" w:type="dxa"/>
              <w:right w:w="120" w:type="dxa"/>
            </w:tcMar>
          </w:tcPr>
          <w:p>
            <w:r>
              <w:rPr>
                <w:rFonts w:ascii="Calibri" w:hAnsi="Calibri"/>
                <w:color w:val="2D3748"/>
                <w:sz w:val="18"/>
              </w:rPr>
              <w:t>116</w:t>
            </w:r>
          </w:p>
        </w:tc>
        <w:tc>
          <w:tcPr>
            <w:tcW w:type="dxa" w:w="1440"/>
            <w:shd w:fill="FFFFFF"/>
            <w:tcMar>
              <w:top w:w="80" w:type="dxa"/>
              <w:bottom w:w="80" w:type="dxa"/>
              <w:left w:w="120" w:type="dxa"/>
              <w:right w:w="120" w:type="dxa"/>
            </w:tcMar>
          </w:tcPr>
          <w:p>
            <w:r>
              <w:rPr>
                <w:rFonts w:ascii="Calibri" w:hAnsi="Calibri"/>
                <w:color w:val="2D3748"/>
                <w:sz w:val="18"/>
              </w:rPr>
              <w:t>70.30%</w:t>
            </w:r>
          </w:p>
        </w:tc>
      </w:tr>
      <w:tr>
        <w:tc>
          <w:tcPr>
            <w:tcW w:type="dxa" w:w="1728"/>
            <w:shd w:fill="F7FAFC"/>
            <w:tcMar>
              <w:top w:w="80" w:type="dxa"/>
              <w:bottom w:w="80" w:type="dxa"/>
              <w:left w:w="120" w:type="dxa"/>
              <w:right w:w="120" w:type="dxa"/>
            </w:tcMar>
          </w:tcPr>
          <w:p>
            <w:r>
              <w:rPr>
                <w:rFonts w:ascii="Calibri" w:hAnsi="Calibri"/>
                <w:color w:val="2D3748"/>
                <w:sz w:val="18"/>
              </w:rPr>
              <w:t>BLOCK</w:t>
            </w:r>
          </w:p>
        </w:tc>
        <w:tc>
          <w:tcPr>
            <w:tcW w:type="dxa" w:w="1584"/>
            <w:shd w:fill="F7FAFC"/>
            <w:tcMar>
              <w:top w:w="80" w:type="dxa"/>
              <w:bottom w:w="80" w:type="dxa"/>
              <w:left w:w="120" w:type="dxa"/>
              <w:right w:w="120" w:type="dxa"/>
            </w:tcMar>
          </w:tcPr>
          <w:p>
            <w:r>
              <w:rPr>
                <w:rFonts w:ascii="Calibri" w:hAnsi="Calibri"/>
                <w:color w:val="2D3748"/>
                <w:sz w:val="18"/>
              </w:rPr>
              <w:t>1,063</w:t>
            </w:r>
          </w:p>
        </w:tc>
        <w:tc>
          <w:tcPr>
            <w:tcW w:type="dxa" w:w="1584"/>
            <w:shd w:fill="F7FAFC"/>
            <w:tcMar>
              <w:top w:w="80" w:type="dxa"/>
              <w:bottom w:w="80" w:type="dxa"/>
              <w:left w:w="120" w:type="dxa"/>
              <w:right w:w="120" w:type="dxa"/>
            </w:tcMar>
          </w:tcPr>
          <w:p>
            <w:r>
              <w:rPr>
                <w:rFonts w:ascii="Calibri" w:hAnsi="Calibri"/>
                <w:color w:val="2D3748"/>
                <w:sz w:val="18"/>
              </w:rPr>
              <w:t>1.35%</w:t>
            </w:r>
          </w:p>
        </w:tc>
        <w:tc>
          <w:tcPr>
            <w:tcW w:type="dxa" w:w="1584"/>
            <w:shd w:fill="F7FAFC"/>
            <w:tcMar>
              <w:top w:w="80" w:type="dxa"/>
              <w:bottom w:w="80" w:type="dxa"/>
              <w:left w:w="120" w:type="dxa"/>
              <w:right w:w="120" w:type="dxa"/>
            </w:tcMar>
          </w:tcPr>
          <w:p>
            <w:r>
              <w:rPr>
                <w:rFonts w:ascii="Calibri" w:hAnsi="Calibri"/>
                <w:color w:val="2D3748"/>
                <w:sz w:val="18"/>
              </w:rPr>
              <w:t>0 (0 FP)</w:t>
            </w:r>
          </w:p>
        </w:tc>
        <w:tc>
          <w:tcPr>
            <w:tcW w:type="dxa" w:w="1440"/>
            <w:shd w:fill="F7FAFC"/>
            <w:tcMar>
              <w:top w:w="80" w:type="dxa"/>
              <w:bottom w:w="80" w:type="dxa"/>
              <w:left w:w="120" w:type="dxa"/>
              <w:right w:w="120" w:type="dxa"/>
            </w:tcMar>
          </w:tcPr>
          <w:p>
            <w:r>
              <w:rPr>
                <w:rFonts w:ascii="Calibri" w:hAnsi="Calibri"/>
                <w:color w:val="2D3748"/>
                <w:sz w:val="18"/>
              </w:rPr>
              <w:t>1,063</w:t>
            </w:r>
          </w:p>
        </w:tc>
        <w:tc>
          <w:tcPr>
            <w:tcW w:type="dxa" w:w="1440"/>
            <w:shd w:fill="F7FAFC"/>
            <w:tcMar>
              <w:top w:w="80" w:type="dxa"/>
              <w:bottom w:w="80" w:type="dxa"/>
              <w:left w:w="120" w:type="dxa"/>
              <w:right w:w="120" w:type="dxa"/>
            </w:tcMar>
          </w:tcPr>
          <w:p>
            <w:r>
              <w:rPr>
                <w:rFonts w:ascii="Calibri" w:hAnsi="Calibri"/>
                <w:color w:val="2D3748"/>
                <w:sz w:val="18"/>
              </w:rPr>
              <w:t>100.00%</w:t>
            </w:r>
          </w:p>
        </w:tc>
      </w:tr>
    </w:tbl>
    <w:p/>
    <w:p>
      <w:r>
        <w:t>Operational Evaluation Analysis:</w:t>
        <w:br/>
        <w:t>• 99.92% Total Fraud Capture: 1,179 out of 1,180 fraud cases were intercepted (1,063 blocked immediately + 116 routed to review).</w:t>
        <w:br/>
        <w:t>• Zero False Rejections: Exactly 0 legitimate transactions were rejected in the BLOCK tier (0.00% false positive block rate on validation data).</w:t>
        <w:br/>
        <w:t>• Low Human Review Burden: Only 165 transactions (0.21% of total traffic) require manual investigation, with a 70.30% fraud density in the queue.</w:t>
        <w:br/>
        <w:t>• Multi-Signal Framework: Rather than claiming the ensemble 'dramatically outperforms' XGBoost (which already performs exceptionally strongly on PaySim), the Risk Engine's primary value is providing an operational decision framework that balances automated blockage with human-in-the-loop review for borderline transactions.</w:t>
      </w:r>
    </w:p>
    <w:p>
      <w:pPr>
        <w:pStyle w:val="Heading2"/>
        <w:spacing w:before="240" w:after="120"/>
      </w:pPr>
      <w:r>
        <w:rPr>
          <w:rFonts w:ascii="Calibri" w:hAnsi="Calibri"/>
          <w:color w:val="2B6CB0"/>
        </w:rPr>
        <w:t>Explainability &amp; Domain Entity Architecture</w:t>
      </w:r>
    </w:p>
    <w:p>
      <w:r>
        <w:t>Every evaluation produces an immutable RiskAssessment domain entity containing:</w:t>
        <w:br/>
        <w:t>• Individual Model Signals: Raw scores and normalized signals for XGBoost, Autoencoder, Isolation Forest, and Logistic Regression.</w:t>
        <w:br/>
        <w:t>• Observable Feature Patterns: Human-readable diagnostic indicators ('Account liquidation pattern: 100% drained', 'Mule destination balance anomaly', 'Night window 01:00-06:00', 'Ledger balance conservation violation').</w:t>
        <w:br/>
        <w:t>• System Metadata: engine_version ('1.0.0'), evaluated_by ('ml_ensemble' or 'business_rule_fast_path'), timestamp, and tracking ID.</w:t>
      </w:r>
    </w:p>
    <w:p>
      <w:r>
        <w:br w:type="page"/>
      </w:r>
    </w:p>
    <w:p>
      <w:pPr>
        <w:pStyle w:val="Heading1"/>
        <w:spacing w:before="320" w:after="160"/>
      </w:pPr>
      <w:r>
        <w:rPr>
          <w:rFonts w:ascii="Calibri" w:hAnsi="Calibri"/>
          <w:color w:val="1A365D"/>
        </w:rPr>
        <w:t>9. Planned System Architectures (Milestones 5–7)</w:t>
      </w:r>
    </w:p>
    <w:p>
      <w:r>
        <w:t>The following architectural designs have been conceptualized and analyzed during Milestones 0–4 but are explicitly PLANNED FOR FUTURE IMPLEMENTATION. Neither database migrations, live REST endpoints, nor physical IoT flashing have occurred.</w:t>
      </w:r>
    </w:p>
    <w:p>
      <w:pPr>
        <w:pStyle w:val="Heading2"/>
        <w:spacing w:before="240" w:after="120"/>
      </w:pPr>
      <w:r>
        <w:rPr>
          <w:rFonts w:ascii="Calibri" w:hAnsi="Calibri"/>
          <w:color w:val="2B6CB0"/>
        </w:rPr>
        <w:t>Planned DBMS Architecture — Milestone 5 (PLANNED — NOT YET IMPLEMENTED)</w:t>
      </w:r>
    </w:p>
    <w:p>
      <w:r>
        <w:t>Conceptual PostgreSQL relational architecture designed for Milestone 5. The schema follows Third Normal Form (3NF) to ensure ACID-compliant transaction persistence and auditability across 11 core entities: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A365D"/>
            <w:tcMar>
              <w:top w:w="120" w:type="dxa"/>
              <w:bottom w:w="120" w:type="dxa"/>
              <w:left w:w="140" w:type="dxa"/>
              <w:right w:w="140" w:type="dxa"/>
            </w:tcMar>
          </w:tcPr>
          <w:p>
            <w:pPr>
              <w:jc w:val="left"/>
            </w:pPr>
            <w:r>
              <w:rPr>
                <w:rFonts w:ascii="Calibri" w:hAnsi="Calibri"/>
                <w:b/>
                <w:color w:val="FFFFFF"/>
                <w:sz w:val="19"/>
              </w:rPr>
              <w:t>Entity / Table</w:t>
            </w:r>
          </w:p>
        </w:tc>
        <w:tc>
          <w:tcPr>
            <w:tcW w:type="dxa" w:w="2592"/>
            <w:shd w:fill="1A365D"/>
            <w:tcMar>
              <w:top w:w="120" w:type="dxa"/>
              <w:bottom w:w="120" w:type="dxa"/>
              <w:left w:w="140" w:type="dxa"/>
              <w:right w:w="140" w:type="dxa"/>
            </w:tcMar>
          </w:tcPr>
          <w:p>
            <w:pPr>
              <w:jc w:val="left"/>
            </w:pPr>
            <w:r>
              <w:rPr>
                <w:rFonts w:ascii="Calibri" w:hAnsi="Calibri"/>
                <w:b/>
                <w:color w:val="FFFFFF"/>
                <w:sz w:val="19"/>
              </w:rPr>
              <w:t>Primary Key &amp; Foreign Keys</w:t>
            </w:r>
          </w:p>
        </w:tc>
        <w:tc>
          <w:tcPr>
            <w:tcW w:type="dxa" w:w="4176"/>
            <w:shd w:fill="1A365D"/>
            <w:tcMar>
              <w:top w:w="120" w:type="dxa"/>
              <w:bottom w:w="120" w:type="dxa"/>
              <w:left w:w="140" w:type="dxa"/>
              <w:right w:w="140" w:type="dxa"/>
            </w:tcMar>
          </w:tcPr>
          <w:p>
            <w:pPr>
              <w:jc w:val="left"/>
            </w:pPr>
            <w:r>
              <w:rPr>
                <w:rFonts w:ascii="Calibri" w:hAnsi="Calibri"/>
                <w:b/>
                <w:color w:val="FFFFFF"/>
                <w:sz w:val="19"/>
              </w:rPr>
              <w:t>Domain Purpose &amp; Relational Attributes</w:t>
            </w:r>
          </w:p>
        </w:tc>
      </w:tr>
      <w:tr>
        <w:tc>
          <w:tcPr>
            <w:tcW w:type="dxa" w:w="2592"/>
            <w:shd w:fill="F7FAFC"/>
            <w:tcMar>
              <w:top w:w="80" w:type="dxa"/>
              <w:bottom w:w="80" w:type="dxa"/>
              <w:left w:w="120" w:type="dxa"/>
              <w:right w:w="120" w:type="dxa"/>
            </w:tcMar>
          </w:tcPr>
          <w:p>
            <w:r>
              <w:rPr>
                <w:rFonts w:ascii="Calibri" w:hAnsi="Calibri"/>
                <w:color w:val="2D3748"/>
                <w:sz w:val="18"/>
              </w:rPr>
              <w:t>users</w:t>
            </w:r>
          </w:p>
        </w:tc>
        <w:tc>
          <w:tcPr>
            <w:tcW w:type="dxa" w:w="2592"/>
            <w:shd w:fill="F7FAFC"/>
            <w:tcMar>
              <w:top w:w="80" w:type="dxa"/>
              <w:bottom w:w="80" w:type="dxa"/>
              <w:left w:w="120" w:type="dxa"/>
              <w:right w:w="120" w:type="dxa"/>
            </w:tcMar>
          </w:tcPr>
          <w:p>
            <w:r>
              <w:rPr>
                <w:rFonts w:ascii="Calibri" w:hAnsi="Calibri"/>
                <w:color w:val="2D3748"/>
                <w:sz w:val="18"/>
              </w:rPr>
              <w:t>user_id (UUID PK)</w:t>
            </w:r>
          </w:p>
        </w:tc>
        <w:tc>
          <w:tcPr>
            <w:tcW w:type="dxa" w:w="4176"/>
            <w:shd w:fill="F7FAFC"/>
            <w:tcMar>
              <w:top w:w="80" w:type="dxa"/>
              <w:bottom w:w="80" w:type="dxa"/>
              <w:left w:w="120" w:type="dxa"/>
              <w:right w:w="120" w:type="dxa"/>
            </w:tcMar>
          </w:tcPr>
          <w:p>
            <w:r>
              <w:rPr>
                <w:rFonts w:ascii="Calibri" w:hAnsi="Calibri"/>
                <w:color w:val="2D3748"/>
                <w:sz w:val="18"/>
              </w:rPr>
              <w:t>User credentials, status, role_id (FK -&gt; roles), created_at.</w:t>
            </w:r>
          </w:p>
        </w:tc>
      </w:tr>
      <w:tr>
        <w:tc>
          <w:tcPr>
            <w:tcW w:type="dxa" w:w="2592"/>
            <w:shd w:fill="FFFFFF"/>
            <w:tcMar>
              <w:top w:w="80" w:type="dxa"/>
              <w:bottom w:w="80" w:type="dxa"/>
              <w:left w:w="120" w:type="dxa"/>
              <w:right w:w="120" w:type="dxa"/>
            </w:tcMar>
          </w:tcPr>
          <w:p>
            <w:r>
              <w:rPr>
                <w:rFonts w:ascii="Calibri" w:hAnsi="Calibri"/>
                <w:color w:val="2D3748"/>
                <w:sz w:val="18"/>
              </w:rPr>
              <w:t>merchants</w:t>
            </w:r>
          </w:p>
        </w:tc>
        <w:tc>
          <w:tcPr>
            <w:tcW w:type="dxa" w:w="2592"/>
            <w:shd w:fill="FFFFFF"/>
            <w:tcMar>
              <w:top w:w="80" w:type="dxa"/>
              <w:bottom w:w="80" w:type="dxa"/>
              <w:left w:w="120" w:type="dxa"/>
              <w:right w:w="120" w:type="dxa"/>
            </w:tcMar>
          </w:tcPr>
          <w:p>
            <w:r>
              <w:rPr>
                <w:rFonts w:ascii="Calibri" w:hAnsi="Calibri"/>
                <w:color w:val="2D3748"/>
                <w:sz w:val="18"/>
              </w:rPr>
              <w:t>merchant_id (UUID PK)</w:t>
            </w:r>
          </w:p>
        </w:tc>
        <w:tc>
          <w:tcPr>
            <w:tcW w:type="dxa" w:w="4176"/>
            <w:shd w:fill="FFFFFF"/>
            <w:tcMar>
              <w:top w:w="80" w:type="dxa"/>
              <w:bottom w:w="80" w:type="dxa"/>
              <w:left w:w="120" w:type="dxa"/>
              <w:right w:w="120" w:type="dxa"/>
            </w:tcMar>
          </w:tcPr>
          <w:p>
            <w:r>
              <w:rPr>
                <w:rFonts w:ascii="Calibri" w:hAnsi="Calibri"/>
                <w:color w:val="2D3748"/>
                <w:sz w:val="18"/>
              </w:rPr>
              <w:t>Merchant business profile, category code, risk tier, registered_at.</w:t>
            </w:r>
          </w:p>
        </w:tc>
      </w:tr>
      <w:tr>
        <w:tc>
          <w:tcPr>
            <w:tcW w:type="dxa" w:w="2592"/>
            <w:shd w:fill="F7FAFC"/>
            <w:tcMar>
              <w:top w:w="80" w:type="dxa"/>
              <w:bottom w:w="80" w:type="dxa"/>
              <w:left w:w="120" w:type="dxa"/>
              <w:right w:w="120" w:type="dxa"/>
            </w:tcMar>
          </w:tcPr>
          <w:p>
            <w:r>
              <w:rPr>
                <w:rFonts w:ascii="Calibri" w:hAnsi="Calibri"/>
                <w:color w:val="2D3748"/>
                <w:sz w:val="18"/>
              </w:rPr>
              <w:t>devices</w:t>
            </w:r>
          </w:p>
        </w:tc>
        <w:tc>
          <w:tcPr>
            <w:tcW w:type="dxa" w:w="2592"/>
            <w:shd w:fill="F7FAFC"/>
            <w:tcMar>
              <w:top w:w="80" w:type="dxa"/>
              <w:bottom w:w="80" w:type="dxa"/>
              <w:left w:w="120" w:type="dxa"/>
              <w:right w:w="120" w:type="dxa"/>
            </w:tcMar>
          </w:tcPr>
          <w:p>
            <w:r>
              <w:rPr>
                <w:rFonts w:ascii="Calibri" w:hAnsi="Calibri"/>
                <w:color w:val="2D3748"/>
                <w:sz w:val="18"/>
              </w:rPr>
              <w:t>device_id (UUID PK)</w:t>
            </w:r>
          </w:p>
        </w:tc>
        <w:tc>
          <w:tcPr>
            <w:tcW w:type="dxa" w:w="4176"/>
            <w:shd w:fill="F7FAFC"/>
            <w:tcMar>
              <w:top w:w="80" w:type="dxa"/>
              <w:bottom w:w="80" w:type="dxa"/>
              <w:left w:w="120" w:type="dxa"/>
              <w:right w:w="120" w:type="dxa"/>
            </w:tcMar>
          </w:tcPr>
          <w:p>
            <w:r>
              <w:rPr>
                <w:rFonts w:ascii="Calibri" w:hAnsi="Calibri"/>
                <w:color w:val="2D3748"/>
                <w:sz w:val="18"/>
              </w:rPr>
              <w:t>POS/IoT hardware registry, merchant_id (FK), public_key, status, firmware_ver.</w:t>
            </w:r>
          </w:p>
        </w:tc>
      </w:tr>
      <w:tr>
        <w:tc>
          <w:tcPr>
            <w:tcW w:type="dxa" w:w="2592"/>
            <w:shd w:fill="FFFFFF"/>
            <w:tcMar>
              <w:top w:w="80" w:type="dxa"/>
              <w:bottom w:w="80" w:type="dxa"/>
              <w:left w:w="120" w:type="dxa"/>
              <w:right w:w="120" w:type="dxa"/>
            </w:tcMar>
          </w:tcPr>
          <w:p>
            <w:r>
              <w:rPr>
                <w:rFonts w:ascii="Calibri" w:hAnsi="Calibri"/>
                <w:color w:val="2D3748"/>
                <w:sz w:val="18"/>
              </w:rPr>
              <w:t>transactions</w:t>
            </w:r>
          </w:p>
        </w:tc>
        <w:tc>
          <w:tcPr>
            <w:tcW w:type="dxa" w:w="2592"/>
            <w:shd w:fill="FFFFFF"/>
            <w:tcMar>
              <w:top w:w="80" w:type="dxa"/>
              <w:bottom w:w="80" w:type="dxa"/>
              <w:left w:w="120" w:type="dxa"/>
              <w:right w:w="120" w:type="dxa"/>
            </w:tcMar>
          </w:tcPr>
          <w:p>
            <w:r>
              <w:rPr>
                <w:rFonts w:ascii="Calibri" w:hAnsi="Calibri"/>
                <w:color w:val="2D3748"/>
                <w:sz w:val="18"/>
              </w:rPr>
              <w:t>tx_id (UUID PK)</w:t>
            </w:r>
          </w:p>
        </w:tc>
        <w:tc>
          <w:tcPr>
            <w:tcW w:type="dxa" w:w="4176"/>
            <w:shd w:fill="FFFFFF"/>
            <w:tcMar>
              <w:top w:w="80" w:type="dxa"/>
              <w:bottom w:w="80" w:type="dxa"/>
              <w:left w:w="120" w:type="dxa"/>
              <w:right w:w="120" w:type="dxa"/>
            </w:tcMar>
          </w:tcPr>
          <w:p>
            <w:r>
              <w:rPr>
                <w:rFonts w:ascii="Calibri" w:hAnsi="Calibri"/>
                <w:color w:val="2D3748"/>
                <w:sz w:val="18"/>
              </w:rPr>
              <w:t>Monetary ledger: user_id (FK), merchant_id (FK), amount, type, step, created_at.</w:t>
            </w:r>
          </w:p>
        </w:tc>
      </w:tr>
      <w:tr>
        <w:tc>
          <w:tcPr>
            <w:tcW w:type="dxa" w:w="2592"/>
            <w:shd w:fill="F7FAFC"/>
            <w:tcMar>
              <w:top w:w="80" w:type="dxa"/>
              <w:bottom w:w="80" w:type="dxa"/>
              <w:left w:w="120" w:type="dxa"/>
              <w:right w:w="120" w:type="dxa"/>
            </w:tcMar>
          </w:tcPr>
          <w:p>
            <w:r>
              <w:rPr>
                <w:rFonts w:ascii="Calibri" w:hAnsi="Calibri"/>
                <w:color w:val="2D3748"/>
                <w:sz w:val="18"/>
              </w:rPr>
              <w:t>transaction_features</w:t>
            </w:r>
          </w:p>
        </w:tc>
        <w:tc>
          <w:tcPr>
            <w:tcW w:type="dxa" w:w="2592"/>
            <w:shd w:fill="F7FAFC"/>
            <w:tcMar>
              <w:top w:w="80" w:type="dxa"/>
              <w:bottom w:w="80" w:type="dxa"/>
              <w:left w:w="120" w:type="dxa"/>
              <w:right w:w="120" w:type="dxa"/>
            </w:tcMar>
          </w:tcPr>
          <w:p>
            <w:r>
              <w:rPr>
                <w:rFonts w:ascii="Calibri" w:hAnsi="Calibri"/>
                <w:color w:val="2D3748"/>
                <w:sz w:val="18"/>
              </w:rPr>
              <w:t>feature_id (UUID PK)</w:t>
            </w:r>
          </w:p>
        </w:tc>
        <w:tc>
          <w:tcPr>
            <w:tcW w:type="dxa" w:w="4176"/>
            <w:shd w:fill="F7FAFC"/>
            <w:tcMar>
              <w:top w:w="80" w:type="dxa"/>
              <w:bottom w:w="80" w:type="dxa"/>
              <w:left w:w="120" w:type="dxa"/>
              <w:right w:w="120" w:type="dxa"/>
            </w:tcMar>
          </w:tcPr>
          <w:p>
            <w:r>
              <w:rPr>
                <w:rFonts w:ascii="Calibri" w:hAnsi="Calibri"/>
                <w:color w:val="2D3748"/>
                <w:sz w:val="18"/>
              </w:rPr>
              <w:t>18 engineered features linked to tx_id (FK -&gt; transactions).</w:t>
            </w:r>
          </w:p>
        </w:tc>
      </w:tr>
      <w:tr>
        <w:tc>
          <w:tcPr>
            <w:tcW w:type="dxa" w:w="2592"/>
            <w:shd w:fill="FFFFFF"/>
            <w:tcMar>
              <w:top w:w="80" w:type="dxa"/>
              <w:bottom w:w="80" w:type="dxa"/>
              <w:left w:w="120" w:type="dxa"/>
              <w:right w:w="120" w:type="dxa"/>
            </w:tcMar>
          </w:tcPr>
          <w:p>
            <w:r>
              <w:rPr>
                <w:rFonts w:ascii="Calibri" w:hAnsi="Calibri"/>
                <w:color w:val="2D3748"/>
                <w:sz w:val="18"/>
              </w:rPr>
              <w:t>risk_assessments</w:t>
            </w:r>
          </w:p>
        </w:tc>
        <w:tc>
          <w:tcPr>
            <w:tcW w:type="dxa" w:w="2592"/>
            <w:shd w:fill="FFFFFF"/>
            <w:tcMar>
              <w:top w:w="80" w:type="dxa"/>
              <w:bottom w:w="80" w:type="dxa"/>
              <w:left w:w="120" w:type="dxa"/>
              <w:right w:w="120" w:type="dxa"/>
            </w:tcMar>
          </w:tcPr>
          <w:p>
            <w:r>
              <w:rPr>
                <w:rFonts w:ascii="Calibri" w:hAnsi="Calibri"/>
                <w:color w:val="2D3748"/>
                <w:sz w:val="18"/>
              </w:rPr>
              <w:t>assessment_id (UUID PK)</w:t>
            </w:r>
          </w:p>
        </w:tc>
        <w:tc>
          <w:tcPr>
            <w:tcW w:type="dxa" w:w="4176"/>
            <w:shd w:fill="FFFFFF"/>
            <w:tcMar>
              <w:top w:w="80" w:type="dxa"/>
              <w:bottom w:w="80" w:type="dxa"/>
              <w:left w:w="120" w:type="dxa"/>
              <w:right w:w="120" w:type="dxa"/>
            </w:tcMar>
          </w:tcPr>
          <w:p>
            <w:r>
              <w:rPr>
                <w:rFonts w:ascii="Calibri" w:hAnsi="Calibri"/>
                <w:color w:val="2D3748"/>
                <w:sz w:val="18"/>
              </w:rPr>
              <w:t>Aggregated risk score (0-100), decision, tx_id (FK), evaluated_at.</w:t>
            </w:r>
          </w:p>
        </w:tc>
      </w:tr>
      <w:tr>
        <w:tc>
          <w:tcPr>
            <w:tcW w:type="dxa" w:w="2592"/>
            <w:shd w:fill="F7FAFC"/>
            <w:tcMar>
              <w:top w:w="80" w:type="dxa"/>
              <w:bottom w:w="80" w:type="dxa"/>
              <w:left w:w="120" w:type="dxa"/>
              <w:right w:w="120" w:type="dxa"/>
            </w:tcMar>
          </w:tcPr>
          <w:p>
            <w:r>
              <w:rPr>
                <w:rFonts w:ascii="Calibri" w:hAnsi="Calibri"/>
                <w:color w:val="2D3748"/>
                <w:sz w:val="18"/>
              </w:rPr>
              <w:t>alerts</w:t>
            </w:r>
          </w:p>
        </w:tc>
        <w:tc>
          <w:tcPr>
            <w:tcW w:type="dxa" w:w="2592"/>
            <w:shd w:fill="F7FAFC"/>
            <w:tcMar>
              <w:top w:w="80" w:type="dxa"/>
              <w:bottom w:w="80" w:type="dxa"/>
              <w:left w:w="120" w:type="dxa"/>
              <w:right w:w="120" w:type="dxa"/>
            </w:tcMar>
          </w:tcPr>
          <w:p>
            <w:r>
              <w:rPr>
                <w:rFonts w:ascii="Calibri" w:hAnsi="Calibri"/>
                <w:color w:val="2D3748"/>
                <w:sz w:val="18"/>
              </w:rPr>
              <w:t>alert_id (UUID PK)</w:t>
            </w:r>
          </w:p>
        </w:tc>
        <w:tc>
          <w:tcPr>
            <w:tcW w:type="dxa" w:w="4176"/>
            <w:shd w:fill="F7FAFC"/>
            <w:tcMar>
              <w:top w:w="80" w:type="dxa"/>
              <w:bottom w:w="80" w:type="dxa"/>
              <w:left w:w="120" w:type="dxa"/>
              <w:right w:w="120" w:type="dxa"/>
            </w:tcMar>
          </w:tcPr>
          <w:p>
            <w:r>
              <w:rPr>
                <w:rFonts w:ascii="Calibri" w:hAnsi="Calibri"/>
                <w:color w:val="2D3748"/>
                <w:sz w:val="18"/>
              </w:rPr>
              <w:t>High-risk alerts: assessment_id (FK), severity, status, assigned_analyst.</w:t>
            </w:r>
          </w:p>
        </w:tc>
      </w:tr>
      <w:tr>
        <w:tc>
          <w:tcPr>
            <w:tcW w:type="dxa" w:w="2592"/>
            <w:shd w:fill="FFFFFF"/>
            <w:tcMar>
              <w:top w:w="80" w:type="dxa"/>
              <w:bottom w:w="80" w:type="dxa"/>
              <w:left w:w="120" w:type="dxa"/>
              <w:right w:w="120" w:type="dxa"/>
            </w:tcMar>
          </w:tcPr>
          <w:p>
            <w:r>
              <w:rPr>
                <w:rFonts w:ascii="Calibri" w:hAnsi="Calibri"/>
                <w:color w:val="2D3748"/>
                <w:sz w:val="18"/>
              </w:rPr>
              <w:t>decisions</w:t>
            </w:r>
          </w:p>
        </w:tc>
        <w:tc>
          <w:tcPr>
            <w:tcW w:type="dxa" w:w="2592"/>
            <w:shd w:fill="FFFFFF"/>
            <w:tcMar>
              <w:top w:w="80" w:type="dxa"/>
              <w:bottom w:w="80" w:type="dxa"/>
              <w:left w:w="120" w:type="dxa"/>
              <w:right w:w="120" w:type="dxa"/>
            </w:tcMar>
          </w:tcPr>
          <w:p>
            <w:r>
              <w:rPr>
                <w:rFonts w:ascii="Calibri" w:hAnsi="Calibri"/>
                <w:color w:val="2D3748"/>
                <w:sz w:val="18"/>
              </w:rPr>
              <w:t>decision_id (UUID PK)</w:t>
            </w:r>
          </w:p>
        </w:tc>
        <w:tc>
          <w:tcPr>
            <w:tcW w:type="dxa" w:w="4176"/>
            <w:shd w:fill="FFFFFF"/>
            <w:tcMar>
              <w:top w:w="80" w:type="dxa"/>
              <w:bottom w:w="80" w:type="dxa"/>
              <w:left w:w="120" w:type="dxa"/>
              <w:right w:w="120" w:type="dxa"/>
            </w:tcMar>
          </w:tcPr>
          <w:p>
            <w:r>
              <w:rPr>
                <w:rFonts w:ascii="Calibri" w:hAnsi="Calibri"/>
                <w:color w:val="2D3748"/>
                <w:sz w:val="18"/>
              </w:rPr>
              <w:t>Operational action: assessment_id (FK), policy (APPROVE/REVIEW/BLOCK), reason.</w:t>
            </w:r>
          </w:p>
        </w:tc>
      </w:tr>
      <w:tr>
        <w:tc>
          <w:tcPr>
            <w:tcW w:type="dxa" w:w="2592"/>
            <w:shd w:fill="F7FAFC"/>
            <w:tcMar>
              <w:top w:w="80" w:type="dxa"/>
              <w:bottom w:w="80" w:type="dxa"/>
              <w:left w:w="120" w:type="dxa"/>
              <w:right w:w="120" w:type="dxa"/>
            </w:tcMar>
          </w:tcPr>
          <w:p>
            <w:r>
              <w:rPr>
                <w:rFonts w:ascii="Calibri" w:hAnsi="Calibri"/>
                <w:color w:val="2D3748"/>
                <w:sz w:val="18"/>
              </w:rPr>
              <w:t>user_behavior_profiles</w:t>
            </w:r>
          </w:p>
        </w:tc>
        <w:tc>
          <w:tcPr>
            <w:tcW w:type="dxa" w:w="2592"/>
            <w:shd w:fill="F7FAFC"/>
            <w:tcMar>
              <w:top w:w="80" w:type="dxa"/>
              <w:bottom w:w="80" w:type="dxa"/>
              <w:left w:w="120" w:type="dxa"/>
              <w:right w:w="120" w:type="dxa"/>
            </w:tcMar>
          </w:tcPr>
          <w:p>
            <w:r>
              <w:rPr>
                <w:rFonts w:ascii="Calibri" w:hAnsi="Calibri"/>
                <w:color w:val="2D3748"/>
                <w:sz w:val="18"/>
              </w:rPr>
              <w:t>profile_id (UUID PK)</w:t>
            </w:r>
          </w:p>
        </w:tc>
        <w:tc>
          <w:tcPr>
            <w:tcW w:type="dxa" w:w="4176"/>
            <w:shd w:fill="F7FAFC"/>
            <w:tcMar>
              <w:top w:w="80" w:type="dxa"/>
              <w:bottom w:w="80" w:type="dxa"/>
              <w:left w:w="120" w:type="dxa"/>
              <w:right w:w="120" w:type="dxa"/>
            </w:tcMar>
          </w:tcPr>
          <w:p>
            <w:r>
              <w:rPr>
                <w:rFonts w:ascii="Calibri" w:hAnsi="Calibri"/>
                <w:color w:val="2D3748"/>
                <w:sz w:val="18"/>
              </w:rPr>
              <w:t>Stateful behavioral baselines: user_id (FK), avg_amount, tx_frequency.</w:t>
            </w:r>
          </w:p>
        </w:tc>
      </w:tr>
      <w:tr>
        <w:tc>
          <w:tcPr>
            <w:tcW w:type="dxa" w:w="2592"/>
            <w:shd w:fill="FFFFFF"/>
            <w:tcMar>
              <w:top w:w="80" w:type="dxa"/>
              <w:bottom w:w="80" w:type="dxa"/>
              <w:left w:w="120" w:type="dxa"/>
              <w:right w:w="120" w:type="dxa"/>
            </w:tcMar>
          </w:tcPr>
          <w:p>
            <w:r>
              <w:rPr>
                <w:rFonts w:ascii="Calibri" w:hAnsi="Calibri"/>
                <w:color w:val="2D3748"/>
                <w:sz w:val="18"/>
              </w:rPr>
              <w:t>audit_logs</w:t>
            </w:r>
          </w:p>
        </w:tc>
        <w:tc>
          <w:tcPr>
            <w:tcW w:type="dxa" w:w="2592"/>
            <w:shd w:fill="FFFFFF"/>
            <w:tcMar>
              <w:top w:w="80" w:type="dxa"/>
              <w:bottom w:w="80" w:type="dxa"/>
              <w:left w:w="120" w:type="dxa"/>
              <w:right w:w="120" w:type="dxa"/>
            </w:tcMar>
          </w:tcPr>
          <w:p>
            <w:r>
              <w:rPr>
                <w:rFonts w:ascii="Calibri" w:hAnsi="Calibri"/>
                <w:color w:val="2D3748"/>
                <w:sz w:val="18"/>
              </w:rPr>
              <w:t>log_id (BIGSERIAL PK)</w:t>
            </w:r>
          </w:p>
        </w:tc>
        <w:tc>
          <w:tcPr>
            <w:tcW w:type="dxa" w:w="4176"/>
            <w:shd w:fill="FFFFFF"/>
            <w:tcMar>
              <w:top w:w="80" w:type="dxa"/>
              <w:bottom w:w="80" w:type="dxa"/>
              <w:left w:w="120" w:type="dxa"/>
              <w:right w:w="120" w:type="dxa"/>
            </w:tcMar>
          </w:tcPr>
          <w:p>
            <w:r>
              <w:rPr>
                <w:rFonts w:ascii="Calibri" w:hAnsi="Calibri"/>
                <w:color w:val="2D3748"/>
                <w:sz w:val="18"/>
              </w:rPr>
              <w:t>Immutable audit trail: entity_type, action, actor_id, prev_hash, current_hash.</w:t>
            </w:r>
          </w:p>
        </w:tc>
      </w:tr>
      <w:tr>
        <w:tc>
          <w:tcPr>
            <w:tcW w:type="dxa" w:w="2592"/>
            <w:shd w:fill="F7FAFC"/>
            <w:tcMar>
              <w:top w:w="80" w:type="dxa"/>
              <w:bottom w:w="80" w:type="dxa"/>
              <w:left w:w="120" w:type="dxa"/>
              <w:right w:w="120" w:type="dxa"/>
            </w:tcMar>
          </w:tcPr>
          <w:p>
            <w:r>
              <w:rPr>
                <w:rFonts w:ascii="Calibri" w:hAnsi="Calibri"/>
                <w:color w:val="2D3748"/>
                <w:sz w:val="18"/>
              </w:rPr>
              <w:t>model_versions</w:t>
            </w:r>
          </w:p>
        </w:tc>
        <w:tc>
          <w:tcPr>
            <w:tcW w:type="dxa" w:w="2592"/>
            <w:shd w:fill="F7FAFC"/>
            <w:tcMar>
              <w:top w:w="80" w:type="dxa"/>
              <w:bottom w:w="80" w:type="dxa"/>
              <w:left w:w="120" w:type="dxa"/>
              <w:right w:w="120" w:type="dxa"/>
            </w:tcMar>
          </w:tcPr>
          <w:p>
            <w:r>
              <w:rPr>
                <w:rFonts w:ascii="Calibri" w:hAnsi="Calibri"/>
                <w:color w:val="2D3748"/>
                <w:sz w:val="18"/>
              </w:rPr>
              <w:t>version_id (UUID PK)</w:t>
            </w:r>
          </w:p>
        </w:tc>
        <w:tc>
          <w:tcPr>
            <w:tcW w:type="dxa" w:w="4176"/>
            <w:shd w:fill="F7FAFC"/>
            <w:tcMar>
              <w:top w:w="80" w:type="dxa"/>
              <w:bottom w:w="80" w:type="dxa"/>
              <w:left w:w="120" w:type="dxa"/>
              <w:right w:w="120" w:type="dxa"/>
            </w:tcMar>
          </w:tcPr>
          <w:p>
            <w:r>
              <w:rPr>
                <w:rFonts w:ascii="Calibri" w:hAnsi="Calibri"/>
                <w:color w:val="2D3748"/>
                <w:sz w:val="18"/>
              </w:rPr>
              <w:t>Model metadata registry: model_name, training_date, validation_pr_auc, active.</w:t>
            </w:r>
          </w:p>
        </w:tc>
      </w:tr>
    </w:tbl>
    <w:p/>
    <w:p>
      <w:pPr>
        <w:pStyle w:val="Heading2"/>
        <w:spacing w:before="240" w:after="120"/>
      </w:pPr>
      <w:r>
        <w:rPr>
          <w:rFonts w:ascii="Calibri" w:hAnsi="Calibri"/>
          <w:color w:val="2B6CB0"/>
        </w:rPr>
        <w:t>Planned Information Security Architecture (DESIGNED / PLANNED)</w:t>
      </w:r>
    </w:p>
    <w:p>
      <w:r>
        <w:t>Security mechanisms designed for future implementation across Milestones 5–7:</w:t>
        <w:br/>
        <w:t>• Authentication &amp; Authorization: OAuth2 with short-lived JWT bearer tokens (15-minute expiration) and secure refresh tokens. [PLANNED / M6]</w:t>
        <w:br/>
        <w:t>• Role-Based Access Control (RBAC): Strict permission boundaries across Admin (system configuration), Analyst (review queue triage), and Auditor (read-only audit log inspection). [PLANNED / M6]</w:t>
        <w:br/>
        <w:t>• API Sanitization: Strict Pydantic input schemas, boundary validation, and rate limiting (token bucket algorithm). [PLANNED / M6]</w:t>
        <w:br/>
        <w:t>• Password Security: Adaptive password hashing via Argon2id with work factor calibration. [PLANNED / M5]</w:t>
        <w:br/>
        <w:t>• Cryptographic IoT Integrity: HMAC-SHA256 signature calculated over device_id + timestamp + amount using secure per-device pre-shared keys. [PLANNED / M7]</w:t>
        <w:br/>
        <w:t>• Secure Communication: Mandatory Transport Layer Security (TLS 1.3) with forward secrecy. [PLANNED / M6]</w:t>
        <w:br/>
        <w:t>• Tamper-Evident Audit Logging: Cryptographic forward-chained SHA-256 hash chains across audit_logs to guarantee tamper detection. [PLANNED / M5]</w:t>
      </w:r>
    </w:p>
    <w:p>
      <w:pPr>
        <w:pStyle w:val="Heading2"/>
        <w:spacing w:before="240" w:after="120"/>
      </w:pPr>
      <w:r>
        <w:rPr>
          <w:rFonts w:ascii="Calibri" w:hAnsi="Calibri"/>
          <w:color w:val="2B6CB0"/>
        </w:rPr>
        <w:t>Planned IoT Architecture — Milestone 7 (PLANNED — PENDING)</w:t>
      </w:r>
    </w:p>
    <w:p>
      <w:r>
        <w:t>Physical ESP32 integration is pending. The planned hardware architecture comprises:</w:t>
        <w:br/>
        <w:t>• Microcontroller: Espressif ESP32-WROOM-32 (Dual-core 240 MHz, 520 KB SRAM, hardware cryptographic accelerator).</w:t>
        <w:br/>
        <w:t>• Physical Tamper Detection: Normally-closed hardware micro-switch connected to GPIO with pull-up resistor; triggering sends immediate tamper_status = 1 telemetry.</w:t>
        <w:br/>
        <w:t>• Telemetry Payload: device_id, merchant_id, hardware RTC timestamp, device_status, tamper_status, firmware_version, and Wi-Fi RSSI signal strength.</w:t>
        <w:br/>
        <w:t>• Cryptographic Signing: Internal HMAC-SHA256 calculation offloaded to ESP32 hardware cryptographic engine.</w:t>
      </w:r>
    </w:p>
    <w:p>
      <w:pPr>
        <w:pStyle w:val="Heading2"/>
        <w:spacing w:before="240" w:after="120"/>
      </w:pPr>
      <w:r>
        <w:rPr>
          <w:rFonts w:ascii="Calibri" w:hAnsi="Calibri"/>
          <w:color w:val="2B6CB0"/>
        </w:rPr>
        <w:t>Object-Oriented Programming (OOP) Architecture</w:t>
      </w:r>
    </w:p>
    <w:p>
      <w:r>
        <w:t>The project applies object-oriented principles across application domain models and service layers:</w:t>
        <w:br/>
        <w:t>• Domain Object Models: Encapsulated entities including User, Transaction, Device, Merchant, RiskAssessment, Alert, Decision, and AuditLog.</w:t>
        <w:br/>
        <w:t>• Service Abstractions: Decoupled service layer including TransactionService (ingress and validation), RiskAssessmentService (orchestrates scoring), FraudDetectionService (wraps model inference), AuthenticationService (tokens and credentials), and AuditService (immutable logging).</w:t>
        <w:br/>
        <w:t>• Implemented vs Planned OOP Components: Core ML modules (TransactionRiskEngine, ModelSignalNormalizer, RiskAssessment, DeepAutoencoder, RiskEngineConfig) are fully implemented; backend service abstractions will be realized in FastAPI during Milestone 6.</w:t>
      </w:r>
    </w:p>
    <w:p>
      <w:r>
        <w:br w:type="page"/>
      </w:r>
    </w:p>
    <w:p>
      <w:pPr>
        <w:pStyle w:val="Heading1"/>
        <w:spacing w:before="320" w:after="160"/>
      </w:pPr>
      <w:r>
        <w:rPr>
          <w:rFonts w:ascii="Calibri" w:hAnsi="Calibri"/>
          <w:color w:val="1A365D"/>
        </w:rPr>
        <w:t>10. Status Summary, Limitations &amp; Next Milestones</w:t>
      </w:r>
    </w:p>
    <w:p>
      <w:r>
        <w:t>Comprehensive Project Status Audit (Implemented vs Designed vs Planned):</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A365D"/>
            <w:tcMar>
              <w:top w:w="120" w:type="dxa"/>
              <w:bottom w:w="120" w:type="dxa"/>
              <w:left w:w="140" w:type="dxa"/>
              <w:right w:w="140" w:type="dxa"/>
            </w:tcMar>
          </w:tcPr>
          <w:p>
            <w:pPr>
              <w:jc w:val="left"/>
            </w:pPr>
            <w:r>
              <w:rPr>
                <w:rFonts w:ascii="Calibri" w:hAnsi="Calibri"/>
                <w:b/>
                <w:color w:val="FFFFFF"/>
                <w:sz w:val="19"/>
              </w:rPr>
              <w:t>Component / Milestone</w:t>
            </w:r>
          </w:p>
        </w:tc>
        <w:tc>
          <w:tcPr>
            <w:tcW w:type="dxa" w:w="2016"/>
            <w:shd w:fill="1A365D"/>
            <w:tcMar>
              <w:top w:w="120" w:type="dxa"/>
              <w:bottom w:w="120" w:type="dxa"/>
              <w:left w:w="140" w:type="dxa"/>
              <w:right w:w="140" w:type="dxa"/>
            </w:tcMar>
          </w:tcPr>
          <w:p>
            <w:pPr>
              <w:jc w:val="left"/>
            </w:pPr>
            <w:r>
              <w:rPr>
                <w:rFonts w:ascii="Calibri" w:hAnsi="Calibri"/>
                <w:b/>
                <w:color w:val="FFFFFF"/>
                <w:sz w:val="19"/>
              </w:rPr>
              <w:t>Implementation Status</w:t>
            </w:r>
          </w:p>
        </w:tc>
        <w:tc>
          <w:tcPr>
            <w:tcW w:type="dxa" w:w="4752"/>
            <w:shd w:fill="1A365D"/>
            <w:tcMar>
              <w:top w:w="120" w:type="dxa"/>
              <w:bottom w:w="120" w:type="dxa"/>
              <w:left w:w="140" w:type="dxa"/>
              <w:right w:w="140" w:type="dxa"/>
            </w:tcMar>
          </w:tcPr>
          <w:p>
            <w:pPr>
              <w:jc w:val="left"/>
            </w:pPr>
            <w:r>
              <w:rPr>
                <w:rFonts w:ascii="Calibri" w:hAnsi="Calibri"/>
                <w:b/>
                <w:color w:val="FFFFFF"/>
                <w:sz w:val="19"/>
              </w:rPr>
              <w:t>Technical Verification &amp; Verification Details</w:t>
            </w:r>
          </w:p>
        </w:tc>
      </w:tr>
      <w:tr>
        <w:tc>
          <w:tcPr>
            <w:tcW w:type="dxa" w:w="2592"/>
            <w:shd w:fill="F7FAFC"/>
            <w:tcMar>
              <w:top w:w="80" w:type="dxa"/>
              <w:bottom w:w="80" w:type="dxa"/>
              <w:left w:w="120" w:type="dxa"/>
              <w:right w:w="120" w:type="dxa"/>
            </w:tcMar>
          </w:tcPr>
          <w:p>
            <w:r>
              <w:rPr>
                <w:rFonts w:ascii="Calibri" w:hAnsi="Calibri"/>
                <w:color w:val="2D3748"/>
                <w:sz w:val="18"/>
              </w:rPr>
              <w:t>M0 — Environment Setup</w:t>
            </w:r>
          </w:p>
        </w:tc>
        <w:tc>
          <w:tcPr>
            <w:tcW w:type="dxa" w:w="2016"/>
            <w:shd w:fill="F7FAFC"/>
            <w:tcMar>
              <w:top w:w="80" w:type="dxa"/>
              <w:bottom w:w="80" w:type="dxa"/>
              <w:left w:w="120" w:type="dxa"/>
              <w:right w:w="120" w:type="dxa"/>
            </w:tcMar>
          </w:tcPr>
          <w:p>
            <w:r>
              <w:rPr>
                <w:rFonts w:ascii="Calibri" w:hAnsi="Calibri"/>
                <w:color w:val="2D3748"/>
                <w:sz w:val="18"/>
              </w:rPr>
              <w:t>IMPLEMENTED</w:t>
            </w:r>
          </w:p>
        </w:tc>
        <w:tc>
          <w:tcPr>
            <w:tcW w:type="dxa" w:w="4752"/>
            <w:shd w:fill="F7FAFC"/>
            <w:tcMar>
              <w:top w:w="80" w:type="dxa"/>
              <w:bottom w:w="80" w:type="dxa"/>
              <w:left w:w="120" w:type="dxa"/>
              <w:right w:w="120" w:type="dxa"/>
            </w:tcMar>
          </w:tcPr>
          <w:p>
            <w:r>
              <w:rPr>
                <w:rFonts w:ascii="Calibri" w:hAnsi="Calibri"/>
                <w:color w:val="2D3748"/>
                <w:sz w:val="18"/>
              </w:rPr>
              <w:t>Python 3.13.7 virtual environment, requirements pinned, Git initialized at commit 0f1b9c7.</w:t>
            </w:r>
          </w:p>
        </w:tc>
      </w:tr>
      <w:tr>
        <w:tc>
          <w:tcPr>
            <w:tcW w:type="dxa" w:w="2592"/>
            <w:shd w:fill="FFFFFF"/>
            <w:tcMar>
              <w:top w:w="80" w:type="dxa"/>
              <w:bottom w:w="80" w:type="dxa"/>
              <w:left w:w="120" w:type="dxa"/>
              <w:right w:w="120" w:type="dxa"/>
            </w:tcMar>
          </w:tcPr>
          <w:p>
            <w:r>
              <w:rPr>
                <w:rFonts w:ascii="Calibri" w:hAnsi="Calibri"/>
                <w:color w:val="2D3748"/>
                <w:sz w:val="18"/>
              </w:rPr>
              <w:t>M1 — PaySim EDA</w:t>
            </w:r>
          </w:p>
        </w:tc>
        <w:tc>
          <w:tcPr>
            <w:tcW w:type="dxa" w:w="2016"/>
            <w:shd w:fill="FFFFFF"/>
            <w:tcMar>
              <w:top w:w="80" w:type="dxa"/>
              <w:bottom w:w="80" w:type="dxa"/>
              <w:left w:w="120" w:type="dxa"/>
              <w:right w:w="120" w:type="dxa"/>
            </w:tcMar>
          </w:tcPr>
          <w:p>
            <w:r>
              <w:rPr>
                <w:rFonts w:ascii="Calibri" w:hAnsi="Calibri"/>
                <w:color w:val="2D3748"/>
                <w:sz w:val="18"/>
              </w:rPr>
              <w:t>IMPLEMENTED</w:t>
            </w:r>
          </w:p>
        </w:tc>
        <w:tc>
          <w:tcPr>
            <w:tcW w:type="dxa" w:w="4752"/>
            <w:shd w:fill="FFFFFF"/>
            <w:tcMar>
              <w:top w:w="80" w:type="dxa"/>
              <w:bottom w:w="80" w:type="dxa"/>
              <w:left w:w="120" w:type="dxa"/>
              <w:right w:w="120" w:type="dxa"/>
            </w:tcMar>
          </w:tcPr>
          <w:p>
            <w:r>
              <w:rPr>
                <w:rFonts w:ascii="Calibri" w:hAnsi="Calibri"/>
                <w:color w:val="2D3748"/>
                <w:sz w:val="18"/>
              </w:rPr>
              <w:t>PaySim 6.36M rows verified, 0 missing, 100% fraud in TRANSFER/CASH_OUT, 5 figures generated.</w:t>
            </w:r>
          </w:p>
        </w:tc>
      </w:tr>
      <w:tr>
        <w:tc>
          <w:tcPr>
            <w:tcW w:type="dxa" w:w="2592"/>
            <w:shd w:fill="F7FAFC"/>
            <w:tcMar>
              <w:top w:w="80" w:type="dxa"/>
              <w:bottom w:w="80" w:type="dxa"/>
              <w:left w:w="120" w:type="dxa"/>
              <w:right w:w="120" w:type="dxa"/>
            </w:tcMar>
          </w:tcPr>
          <w:p>
            <w:r>
              <w:rPr>
                <w:rFonts w:ascii="Calibri" w:hAnsi="Calibri"/>
                <w:color w:val="2D3748"/>
                <w:sz w:val="18"/>
              </w:rPr>
              <w:t>M2 — Feature Engineering &amp; Split</w:t>
            </w:r>
          </w:p>
        </w:tc>
        <w:tc>
          <w:tcPr>
            <w:tcW w:type="dxa" w:w="2016"/>
            <w:shd w:fill="F7FAFC"/>
            <w:tcMar>
              <w:top w:w="80" w:type="dxa"/>
              <w:bottom w:w="80" w:type="dxa"/>
              <w:left w:w="120" w:type="dxa"/>
              <w:right w:w="120" w:type="dxa"/>
            </w:tcMar>
          </w:tcPr>
          <w:p>
            <w:r>
              <w:rPr>
                <w:rFonts w:ascii="Calibri" w:hAnsi="Calibri"/>
                <w:color w:val="2D3748"/>
                <w:sz w:val="18"/>
              </w:rPr>
              <w:t>IMPLEMENTED</w:t>
            </w:r>
          </w:p>
        </w:tc>
        <w:tc>
          <w:tcPr>
            <w:tcW w:type="dxa" w:w="4752"/>
            <w:shd w:fill="F7FAFC"/>
            <w:tcMar>
              <w:top w:w="80" w:type="dxa"/>
              <w:bottom w:w="80" w:type="dxa"/>
              <w:left w:w="120" w:type="dxa"/>
              <w:right w:w="120" w:type="dxa"/>
            </w:tcMar>
          </w:tcPr>
          <w:p>
            <w:r>
              <w:rPr>
                <w:rFonts w:ascii="Calibri" w:hAnsi="Calibri"/>
                <w:color w:val="2D3748"/>
                <w:sz w:val="18"/>
              </w:rPr>
              <w:t>18-feature pipeline, chronological split (1-520/521-631/632-743), scaler isolated to Train.</w:t>
            </w:r>
          </w:p>
        </w:tc>
      </w:tr>
      <w:tr>
        <w:tc>
          <w:tcPr>
            <w:tcW w:type="dxa" w:w="2592"/>
            <w:shd w:fill="FFFFFF"/>
            <w:tcMar>
              <w:top w:w="80" w:type="dxa"/>
              <w:bottom w:w="80" w:type="dxa"/>
              <w:left w:w="120" w:type="dxa"/>
              <w:right w:w="120" w:type="dxa"/>
            </w:tcMar>
          </w:tcPr>
          <w:p>
            <w:r>
              <w:rPr>
                <w:rFonts w:ascii="Calibri" w:hAnsi="Calibri"/>
                <w:color w:val="2D3748"/>
                <w:sz w:val="18"/>
              </w:rPr>
              <w:t>M3 — ML/DL Model Training</w:t>
            </w:r>
          </w:p>
        </w:tc>
        <w:tc>
          <w:tcPr>
            <w:tcW w:type="dxa" w:w="2016"/>
            <w:shd w:fill="FFFFFF"/>
            <w:tcMar>
              <w:top w:w="80" w:type="dxa"/>
              <w:bottom w:w="80" w:type="dxa"/>
              <w:left w:w="120" w:type="dxa"/>
              <w:right w:w="120" w:type="dxa"/>
            </w:tcMar>
          </w:tcPr>
          <w:p>
            <w:r>
              <w:rPr>
                <w:rFonts w:ascii="Calibri" w:hAnsi="Calibri"/>
                <w:color w:val="2D3748"/>
                <w:sz w:val="18"/>
              </w:rPr>
              <w:t>IMPLEMENTED</w:t>
            </w:r>
          </w:p>
        </w:tc>
        <w:tc>
          <w:tcPr>
            <w:tcW w:type="dxa" w:w="4752"/>
            <w:shd w:fill="FFFFFF"/>
            <w:tcMar>
              <w:top w:w="80" w:type="dxa"/>
              <w:bottom w:w="80" w:type="dxa"/>
              <w:left w:w="120" w:type="dxa"/>
              <w:right w:w="120" w:type="dxa"/>
            </w:tcMar>
          </w:tcPr>
          <w:p>
            <w:r>
              <w:rPr>
                <w:rFonts w:ascii="Calibri" w:hAnsi="Calibri"/>
                <w:color w:val="2D3748"/>
                <w:sz w:val="18"/>
              </w:rPr>
              <w:t>XGBoost, Deep Autoencoder (18-64-32-16-32-64-18), Isolation Forest, Logistic Regression trained.</w:t>
            </w:r>
          </w:p>
        </w:tc>
      </w:tr>
      <w:tr>
        <w:tc>
          <w:tcPr>
            <w:tcW w:type="dxa" w:w="2592"/>
            <w:shd w:fill="F7FAFC"/>
            <w:tcMar>
              <w:top w:w="80" w:type="dxa"/>
              <w:bottom w:w="80" w:type="dxa"/>
              <w:left w:w="120" w:type="dxa"/>
              <w:right w:w="120" w:type="dxa"/>
            </w:tcMar>
          </w:tcPr>
          <w:p>
            <w:r>
              <w:rPr>
                <w:rFonts w:ascii="Calibri" w:hAnsi="Calibri"/>
                <w:color w:val="2D3748"/>
                <w:sz w:val="18"/>
              </w:rPr>
              <w:t>M3A — Model Audit &amp; Bug Fix</w:t>
            </w:r>
          </w:p>
        </w:tc>
        <w:tc>
          <w:tcPr>
            <w:tcW w:type="dxa" w:w="2016"/>
            <w:shd w:fill="F7FAFC"/>
            <w:tcMar>
              <w:top w:w="80" w:type="dxa"/>
              <w:bottom w:w="80" w:type="dxa"/>
              <w:left w:w="120" w:type="dxa"/>
              <w:right w:w="120" w:type="dxa"/>
            </w:tcMar>
          </w:tcPr>
          <w:p>
            <w:r>
              <w:rPr>
                <w:rFonts w:ascii="Calibri" w:hAnsi="Calibri"/>
                <w:color w:val="2D3748"/>
                <w:sz w:val="18"/>
              </w:rPr>
              <w:t>IMPLEMENTED</w:t>
            </w:r>
          </w:p>
        </w:tc>
        <w:tc>
          <w:tcPr>
            <w:tcW w:type="dxa" w:w="4752"/>
            <w:shd w:fill="F7FAFC"/>
            <w:tcMar>
              <w:top w:w="80" w:type="dxa"/>
              <w:bottom w:w="80" w:type="dxa"/>
              <w:left w:w="120" w:type="dxa"/>
              <w:right w:w="120" w:type="dxa"/>
            </w:tcMar>
          </w:tcPr>
          <w:p>
            <w:r>
              <w:rPr>
                <w:rFonts w:ascii="Calibri" w:hAnsi="Calibri"/>
                <w:color w:val="2D3748"/>
                <w:sz w:val="18"/>
              </w:rPr>
              <w:t>Forensic audit completed, 92.25% gain explained, PyTorch tensor writability bug fixed.</w:t>
            </w:r>
          </w:p>
        </w:tc>
      </w:tr>
      <w:tr>
        <w:tc>
          <w:tcPr>
            <w:tcW w:type="dxa" w:w="2592"/>
            <w:shd w:fill="FFFFFF"/>
            <w:tcMar>
              <w:top w:w="80" w:type="dxa"/>
              <w:bottom w:w="80" w:type="dxa"/>
              <w:left w:w="120" w:type="dxa"/>
              <w:right w:w="120" w:type="dxa"/>
            </w:tcMar>
          </w:tcPr>
          <w:p>
            <w:r>
              <w:rPr>
                <w:rFonts w:ascii="Calibri" w:hAnsi="Calibri"/>
                <w:color w:val="2D3748"/>
                <w:sz w:val="18"/>
              </w:rPr>
              <w:t>M4 — Risk Scoring &amp; Decision</w:t>
            </w:r>
          </w:p>
        </w:tc>
        <w:tc>
          <w:tcPr>
            <w:tcW w:type="dxa" w:w="2016"/>
            <w:shd w:fill="FFFFFF"/>
            <w:tcMar>
              <w:top w:w="80" w:type="dxa"/>
              <w:bottom w:w="80" w:type="dxa"/>
              <w:left w:w="120" w:type="dxa"/>
              <w:right w:w="120" w:type="dxa"/>
            </w:tcMar>
          </w:tcPr>
          <w:p>
            <w:r>
              <w:rPr>
                <w:rFonts w:ascii="Calibri" w:hAnsi="Calibri"/>
                <w:color w:val="2D3748"/>
                <w:sz w:val="18"/>
              </w:rPr>
              <w:t>IMPLEMENTED</w:t>
            </w:r>
          </w:p>
        </w:tc>
        <w:tc>
          <w:tcPr>
            <w:tcW w:type="dxa" w:w="4752"/>
            <w:shd w:fill="FFFFFF"/>
            <w:tcMar>
              <w:top w:w="80" w:type="dxa"/>
              <w:bottom w:w="80" w:type="dxa"/>
              <w:left w:w="120" w:type="dxa"/>
              <w:right w:w="120" w:type="dxa"/>
            </w:tcMar>
          </w:tcPr>
          <w:p>
            <w:r>
              <w:rPr>
                <w:rFonts w:ascii="Calibri" w:hAnsi="Calibri"/>
                <w:color w:val="2D3748"/>
                <w:sz w:val="18"/>
              </w:rPr>
              <w:t>Weighted aggregation (0.50/0.20/0.15/0.15), 0-100 score, tri-state policy, 20/20 unit tests.</w:t>
            </w:r>
          </w:p>
        </w:tc>
      </w:tr>
      <w:tr>
        <w:tc>
          <w:tcPr>
            <w:tcW w:type="dxa" w:w="2592"/>
            <w:shd w:fill="F7FAFC"/>
            <w:tcMar>
              <w:top w:w="80" w:type="dxa"/>
              <w:bottom w:w="80" w:type="dxa"/>
              <w:left w:w="120" w:type="dxa"/>
              <w:right w:w="120" w:type="dxa"/>
            </w:tcMar>
          </w:tcPr>
          <w:p>
            <w:r>
              <w:rPr>
                <w:rFonts w:ascii="Calibri" w:hAnsi="Calibri"/>
                <w:color w:val="2D3748"/>
                <w:sz w:val="18"/>
              </w:rPr>
              <w:t>PostgreSQL Database Architecture</w:t>
            </w:r>
          </w:p>
        </w:tc>
        <w:tc>
          <w:tcPr>
            <w:tcW w:type="dxa" w:w="2016"/>
            <w:shd w:fill="F7FAFC"/>
            <w:tcMar>
              <w:top w:w="80" w:type="dxa"/>
              <w:bottom w:w="80" w:type="dxa"/>
              <w:left w:w="120" w:type="dxa"/>
              <w:right w:w="120" w:type="dxa"/>
            </w:tcMar>
          </w:tcPr>
          <w:p>
            <w:r>
              <w:rPr>
                <w:rFonts w:ascii="Calibri" w:hAnsi="Calibri"/>
                <w:color w:val="2D3748"/>
                <w:sz w:val="18"/>
              </w:rPr>
              <w:t>DESIGNED / ANALYZED</w:t>
            </w:r>
          </w:p>
        </w:tc>
        <w:tc>
          <w:tcPr>
            <w:tcW w:type="dxa" w:w="4752"/>
            <w:shd w:fill="F7FAFC"/>
            <w:tcMar>
              <w:top w:w="80" w:type="dxa"/>
              <w:bottom w:w="80" w:type="dxa"/>
              <w:left w:w="120" w:type="dxa"/>
              <w:right w:w="120" w:type="dxa"/>
            </w:tcMar>
          </w:tcPr>
          <w:p>
            <w:r>
              <w:rPr>
                <w:rFonts w:ascii="Calibri" w:hAnsi="Calibri"/>
                <w:color w:val="2D3748"/>
                <w:sz w:val="18"/>
              </w:rPr>
              <w:t>Conceptual 3NF relational schema designed across 11 tables for Milestone 5.</w:t>
            </w:r>
          </w:p>
        </w:tc>
      </w:tr>
      <w:tr>
        <w:tc>
          <w:tcPr>
            <w:tcW w:type="dxa" w:w="2592"/>
            <w:shd w:fill="FFFFFF"/>
            <w:tcMar>
              <w:top w:w="80" w:type="dxa"/>
              <w:bottom w:w="80" w:type="dxa"/>
              <w:left w:w="120" w:type="dxa"/>
              <w:right w:w="120" w:type="dxa"/>
            </w:tcMar>
          </w:tcPr>
          <w:p>
            <w:r>
              <w:rPr>
                <w:rFonts w:ascii="Calibri" w:hAnsi="Calibri"/>
                <w:color w:val="2D3748"/>
                <w:sz w:val="18"/>
              </w:rPr>
              <w:t>FastAPI Backend Architecture</w:t>
            </w:r>
          </w:p>
        </w:tc>
        <w:tc>
          <w:tcPr>
            <w:tcW w:type="dxa" w:w="2016"/>
            <w:shd w:fill="FFFFFF"/>
            <w:tcMar>
              <w:top w:w="80" w:type="dxa"/>
              <w:bottom w:w="80" w:type="dxa"/>
              <w:left w:w="120" w:type="dxa"/>
              <w:right w:w="120" w:type="dxa"/>
            </w:tcMar>
          </w:tcPr>
          <w:p>
            <w:r>
              <w:rPr>
                <w:rFonts w:ascii="Calibri" w:hAnsi="Calibri"/>
                <w:color w:val="2D3748"/>
                <w:sz w:val="18"/>
              </w:rPr>
              <w:t>DESIGNED / ANALYZED</w:t>
            </w:r>
          </w:p>
        </w:tc>
        <w:tc>
          <w:tcPr>
            <w:tcW w:type="dxa" w:w="4752"/>
            <w:shd w:fill="FFFFFF"/>
            <w:tcMar>
              <w:top w:w="80" w:type="dxa"/>
              <w:bottom w:w="80" w:type="dxa"/>
              <w:left w:w="120" w:type="dxa"/>
              <w:right w:w="120" w:type="dxa"/>
            </w:tcMar>
          </w:tcPr>
          <w:p>
            <w:r>
              <w:rPr>
                <w:rFonts w:ascii="Calibri" w:hAnsi="Calibri"/>
                <w:color w:val="2D3748"/>
                <w:sz w:val="18"/>
              </w:rPr>
              <w:t>REST API architecture designed for Milestone 6; endpoints not yet implemented.</w:t>
            </w:r>
          </w:p>
        </w:tc>
      </w:tr>
      <w:tr>
        <w:tc>
          <w:tcPr>
            <w:tcW w:type="dxa" w:w="2592"/>
            <w:shd w:fill="F7FAFC"/>
            <w:tcMar>
              <w:top w:w="80" w:type="dxa"/>
              <w:bottom w:w="80" w:type="dxa"/>
              <w:left w:w="120" w:type="dxa"/>
              <w:right w:w="120" w:type="dxa"/>
            </w:tcMar>
          </w:tcPr>
          <w:p>
            <w:r>
              <w:rPr>
                <w:rFonts w:ascii="Calibri" w:hAnsi="Calibri"/>
                <w:color w:val="2D3748"/>
                <w:sz w:val="18"/>
              </w:rPr>
              <w:t>ESP32 IoT POS Architecture</w:t>
            </w:r>
          </w:p>
        </w:tc>
        <w:tc>
          <w:tcPr>
            <w:tcW w:type="dxa" w:w="2016"/>
            <w:shd w:fill="F7FAFC"/>
            <w:tcMar>
              <w:top w:w="80" w:type="dxa"/>
              <w:bottom w:w="80" w:type="dxa"/>
              <w:left w:w="120" w:type="dxa"/>
              <w:right w:w="120" w:type="dxa"/>
            </w:tcMar>
          </w:tcPr>
          <w:p>
            <w:r>
              <w:rPr>
                <w:rFonts w:ascii="Calibri" w:hAnsi="Calibri"/>
                <w:color w:val="2D3748"/>
                <w:sz w:val="18"/>
              </w:rPr>
              <w:t>DESIGNED / ANALYZED</w:t>
            </w:r>
          </w:p>
        </w:tc>
        <w:tc>
          <w:tcPr>
            <w:tcW w:type="dxa" w:w="4752"/>
            <w:shd w:fill="F7FAFC"/>
            <w:tcMar>
              <w:top w:w="80" w:type="dxa"/>
              <w:bottom w:w="80" w:type="dxa"/>
              <w:left w:w="120" w:type="dxa"/>
              <w:right w:w="120" w:type="dxa"/>
            </w:tcMar>
          </w:tcPr>
          <w:p>
            <w:r>
              <w:rPr>
                <w:rFonts w:ascii="Calibri" w:hAnsi="Calibri"/>
                <w:color w:val="2D3748"/>
                <w:sz w:val="18"/>
              </w:rPr>
              <w:t>Firmware, tamper switch, and HMAC protocol designed for Milestone 7; physical hardware pending.</w:t>
            </w:r>
          </w:p>
        </w:tc>
      </w:tr>
      <w:tr>
        <w:tc>
          <w:tcPr>
            <w:tcW w:type="dxa" w:w="2592"/>
            <w:shd w:fill="FFFFFF"/>
            <w:tcMar>
              <w:top w:w="80" w:type="dxa"/>
              <w:bottom w:w="80" w:type="dxa"/>
              <w:left w:w="120" w:type="dxa"/>
              <w:right w:w="120" w:type="dxa"/>
            </w:tcMar>
          </w:tcPr>
          <w:p>
            <w:r>
              <w:rPr>
                <w:rFonts w:ascii="Calibri" w:hAnsi="Calibri"/>
                <w:color w:val="2D3748"/>
                <w:sz w:val="18"/>
              </w:rPr>
              <w:t>Information Security Architecture</w:t>
            </w:r>
          </w:p>
        </w:tc>
        <w:tc>
          <w:tcPr>
            <w:tcW w:type="dxa" w:w="2016"/>
            <w:shd w:fill="FFFFFF"/>
            <w:tcMar>
              <w:top w:w="80" w:type="dxa"/>
              <w:bottom w:w="80" w:type="dxa"/>
              <w:left w:w="120" w:type="dxa"/>
              <w:right w:w="120" w:type="dxa"/>
            </w:tcMar>
          </w:tcPr>
          <w:p>
            <w:r>
              <w:rPr>
                <w:rFonts w:ascii="Calibri" w:hAnsi="Calibri"/>
                <w:color w:val="2D3748"/>
                <w:sz w:val="18"/>
              </w:rPr>
              <w:t>DESIGNED / ANALYZED</w:t>
            </w:r>
          </w:p>
        </w:tc>
        <w:tc>
          <w:tcPr>
            <w:tcW w:type="dxa" w:w="4752"/>
            <w:shd w:fill="FFFFFF"/>
            <w:tcMar>
              <w:top w:w="80" w:type="dxa"/>
              <w:bottom w:w="80" w:type="dxa"/>
              <w:left w:w="120" w:type="dxa"/>
              <w:right w:w="120" w:type="dxa"/>
            </w:tcMar>
          </w:tcPr>
          <w:p>
            <w:r>
              <w:rPr>
                <w:rFonts w:ascii="Calibri" w:hAnsi="Calibri"/>
                <w:color w:val="2D3748"/>
                <w:sz w:val="18"/>
              </w:rPr>
              <w:t>JWT, RBAC, TLS, and audit hashing designed; code-level environment hygiene implemented.</w:t>
            </w:r>
          </w:p>
        </w:tc>
      </w:tr>
      <w:tr>
        <w:tc>
          <w:tcPr>
            <w:tcW w:type="dxa" w:w="2592"/>
            <w:shd w:fill="F7FAFC"/>
            <w:tcMar>
              <w:top w:w="80" w:type="dxa"/>
              <w:bottom w:w="80" w:type="dxa"/>
              <w:left w:w="120" w:type="dxa"/>
              <w:right w:w="120" w:type="dxa"/>
            </w:tcMar>
          </w:tcPr>
          <w:p>
            <w:r>
              <w:rPr>
                <w:rFonts w:ascii="Calibri" w:hAnsi="Calibri"/>
                <w:color w:val="2D3748"/>
                <w:sz w:val="18"/>
              </w:rPr>
              <w:t>OOP Domain Architecture</w:t>
            </w:r>
          </w:p>
        </w:tc>
        <w:tc>
          <w:tcPr>
            <w:tcW w:type="dxa" w:w="2016"/>
            <w:shd w:fill="F7FAFC"/>
            <w:tcMar>
              <w:top w:w="80" w:type="dxa"/>
              <w:bottom w:w="80" w:type="dxa"/>
              <w:left w:w="120" w:type="dxa"/>
              <w:right w:w="120" w:type="dxa"/>
            </w:tcMar>
          </w:tcPr>
          <w:p>
            <w:r>
              <w:rPr>
                <w:rFonts w:ascii="Calibri" w:hAnsi="Calibri"/>
                <w:color w:val="2D3748"/>
                <w:sz w:val="18"/>
              </w:rPr>
              <w:t>DESIGNED / ANALYZED</w:t>
            </w:r>
          </w:p>
        </w:tc>
        <w:tc>
          <w:tcPr>
            <w:tcW w:type="dxa" w:w="4752"/>
            <w:shd w:fill="F7FAFC"/>
            <w:tcMar>
              <w:top w:w="80" w:type="dxa"/>
              <w:bottom w:w="80" w:type="dxa"/>
              <w:left w:w="120" w:type="dxa"/>
              <w:right w:w="120" w:type="dxa"/>
            </w:tcMar>
          </w:tcPr>
          <w:p>
            <w:r>
              <w:rPr>
                <w:rFonts w:ascii="Calibri" w:hAnsi="Calibri"/>
                <w:color w:val="2D3748"/>
                <w:sz w:val="18"/>
              </w:rPr>
              <w:t>Domain entities and service abstractions designed; ML engine classes implemented.</w:t>
            </w:r>
          </w:p>
        </w:tc>
      </w:tr>
    </w:tbl>
    <w:p/>
    <w:p>
      <w:pPr>
        <w:pStyle w:val="Heading2"/>
        <w:spacing w:before="240" w:after="120"/>
      </w:pPr>
      <w:r>
        <w:rPr>
          <w:rFonts w:ascii="Calibri" w:hAnsi="Calibri"/>
          <w:color w:val="2B6CB0"/>
        </w:rPr>
        <w:t>Current System Limitations</w:t>
      </w:r>
    </w:p>
    <w:p>
      <w:r>
        <w:t>1. Synthetic Nature of PaySim: Fraud agents follow rigid, deterministic liquidation rules. Real-world adversaries vary amounts and strategies.</w:t>
        <w:br/>
        <w:t>2. Absence of Multi-Transaction Velocity in Static CSV: 99.85% of PaySim senders appear only once. Cross-session velocity tracking requires stateful Redis caching to be implemented in Milestone 8.</w:t>
        <w:br/>
        <w:t>3. IoT Telemetry Disconnection: Physical ESP32 hardware and live telemetry are not yet integrated into the scoring pipeline.</w:t>
        <w:br/>
        <w:t>4. Static Ensemble Weights: Ensemble weights (0.50 / 0.20 / 0.15 / 0.15) represent initial baseline configurations rather than dynamically optimized hyper-parameters.</w:t>
        <w:br/>
        <w:t>5. Uncalibrated Probabilities: Supervised model outputs represent raw model-estimated probabilities; formal probability calibration has not yet been fitted.</w:t>
      </w:r>
    </w:p>
    <w:p>
      <w:pPr>
        <w:pStyle w:val="Heading2"/>
        <w:spacing w:before="240" w:after="120"/>
      </w:pPr>
      <w:r>
        <w:rPr>
          <w:rFonts w:ascii="Calibri" w:hAnsi="Calibri"/>
          <w:color w:val="2B6CB0"/>
        </w:rPr>
        <w:t>Immediate Next Milestones</w:t>
      </w:r>
    </w:p>
    <w:p>
      <w:r>
        <w:t>• Milestone 5: PostgreSQL Database Integration — Deploy local PostgreSQL database, execute SQLAlchemy 3NF migrations, create users, accounts, merchants, transactions, risk_assessments, and immutable audit_logs tables.</w:t>
        <w:br/>
        <w:t>• Milestone 6: FastAPI Application Gateway — Build modular asynchronous REST endpoints (/api/v1/assess, /api/v1/review, /api/v1/auth) with JWT authentication, role-based access control (Admin, Analyst, Auditor), and input validation.</w:t>
        <w:br/>
        <w:t>• Milestone 7: ESP32 IoT POS Terminal Integration — Develop C++/MicroPython firmware on ESP32 microcontroller with hardware tamper switch, cryptographic HMAC payload signing, and secure TLS transmission to the FastAPI gateway.</w:t>
        <w:br/>
        <w:t>• Milestone 8: Frontend Dashboard — Responsive analyst portal with real-time risk feed, queue review, and explainability heatmaps.</w:t>
        <w:br/>
        <w:t>• Milestone 9: Continuous Learning Pipeline — Automated drift detection and periodic retraining pipeline.</w:t>
      </w:r>
    </w:p>
    <w:p>
      <w:r>
        <w:br w:type="page"/>
      </w:r>
    </w:p>
    <w:p>
      <w:pPr>
        <w:pStyle w:val="Heading1"/>
        <w:spacing w:before="320" w:after="160"/>
      </w:pPr>
      <w:r>
        <w:rPr>
          <w:rFonts w:ascii="Calibri" w:hAnsi="Calibri"/>
          <w:color w:val="1A365D"/>
        </w:rPr>
        <w:t>11. Version Control Audit &amp; Verification</w:t>
      </w:r>
    </w:p>
    <w:p>
      <w:r>
        <w:t>All development progress is fully tracked in Git with semantic commit messages. Raw datasets and model binaries remain strictly gitignored to preserve clean version control:</w:t>
      </w:r>
    </w:p>
    <w:tbl>
      <w:tblPr>
        <w:tblW w:type="auto" w:w="0"/>
        <w:jc w:val="center"/>
        <w:tblLayout w:type="fixed"/>
        <w:tblLook w:firstColumn="1" w:firstRow="1" w:lastColumn="0" w:lastRow="0" w:noHBand="0" w:noVBand="1" w:val="04A0"/>
      </w:tblPr>
      <w:tblGrid>
        <w:gridCol w:w="3120"/>
        <w:gridCol w:w="3120"/>
        <w:gridCol w:w="3120"/>
      </w:tblGrid>
      <w:tr>
        <w:tc>
          <w:tcPr>
            <w:tcW w:type="dxa" w:w="1728"/>
            <w:shd w:fill="1A365D"/>
            <w:tcMar>
              <w:top w:w="120" w:type="dxa"/>
              <w:bottom w:w="120" w:type="dxa"/>
              <w:left w:w="140" w:type="dxa"/>
              <w:right w:w="140" w:type="dxa"/>
            </w:tcMar>
          </w:tcPr>
          <w:p>
            <w:pPr>
              <w:jc w:val="left"/>
            </w:pPr>
            <w:r>
              <w:rPr>
                <w:rFonts w:ascii="Calibri" w:hAnsi="Calibri"/>
                <w:b/>
                <w:color w:val="FFFFFF"/>
                <w:sz w:val="19"/>
              </w:rPr>
              <w:t>Commit Hash</w:t>
            </w:r>
          </w:p>
        </w:tc>
        <w:tc>
          <w:tcPr>
            <w:tcW w:type="dxa" w:w="3600"/>
            <w:shd w:fill="1A365D"/>
            <w:tcMar>
              <w:top w:w="120" w:type="dxa"/>
              <w:bottom w:w="120" w:type="dxa"/>
              <w:left w:w="140" w:type="dxa"/>
              <w:right w:w="140" w:type="dxa"/>
            </w:tcMar>
          </w:tcPr>
          <w:p>
            <w:pPr>
              <w:jc w:val="left"/>
            </w:pPr>
            <w:r>
              <w:rPr>
                <w:rFonts w:ascii="Calibri" w:hAnsi="Calibri"/>
                <w:b/>
                <w:color w:val="FFFFFF"/>
                <w:sz w:val="19"/>
              </w:rPr>
              <w:t>Commit Message</w:t>
            </w:r>
          </w:p>
        </w:tc>
        <w:tc>
          <w:tcPr>
            <w:tcW w:type="dxa" w:w="4032"/>
            <w:shd w:fill="1A365D"/>
            <w:tcMar>
              <w:top w:w="120" w:type="dxa"/>
              <w:bottom w:w="120" w:type="dxa"/>
              <w:left w:w="140" w:type="dxa"/>
              <w:right w:w="140" w:type="dxa"/>
            </w:tcMar>
          </w:tcPr>
          <w:p>
            <w:pPr>
              <w:jc w:val="left"/>
            </w:pPr>
            <w:r>
              <w:rPr>
                <w:rFonts w:ascii="Calibri" w:hAnsi="Calibri"/>
                <w:b/>
                <w:color w:val="FFFFFF"/>
                <w:sz w:val="19"/>
              </w:rPr>
              <w:t>Key Artifacts Delivered</w:t>
            </w:r>
          </w:p>
        </w:tc>
      </w:tr>
      <w:tr>
        <w:tc>
          <w:tcPr>
            <w:tcW w:type="dxa" w:w="1728"/>
            <w:shd w:fill="F7FAFC"/>
            <w:tcMar>
              <w:top w:w="80" w:type="dxa"/>
              <w:bottom w:w="80" w:type="dxa"/>
              <w:left w:w="120" w:type="dxa"/>
              <w:right w:w="120" w:type="dxa"/>
            </w:tcMar>
          </w:tcPr>
          <w:p>
            <w:r>
              <w:rPr>
                <w:rFonts w:ascii="Calibri" w:hAnsi="Calibri"/>
                <w:color w:val="2D3748"/>
                <w:sz w:val="18"/>
              </w:rPr>
              <w:t>0f1b9c7</w:t>
            </w:r>
          </w:p>
        </w:tc>
        <w:tc>
          <w:tcPr>
            <w:tcW w:type="dxa" w:w="3600"/>
            <w:shd w:fill="F7FAFC"/>
            <w:tcMar>
              <w:top w:w="80" w:type="dxa"/>
              <w:bottom w:w="80" w:type="dxa"/>
              <w:left w:w="120" w:type="dxa"/>
              <w:right w:w="120" w:type="dxa"/>
            </w:tcMar>
          </w:tcPr>
          <w:p>
            <w:r>
              <w:rPr>
                <w:rFonts w:ascii="Calibri" w:hAnsi="Calibri"/>
                <w:color w:val="2D3748"/>
                <w:sz w:val="18"/>
              </w:rPr>
              <w:t>chore: initialize ARGUS development environment</w:t>
            </w:r>
          </w:p>
        </w:tc>
        <w:tc>
          <w:tcPr>
            <w:tcW w:type="dxa" w:w="4032"/>
            <w:shd w:fill="F7FAFC"/>
            <w:tcMar>
              <w:top w:w="80" w:type="dxa"/>
              <w:bottom w:w="80" w:type="dxa"/>
              <w:left w:w="120" w:type="dxa"/>
              <w:right w:w="120" w:type="dxa"/>
            </w:tcMar>
          </w:tcPr>
          <w:p>
            <w:r>
              <w:rPr>
                <w:rFonts w:ascii="Calibri" w:hAnsi="Calibri"/>
                <w:color w:val="2D3748"/>
                <w:sz w:val="18"/>
              </w:rPr>
              <w:t>Project initialization, virtual environment, .gitignore, README.md, requirements.txt</w:t>
            </w:r>
          </w:p>
        </w:tc>
      </w:tr>
      <w:tr>
        <w:tc>
          <w:tcPr>
            <w:tcW w:type="dxa" w:w="1728"/>
            <w:shd w:fill="FFFFFF"/>
            <w:tcMar>
              <w:top w:w="80" w:type="dxa"/>
              <w:bottom w:w="80" w:type="dxa"/>
              <w:left w:w="120" w:type="dxa"/>
              <w:right w:w="120" w:type="dxa"/>
            </w:tcMar>
          </w:tcPr>
          <w:p>
            <w:r>
              <w:rPr>
                <w:rFonts w:ascii="Calibri" w:hAnsi="Calibri"/>
                <w:color w:val="2D3748"/>
                <w:sz w:val="18"/>
              </w:rPr>
              <w:t>9f52b9d</w:t>
            </w:r>
          </w:p>
        </w:tc>
        <w:tc>
          <w:tcPr>
            <w:tcW w:type="dxa" w:w="3600"/>
            <w:shd w:fill="FFFFFF"/>
            <w:tcMar>
              <w:top w:w="80" w:type="dxa"/>
              <w:bottom w:w="80" w:type="dxa"/>
              <w:left w:w="120" w:type="dxa"/>
              <w:right w:w="120" w:type="dxa"/>
            </w:tcMar>
          </w:tcPr>
          <w:p>
            <w:r>
              <w:rPr>
                <w:rFonts w:ascii="Calibri" w:hAnsi="Calibri"/>
                <w:color w:val="2D3748"/>
                <w:sz w:val="18"/>
              </w:rPr>
              <w:t>feat: acquire and profile PaySim dataset</w:t>
            </w:r>
          </w:p>
        </w:tc>
        <w:tc>
          <w:tcPr>
            <w:tcW w:type="dxa" w:w="4032"/>
            <w:shd w:fill="FFFFFF"/>
            <w:tcMar>
              <w:top w:w="80" w:type="dxa"/>
              <w:bottom w:w="80" w:type="dxa"/>
              <w:left w:w="120" w:type="dxa"/>
              <w:right w:w="120" w:type="dxa"/>
            </w:tcMar>
          </w:tcPr>
          <w:p>
            <w:r>
              <w:rPr>
                <w:rFonts w:ascii="Calibri" w:hAnsi="Calibri"/>
                <w:color w:val="2D3748"/>
                <w:sz w:val="18"/>
              </w:rPr>
              <w:t>PaySim EDA script, profile report, 5 diagnostic figures, dataset summary JSON</w:t>
            </w:r>
          </w:p>
        </w:tc>
      </w:tr>
      <w:tr>
        <w:tc>
          <w:tcPr>
            <w:tcW w:type="dxa" w:w="1728"/>
            <w:shd w:fill="F7FAFC"/>
            <w:tcMar>
              <w:top w:w="80" w:type="dxa"/>
              <w:bottom w:w="80" w:type="dxa"/>
              <w:left w:w="120" w:type="dxa"/>
              <w:right w:w="120" w:type="dxa"/>
            </w:tcMar>
          </w:tcPr>
          <w:p>
            <w:r>
              <w:rPr>
                <w:rFonts w:ascii="Calibri" w:hAnsi="Calibri"/>
                <w:color w:val="2D3748"/>
                <w:sz w:val="18"/>
              </w:rPr>
              <w:t>b7672c0</w:t>
            </w:r>
          </w:p>
        </w:tc>
        <w:tc>
          <w:tcPr>
            <w:tcW w:type="dxa" w:w="3600"/>
            <w:shd w:fill="F7FAFC"/>
            <w:tcMar>
              <w:top w:w="80" w:type="dxa"/>
              <w:bottom w:w="80" w:type="dxa"/>
              <w:left w:w="120" w:type="dxa"/>
              <w:right w:w="120" w:type="dxa"/>
            </w:tcMar>
          </w:tcPr>
          <w:p>
            <w:r>
              <w:rPr>
                <w:rFonts w:ascii="Calibri" w:hAnsi="Calibri"/>
                <w:color w:val="2D3748"/>
                <w:sz w:val="18"/>
              </w:rPr>
              <w:t>feat: engineer PaySim features and temporal splits</w:t>
            </w:r>
          </w:p>
        </w:tc>
        <w:tc>
          <w:tcPr>
            <w:tcW w:type="dxa" w:w="4032"/>
            <w:shd w:fill="F7FAFC"/>
            <w:tcMar>
              <w:top w:w="80" w:type="dxa"/>
              <w:bottom w:w="80" w:type="dxa"/>
              <w:left w:w="120" w:type="dxa"/>
              <w:right w:w="120" w:type="dxa"/>
            </w:tcMar>
          </w:tcPr>
          <w:p>
            <w:r>
              <w:rPr>
                <w:rFonts w:ascii="Calibri" w:hAnsi="Calibri"/>
                <w:color w:val="2D3748"/>
                <w:sz w:val="18"/>
              </w:rPr>
              <w:t>18-feature pipeline, temporal split (train/val/test), StandardScaler fitted, 5 unit tests</w:t>
            </w:r>
          </w:p>
        </w:tc>
      </w:tr>
      <w:tr>
        <w:tc>
          <w:tcPr>
            <w:tcW w:type="dxa" w:w="1728"/>
            <w:shd w:fill="FFFFFF"/>
            <w:tcMar>
              <w:top w:w="80" w:type="dxa"/>
              <w:bottom w:w="80" w:type="dxa"/>
              <w:left w:w="120" w:type="dxa"/>
              <w:right w:w="120" w:type="dxa"/>
            </w:tcMar>
          </w:tcPr>
          <w:p>
            <w:r>
              <w:rPr>
                <w:rFonts w:ascii="Calibri" w:hAnsi="Calibri"/>
                <w:color w:val="2D3748"/>
                <w:sz w:val="18"/>
              </w:rPr>
              <w:t>f0739b0</w:t>
            </w:r>
          </w:p>
        </w:tc>
        <w:tc>
          <w:tcPr>
            <w:tcW w:type="dxa" w:w="3600"/>
            <w:shd w:fill="FFFFFF"/>
            <w:tcMar>
              <w:top w:w="80" w:type="dxa"/>
              <w:bottom w:w="80" w:type="dxa"/>
              <w:left w:w="120" w:type="dxa"/>
              <w:right w:w="120" w:type="dxa"/>
            </w:tcMar>
          </w:tcPr>
          <w:p>
            <w:r>
              <w:rPr>
                <w:rFonts w:ascii="Calibri" w:hAnsi="Calibri"/>
                <w:color w:val="2D3748"/>
                <w:sz w:val="18"/>
              </w:rPr>
              <w:t>feat: prepare fraud detection model training pipeline</w:t>
            </w:r>
          </w:p>
        </w:tc>
        <w:tc>
          <w:tcPr>
            <w:tcW w:type="dxa" w:w="4032"/>
            <w:shd w:fill="FFFFFF"/>
            <w:tcMar>
              <w:top w:w="80" w:type="dxa"/>
              <w:bottom w:w="80" w:type="dxa"/>
              <w:left w:w="120" w:type="dxa"/>
              <w:right w:w="120" w:type="dxa"/>
            </w:tcMar>
          </w:tcPr>
          <w:p>
            <w:r>
              <w:rPr>
                <w:rFonts w:ascii="Calibri" w:hAnsi="Calibri"/>
                <w:color w:val="2D3748"/>
                <w:sz w:val="18"/>
              </w:rPr>
              <w:t>Logistic, XGBoost, Isolation Forest, Autoencoder model wrappers &amp; training CLI scripts</w:t>
            </w:r>
          </w:p>
        </w:tc>
      </w:tr>
      <w:tr>
        <w:tc>
          <w:tcPr>
            <w:tcW w:type="dxa" w:w="1728"/>
            <w:shd w:fill="F7FAFC"/>
            <w:tcMar>
              <w:top w:w="80" w:type="dxa"/>
              <w:bottom w:w="80" w:type="dxa"/>
              <w:left w:w="120" w:type="dxa"/>
              <w:right w:w="120" w:type="dxa"/>
            </w:tcMar>
          </w:tcPr>
          <w:p>
            <w:r>
              <w:rPr>
                <w:rFonts w:ascii="Calibri" w:hAnsi="Calibri"/>
                <w:color w:val="2D3748"/>
                <w:sz w:val="18"/>
              </w:rPr>
              <w:t>37891a3</w:t>
            </w:r>
          </w:p>
        </w:tc>
        <w:tc>
          <w:tcPr>
            <w:tcW w:type="dxa" w:w="3600"/>
            <w:shd w:fill="F7FAFC"/>
            <w:tcMar>
              <w:top w:w="80" w:type="dxa"/>
              <w:bottom w:w="80" w:type="dxa"/>
              <w:left w:w="120" w:type="dxa"/>
              <w:right w:w="120" w:type="dxa"/>
            </w:tcMar>
          </w:tcPr>
          <w:p>
            <w:r>
              <w:rPr>
                <w:rFonts w:ascii="Calibri" w:hAnsi="Calibri"/>
                <w:color w:val="2D3748"/>
                <w:sz w:val="18"/>
              </w:rPr>
              <w:t>audit: validate model results and feature leakage</w:t>
            </w:r>
          </w:p>
        </w:tc>
        <w:tc>
          <w:tcPr>
            <w:tcW w:type="dxa" w:w="4032"/>
            <w:shd w:fill="F7FAFC"/>
            <w:tcMar>
              <w:top w:w="80" w:type="dxa"/>
              <w:bottom w:w="80" w:type="dxa"/>
              <w:left w:w="120" w:type="dxa"/>
              <w:right w:w="120" w:type="dxa"/>
            </w:tcMar>
          </w:tcPr>
          <w:p>
            <w:r>
              <w:rPr>
                <w:rFonts w:ascii="Calibri" w:hAnsi="Calibri"/>
                <w:color w:val="2D3748"/>
                <w:sz w:val="18"/>
              </w:rPr>
              <w:t>Forensic audit report, false-negative inspection, PyTorch array writability fix</w:t>
            </w:r>
          </w:p>
        </w:tc>
      </w:tr>
      <w:tr>
        <w:tc>
          <w:tcPr>
            <w:tcW w:type="dxa" w:w="1728"/>
            <w:shd w:fill="FFFFFF"/>
            <w:tcMar>
              <w:top w:w="80" w:type="dxa"/>
              <w:bottom w:w="80" w:type="dxa"/>
              <w:left w:w="120" w:type="dxa"/>
              <w:right w:w="120" w:type="dxa"/>
            </w:tcMar>
          </w:tcPr>
          <w:p>
            <w:r>
              <w:rPr>
                <w:rFonts w:ascii="Calibri" w:hAnsi="Calibri"/>
                <w:color w:val="2D3748"/>
                <w:sz w:val="18"/>
              </w:rPr>
              <w:t>55f1094</w:t>
            </w:r>
          </w:p>
        </w:tc>
        <w:tc>
          <w:tcPr>
            <w:tcW w:type="dxa" w:w="3600"/>
            <w:shd w:fill="FFFFFF"/>
            <w:tcMar>
              <w:top w:w="80" w:type="dxa"/>
              <w:bottom w:w="80" w:type="dxa"/>
              <w:left w:w="120" w:type="dxa"/>
              <w:right w:w="120" w:type="dxa"/>
            </w:tcMar>
          </w:tcPr>
          <w:p>
            <w:r>
              <w:rPr>
                <w:rFonts w:ascii="Calibri" w:hAnsi="Calibri"/>
                <w:color w:val="2D3748"/>
                <w:sz w:val="18"/>
              </w:rPr>
              <w:t>feat: implement ARGUS risk scoring and decision engine</w:t>
            </w:r>
          </w:p>
        </w:tc>
        <w:tc>
          <w:tcPr>
            <w:tcW w:type="dxa" w:w="4032"/>
            <w:shd w:fill="FFFFFF"/>
            <w:tcMar>
              <w:top w:w="80" w:type="dxa"/>
              <w:bottom w:w="80" w:type="dxa"/>
              <w:left w:w="120" w:type="dxa"/>
              <w:right w:w="120" w:type="dxa"/>
            </w:tcMar>
          </w:tcPr>
          <w:p>
            <w:r>
              <w:rPr>
                <w:rFonts w:ascii="Calibri" w:hAnsi="Calibri"/>
                <w:color w:val="2D3748"/>
                <w:sz w:val="18"/>
              </w:rPr>
              <w:t>Risk engine package (config, signals, aggregator, decision, explanations), 20 unit tests</w:t>
            </w:r>
          </w:p>
        </w:tc>
      </w:tr>
    </w:tbl>
    <w:p/>
    <w:p>
      <w:r>
        <w:t>Unit Test Verification Status: All 20 unit tests pass cleanly in 8.91 seconds via pytest. Git working tree is clean.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18096"/>
        <w:sz w:val="17"/>
      </w:rPr>
      <w:t>Automated Risk Assessment &amp; Anomaly Detection System — Academic Progress Report (Milestones 0–4)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18096"/>
        <w:sz w:val="17"/>
      </w:rPr>
      <w:t>A.R.G.U.S. — Technical Progress Report | B.Tech AIML (2026–27)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