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a15667f7fcb6fbd68805dcbedebc2511f7706d"/>
    <w:p>
      <w:pPr>
        <w:pStyle w:val="Heading1"/>
      </w:pPr>
      <w:r>
        <w:t xml:space="preserve">AI-Powered Global RFP &amp; Opportunity Intelligence System</w:t>
      </w:r>
    </w:p>
    <w:bookmarkStart w:id="22" w:name="product-requirement-document-prd"/>
    <w:p>
      <w:pPr>
        <w:pStyle w:val="Heading2"/>
      </w:pPr>
      <w:r>
        <w:t xml:space="preserve">Product Requirement Document (PRD)</w:t>
      </w:r>
    </w:p>
    <w:bookmarkStart w:id="20" w:name="version-1.0"/>
    <w:p>
      <w:pPr>
        <w:pStyle w:val="Heading3"/>
      </w:pPr>
      <w:r>
        <w:t xml:space="preserve">Version 1.0</w:t>
      </w:r>
    </w:p>
    <w:bookmarkEnd w:id="20"/>
    <w:bookmarkStart w:id="21" w:name="Xeb4afbfc3b939af5f130b8caa5f15291d2f00d6"/>
    <w:p>
      <w:pPr>
        <w:pStyle w:val="Heading3"/>
      </w:pPr>
      <w:r>
        <w:t xml:space="preserve">Prepared for IRIS SupTech &amp; RegTech Business</w:t>
      </w:r>
    </w:p>
    <w:p>
      <w:r>
        <w:pict>
          <v:rect style="width:0;height:1.5pt" o:hralign="center" o:hrstd="t" o:hr="t"/>
        </w:pict>
      </w:r>
    </w:p>
    <w:bookmarkEnd w:id="21"/>
    <w:bookmarkEnd w:id="22"/>
    <w:bookmarkEnd w:id="23"/>
    <w:bookmarkStart w:id="25" w:name="executive-summary"/>
    <w:p>
      <w:pPr>
        <w:pStyle w:val="Heading1"/>
      </w:pPr>
      <w:r>
        <w:t xml:space="preserve">1. Executive Summary</w:t>
      </w:r>
    </w:p>
    <w:bookmarkStart w:id="24" w:name="purpose"/>
    <w:p>
      <w:pPr>
        <w:pStyle w:val="Heading2"/>
      </w:pPr>
      <w:r>
        <w:t xml:space="preserve">1.1 Purpose</w:t>
      </w:r>
    </w:p>
    <w:p>
      <w:pPr>
        <w:pStyle w:val="FirstParagraph"/>
      </w:pPr>
      <w:r>
        <w:t xml:space="preserve">This document defines the complete product, technical, AI, infrastructure, security, and deployment requirements for building a production-grade</w:t>
      </w:r>
      <w:r>
        <w:t xml:space="preserve"> </w:t>
      </w:r>
      <w:r>
        <w:rPr>
          <w:b/>
          <w:bCs/>
        </w:rPr>
        <w:t xml:space="preserve">AI-Powered Global RFP &amp; Opportunity Intelligence System</w:t>
      </w:r>
      <w:r>
        <w:t xml:space="preserve">.</w:t>
      </w:r>
    </w:p>
    <w:p>
      <w:pPr>
        <w:pStyle w:val="BodyText"/>
      </w:pPr>
      <w:r>
        <w:t xml:space="preserve">The platform will continuously monitor global markets to identify, track, analyze, and score business opportunities relevant to IRIS’s SupTech and RegTech business.</w:t>
      </w:r>
    </w:p>
    <w:p>
      <w:pPr>
        <w:pStyle w:val="BodyText"/>
      </w:pPr>
      <w:r>
        <w:t xml:space="preserve">The system will detect opportunities not only from published tenders and RFPs but also from early signals such as strategic plans, annual reports, procurement roadmaps, regulatory announcements, government budgets, modernization programs, and donor-funded projects.</w:t>
      </w:r>
    </w:p>
    <w:p>
      <w:pPr>
        <w:pStyle w:val="BodyText"/>
      </w:pPr>
      <w:r>
        <w:t xml:space="preserve">The objective is to provide IRIS with a strategic advantage by discovering opportunities earlier than competitors and enabling data-driven business development.</w:t>
      </w:r>
    </w:p>
    <w:p>
      <w:r>
        <w:pict>
          <v:rect style="width:0;height:1.5pt" o:hralign="center" o:hrstd="t" o:hr="t"/>
        </w:pict>
      </w:r>
    </w:p>
    <w:bookmarkEnd w:id="24"/>
    <w:bookmarkEnd w:id="25"/>
    <w:bookmarkStart w:id="26" w:name="business-problem"/>
    <w:p>
      <w:pPr>
        <w:pStyle w:val="Heading1"/>
      </w:pPr>
      <w:r>
        <w:t xml:space="preserve">1.2 Business Problem</w:t>
      </w:r>
    </w:p>
    <w:p>
      <w:pPr>
        <w:pStyle w:val="FirstParagraph"/>
      </w:pPr>
      <w:r>
        <w:t xml:space="preserve">Business development teams currently face major challenges in identifying global opportunities:</w:t>
      </w:r>
    </w:p>
    <w:p>
      <w:pPr>
        <w:pStyle w:val="Compact"/>
        <w:numPr>
          <w:ilvl w:val="0"/>
          <w:numId w:val="1001"/>
        </w:numPr>
      </w:pPr>
      <w:r>
        <w:t xml:space="preserve">RFPs are distributed across thousands of portals</w:t>
      </w:r>
    </w:p>
    <w:p>
      <w:pPr>
        <w:pStyle w:val="Compact"/>
        <w:numPr>
          <w:ilvl w:val="0"/>
          <w:numId w:val="1001"/>
        </w:numPr>
      </w:pPr>
      <w:r>
        <w:t xml:space="preserve">Many opportunities are visible only through indirect signals</w:t>
      </w:r>
    </w:p>
    <w:p>
      <w:pPr>
        <w:pStyle w:val="Compact"/>
        <w:numPr>
          <w:ilvl w:val="0"/>
          <w:numId w:val="1001"/>
        </w:numPr>
      </w:pPr>
      <w:r>
        <w:t xml:space="preserve">Annual reports and policy papers are lengthy and hard to track manually</w:t>
      </w:r>
    </w:p>
    <w:p>
      <w:pPr>
        <w:pStyle w:val="Compact"/>
        <w:numPr>
          <w:ilvl w:val="0"/>
          <w:numId w:val="1001"/>
        </w:numPr>
      </w:pPr>
      <w:r>
        <w:t xml:space="preserve">Signals are fragmented across geographies and institutions</w:t>
      </w:r>
    </w:p>
    <w:p>
      <w:pPr>
        <w:pStyle w:val="Compact"/>
        <w:numPr>
          <w:ilvl w:val="0"/>
          <w:numId w:val="1001"/>
        </w:numPr>
      </w:pPr>
      <w:r>
        <w:t xml:space="preserve">High-value opportunities may be missed due to lack of centralized intelligence</w:t>
      </w:r>
    </w:p>
    <w:p>
      <w:pPr>
        <w:pStyle w:val="Compact"/>
        <w:numPr>
          <w:ilvl w:val="0"/>
          <w:numId w:val="1001"/>
        </w:numPr>
      </w:pPr>
      <w:r>
        <w:t xml:space="preserve">Opportunity qualification is manual and inconsistent</w:t>
      </w:r>
    </w:p>
    <w:p>
      <w:pPr>
        <w:pStyle w:val="FirstParagraph"/>
      </w:pPr>
      <w:r>
        <w:t xml:space="preserve">This leads to:</w:t>
      </w:r>
    </w:p>
    <w:p>
      <w:pPr>
        <w:pStyle w:val="Compact"/>
        <w:numPr>
          <w:ilvl w:val="0"/>
          <w:numId w:val="1002"/>
        </w:numPr>
      </w:pPr>
      <w:r>
        <w:t xml:space="preserve">missed pipeline opportunities</w:t>
      </w:r>
    </w:p>
    <w:p>
      <w:pPr>
        <w:pStyle w:val="Compact"/>
        <w:numPr>
          <w:ilvl w:val="0"/>
          <w:numId w:val="1002"/>
        </w:numPr>
      </w:pPr>
      <w:r>
        <w:t xml:space="preserve">delayed response to tenders</w:t>
      </w:r>
    </w:p>
    <w:p>
      <w:pPr>
        <w:pStyle w:val="Compact"/>
        <w:numPr>
          <w:ilvl w:val="0"/>
          <w:numId w:val="1002"/>
        </w:numPr>
      </w:pPr>
      <w:r>
        <w:t xml:space="preserve">poor visibility into market trends</w:t>
      </w:r>
    </w:p>
    <w:p>
      <w:pPr>
        <w:pStyle w:val="Compact"/>
        <w:numPr>
          <w:ilvl w:val="0"/>
          <w:numId w:val="1002"/>
        </w:numPr>
      </w:pPr>
      <w:r>
        <w:t xml:space="preserve">inefficient sales targeting</w:t>
      </w:r>
    </w:p>
    <w:p>
      <w:r>
        <w:pict>
          <v:rect style="width:0;height:1.5pt" o:hralign="center" o:hrstd="t" o:hr="t"/>
        </w:pict>
      </w:r>
    </w:p>
    <w:bookmarkEnd w:id="26"/>
    <w:bookmarkStart w:id="27" w:name="proposed-solution"/>
    <w:p>
      <w:pPr>
        <w:pStyle w:val="Heading1"/>
      </w:pPr>
      <w:r>
        <w:t xml:space="preserve">1.3 Proposed Solution</w:t>
      </w:r>
    </w:p>
    <w:p>
      <w:pPr>
        <w:pStyle w:val="FirstParagraph"/>
      </w:pPr>
      <w:r>
        <w:t xml:space="preserve">Build a centralized AI-powered intelligence platform that:</w:t>
      </w:r>
    </w:p>
    <w:p>
      <w:pPr>
        <w:pStyle w:val="Compact"/>
        <w:numPr>
          <w:ilvl w:val="0"/>
          <w:numId w:val="1003"/>
        </w:numPr>
      </w:pPr>
      <w:r>
        <w:t xml:space="preserve">monitors global regulators and public institutions</w:t>
      </w:r>
    </w:p>
    <w:p>
      <w:pPr>
        <w:pStyle w:val="Compact"/>
        <w:numPr>
          <w:ilvl w:val="0"/>
          <w:numId w:val="1003"/>
        </w:numPr>
      </w:pPr>
      <w:r>
        <w:t xml:space="preserve">crawls websites, tenders, reports, and announcements</w:t>
      </w:r>
    </w:p>
    <w:p>
      <w:pPr>
        <w:pStyle w:val="Compact"/>
        <w:numPr>
          <w:ilvl w:val="0"/>
          <w:numId w:val="1003"/>
        </w:numPr>
      </w:pPr>
      <w:r>
        <w:t xml:space="preserve">extracts relevant opportunities using AI</w:t>
      </w:r>
    </w:p>
    <w:p>
      <w:pPr>
        <w:pStyle w:val="Compact"/>
        <w:numPr>
          <w:ilvl w:val="0"/>
          <w:numId w:val="1003"/>
        </w:numPr>
      </w:pPr>
      <w:r>
        <w:t xml:space="preserve">classifies and scores opportunities</w:t>
      </w:r>
    </w:p>
    <w:p>
      <w:pPr>
        <w:pStyle w:val="Compact"/>
        <w:numPr>
          <w:ilvl w:val="0"/>
          <w:numId w:val="1003"/>
        </w:numPr>
      </w:pPr>
      <w:r>
        <w:t xml:space="preserve">generates weekly intelligence reports</w:t>
      </w:r>
    </w:p>
    <w:p>
      <w:pPr>
        <w:pStyle w:val="Compact"/>
        <w:numPr>
          <w:ilvl w:val="0"/>
          <w:numId w:val="1003"/>
        </w:numPr>
      </w:pPr>
      <w:r>
        <w:t xml:space="preserve">enables semantic search and AI Q&amp;A</w:t>
      </w:r>
    </w:p>
    <w:p>
      <w:pPr>
        <w:pStyle w:val="Compact"/>
        <w:numPr>
          <w:ilvl w:val="0"/>
          <w:numId w:val="1003"/>
        </w:numPr>
      </w:pPr>
      <w:r>
        <w:t xml:space="preserve">provides dashboards and exports</w:t>
      </w:r>
    </w:p>
    <w:p>
      <w:r>
        <w:pict>
          <v:rect style="width:0;height:1.5pt" o:hralign="center" o:hrstd="t" o:hr="t"/>
        </w:pict>
      </w:r>
    </w:p>
    <w:bookmarkEnd w:id="27"/>
    <w:bookmarkStart w:id="30" w:name="primary-goals"/>
    <w:p>
      <w:pPr>
        <w:pStyle w:val="Heading1"/>
      </w:pPr>
      <w:r>
        <w:t xml:space="preserve">1.4 Primary Goals</w:t>
      </w:r>
    </w:p>
    <w:bookmarkStart w:id="28" w:name="strategic-goals"/>
    <w:p>
      <w:pPr>
        <w:pStyle w:val="Heading2"/>
      </w:pPr>
      <w:r>
        <w:t xml:space="preserve">Strategic Goals</w:t>
      </w:r>
    </w:p>
    <w:p>
      <w:pPr>
        <w:pStyle w:val="Compact"/>
        <w:numPr>
          <w:ilvl w:val="0"/>
          <w:numId w:val="1004"/>
        </w:numPr>
      </w:pPr>
      <w:r>
        <w:t xml:space="preserve">Increase early opportunity detection</w:t>
      </w:r>
    </w:p>
    <w:p>
      <w:pPr>
        <w:pStyle w:val="Compact"/>
        <w:numPr>
          <w:ilvl w:val="0"/>
          <w:numId w:val="1004"/>
        </w:numPr>
      </w:pPr>
      <w:r>
        <w:t xml:space="preserve">Improve pipeline visibility</w:t>
      </w:r>
    </w:p>
    <w:p>
      <w:pPr>
        <w:pStyle w:val="Compact"/>
        <w:numPr>
          <w:ilvl w:val="0"/>
          <w:numId w:val="1004"/>
        </w:numPr>
      </w:pPr>
      <w:r>
        <w:t xml:space="preserve">Improve bid readiness</w:t>
      </w:r>
    </w:p>
    <w:p>
      <w:pPr>
        <w:pStyle w:val="Compact"/>
        <w:numPr>
          <w:ilvl w:val="0"/>
          <w:numId w:val="1004"/>
        </w:numPr>
      </w:pPr>
      <w:r>
        <w:t xml:space="preserve">Support regional business teams</w:t>
      </w:r>
    </w:p>
    <w:p>
      <w:pPr>
        <w:pStyle w:val="Compact"/>
        <w:numPr>
          <w:ilvl w:val="0"/>
          <w:numId w:val="1004"/>
        </w:numPr>
      </w:pPr>
      <w:r>
        <w:t xml:space="preserve">Enable proactive account targeting</w:t>
      </w:r>
    </w:p>
    <w:p>
      <w:r>
        <w:pict>
          <v:rect style="width:0;height:1.5pt" o:hralign="center" o:hrstd="t" o:hr="t"/>
        </w:pict>
      </w:r>
    </w:p>
    <w:bookmarkEnd w:id="28"/>
    <w:bookmarkStart w:id="29" w:name="operational-goals"/>
    <w:p>
      <w:pPr>
        <w:pStyle w:val="Heading2"/>
      </w:pPr>
      <w:r>
        <w:t xml:space="preserve">Operational Goals</w:t>
      </w:r>
    </w:p>
    <w:p>
      <w:pPr>
        <w:pStyle w:val="Compact"/>
        <w:numPr>
          <w:ilvl w:val="0"/>
          <w:numId w:val="1005"/>
        </w:numPr>
      </w:pPr>
      <w:r>
        <w:t xml:space="preserve">Automate opportunity discovery</w:t>
      </w:r>
    </w:p>
    <w:p>
      <w:pPr>
        <w:pStyle w:val="Compact"/>
        <w:numPr>
          <w:ilvl w:val="0"/>
          <w:numId w:val="1005"/>
        </w:numPr>
      </w:pPr>
      <w:r>
        <w:t xml:space="preserve">Reduce manual research effort</w:t>
      </w:r>
    </w:p>
    <w:p>
      <w:pPr>
        <w:pStyle w:val="Compact"/>
        <w:numPr>
          <w:ilvl w:val="0"/>
          <w:numId w:val="1005"/>
        </w:numPr>
      </w:pPr>
      <w:r>
        <w:t xml:space="preserve">Improve opportunity qualification quality</w:t>
      </w:r>
    </w:p>
    <w:p>
      <w:pPr>
        <w:pStyle w:val="Compact"/>
        <w:numPr>
          <w:ilvl w:val="0"/>
          <w:numId w:val="1005"/>
        </w:numPr>
      </w:pPr>
      <w:r>
        <w:t xml:space="preserve">Provide weekly actionable insights</w:t>
      </w:r>
    </w:p>
    <w:p>
      <w:r>
        <w:pict>
          <v:rect style="width:0;height:1.5pt" o:hralign="center" o:hrstd="t" o:hr="t"/>
        </w:pict>
      </w:r>
    </w:p>
    <w:bookmarkEnd w:id="29"/>
    <w:bookmarkEnd w:id="30"/>
    <w:bookmarkStart w:id="34" w:name="success-metrics-kpis"/>
    <w:p>
      <w:pPr>
        <w:pStyle w:val="Heading1"/>
      </w:pPr>
      <w:r>
        <w:t xml:space="preserve">1.5 Success Metrics (KPIs)</w:t>
      </w:r>
    </w:p>
    <w:bookmarkStart w:id="31" w:name="opportunity-metrics"/>
    <w:p>
      <w:pPr>
        <w:pStyle w:val="Heading2"/>
      </w:pPr>
      <w:r>
        <w:t xml:space="preserve">Opportunity Metrics</w:t>
      </w:r>
    </w:p>
    <w:p>
      <w:pPr>
        <w:pStyle w:val="Compact"/>
        <w:numPr>
          <w:ilvl w:val="0"/>
          <w:numId w:val="1006"/>
        </w:numPr>
      </w:pPr>
      <w:r>
        <w:t xml:space="preserve">Number of opportunities detected per month</w:t>
      </w:r>
    </w:p>
    <w:p>
      <w:pPr>
        <w:pStyle w:val="Compact"/>
        <w:numPr>
          <w:ilvl w:val="0"/>
          <w:numId w:val="1006"/>
        </w:numPr>
      </w:pPr>
      <w:r>
        <w:t xml:space="preserve">Number of qualified opportunities</w:t>
      </w:r>
    </w:p>
    <w:p>
      <w:pPr>
        <w:pStyle w:val="Compact"/>
        <w:numPr>
          <w:ilvl w:val="0"/>
          <w:numId w:val="1006"/>
        </w:numPr>
      </w:pPr>
      <w:r>
        <w:t xml:space="preserve">Number of early-stage opportunities detected before formal RFP</w:t>
      </w:r>
    </w:p>
    <w:p>
      <w:pPr>
        <w:pStyle w:val="Compact"/>
        <w:numPr>
          <w:ilvl w:val="0"/>
          <w:numId w:val="1006"/>
        </w:numPr>
      </w:pPr>
      <w:r>
        <w:t xml:space="preserve">Average opportunity score</w:t>
      </w:r>
    </w:p>
    <w:p>
      <w:r>
        <w:pict>
          <v:rect style="width:0;height:1.5pt" o:hralign="center" o:hrstd="t" o:hr="t"/>
        </w:pict>
      </w:r>
    </w:p>
    <w:bookmarkEnd w:id="31"/>
    <w:bookmarkStart w:id="32" w:name="platform-metrics"/>
    <w:p>
      <w:pPr>
        <w:pStyle w:val="Heading2"/>
      </w:pPr>
      <w:r>
        <w:t xml:space="preserve">Platform Metrics</w:t>
      </w:r>
    </w:p>
    <w:p>
      <w:pPr>
        <w:pStyle w:val="Compact"/>
        <w:numPr>
          <w:ilvl w:val="0"/>
          <w:numId w:val="1007"/>
        </w:numPr>
      </w:pPr>
      <w:r>
        <w:t xml:space="preserve">Documents processed per week</w:t>
      </w:r>
    </w:p>
    <w:p>
      <w:pPr>
        <w:pStyle w:val="Compact"/>
        <w:numPr>
          <w:ilvl w:val="0"/>
          <w:numId w:val="1007"/>
        </w:numPr>
      </w:pPr>
      <w:r>
        <w:t xml:space="preserve">Crawl success rate</w:t>
      </w:r>
    </w:p>
    <w:p>
      <w:pPr>
        <w:pStyle w:val="Compact"/>
        <w:numPr>
          <w:ilvl w:val="0"/>
          <w:numId w:val="1007"/>
        </w:numPr>
      </w:pPr>
      <w:r>
        <w:t xml:space="preserve">AI classification accuracy</w:t>
      </w:r>
    </w:p>
    <w:p>
      <w:pPr>
        <w:pStyle w:val="Compact"/>
        <w:numPr>
          <w:ilvl w:val="0"/>
          <w:numId w:val="1007"/>
        </w:numPr>
      </w:pPr>
      <w:r>
        <w:t xml:space="preserve">AI extraction precision</w:t>
      </w:r>
    </w:p>
    <w:p>
      <w:pPr>
        <w:pStyle w:val="Compact"/>
        <w:numPr>
          <w:ilvl w:val="0"/>
          <w:numId w:val="1007"/>
        </w:numPr>
      </w:pPr>
      <w:r>
        <w:t xml:space="preserve">Search latency</w:t>
      </w:r>
    </w:p>
    <w:p>
      <w:r>
        <w:pict>
          <v:rect style="width:0;height:1.5pt" o:hralign="center" o:hrstd="t" o:hr="t"/>
        </w:pict>
      </w:r>
    </w:p>
    <w:bookmarkEnd w:id="32"/>
    <w:bookmarkStart w:id="33" w:name="business-metrics"/>
    <w:p>
      <w:pPr>
        <w:pStyle w:val="Heading2"/>
      </w:pPr>
      <w:r>
        <w:t xml:space="preserve">Business Metrics</w:t>
      </w:r>
    </w:p>
    <w:p>
      <w:pPr>
        <w:pStyle w:val="Compact"/>
        <w:numPr>
          <w:ilvl w:val="0"/>
          <w:numId w:val="1008"/>
        </w:numPr>
      </w:pPr>
      <w:r>
        <w:t xml:space="preserve">Opportunities converted into pipeline</w:t>
      </w:r>
    </w:p>
    <w:p>
      <w:pPr>
        <w:pStyle w:val="Compact"/>
        <w:numPr>
          <w:ilvl w:val="0"/>
          <w:numId w:val="1008"/>
        </w:numPr>
      </w:pPr>
      <w:r>
        <w:t xml:space="preserve">Opportunities converted into proposals</w:t>
      </w:r>
    </w:p>
    <w:p>
      <w:pPr>
        <w:pStyle w:val="Compact"/>
        <w:numPr>
          <w:ilvl w:val="0"/>
          <w:numId w:val="1008"/>
        </w:numPr>
      </w:pPr>
      <w:r>
        <w:t xml:space="preserve">Win rate improvement</w:t>
      </w:r>
    </w:p>
    <w:p>
      <w:pPr>
        <w:pStyle w:val="Compact"/>
        <w:numPr>
          <w:ilvl w:val="0"/>
          <w:numId w:val="1008"/>
        </w:numPr>
      </w:pPr>
      <w:r>
        <w:t xml:space="preserve">Revenue influenced by platform insights</w:t>
      </w:r>
    </w:p>
    <w:p>
      <w:r>
        <w:pict>
          <v:rect style="width:0;height:1.5pt" o:hralign="center" o:hrstd="t" o:hr="t"/>
        </w:pict>
      </w:r>
    </w:p>
    <w:bookmarkEnd w:id="33"/>
    <w:bookmarkEnd w:id="34"/>
    <w:bookmarkStart w:id="41" w:name="target-users"/>
    <w:p>
      <w:pPr>
        <w:pStyle w:val="Heading1"/>
      </w:pPr>
      <w:r>
        <w:t xml:space="preserve">1.6 Target Users</w:t>
      </w:r>
    </w:p>
    <w:bookmarkStart w:id="40" w:name="internal-users"/>
    <w:p>
      <w:pPr>
        <w:pStyle w:val="Heading2"/>
      </w:pPr>
      <w:r>
        <w:t xml:space="preserve">Internal Users</w:t>
      </w:r>
    </w:p>
    <w:bookmarkStart w:id="35" w:name="executive-leadership"/>
    <w:p>
      <w:pPr>
        <w:pStyle w:val="Heading3"/>
      </w:pPr>
      <w:r>
        <w:t xml:space="preserve">Executive Leadership</w:t>
      </w:r>
    </w:p>
    <w:p>
      <w:pPr>
        <w:pStyle w:val="FirstParagraph"/>
      </w:pPr>
      <w:r>
        <w:t xml:space="preserve">Use cases:</w:t>
      </w:r>
    </w:p>
    <w:p>
      <w:pPr>
        <w:pStyle w:val="Compact"/>
        <w:numPr>
          <w:ilvl w:val="0"/>
          <w:numId w:val="1009"/>
        </w:numPr>
      </w:pPr>
      <w:r>
        <w:t xml:space="preserve">regional strategy</w:t>
      </w:r>
    </w:p>
    <w:p>
      <w:pPr>
        <w:pStyle w:val="Compact"/>
        <w:numPr>
          <w:ilvl w:val="0"/>
          <w:numId w:val="1009"/>
        </w:numPr>
      </w:pPr>
      <w:r>
        <w:t xml:space="preserve">market expansion</w:t>
      </w:r>
    </w:p>
    <w:p>
      <w:pPr>
        <w:pStyle w:val="Compact"/>
        <w:numPr>
          <w:ilvl w:val="0"/>
          <w:numId w:val="1009"/>
        </w:numPr>
      </w:pPr>
      <w:r>
        <w:t xml:space="preserve">trend analysis</w:t>
      </w:r>
    </w:p>
    <w:p>
      <w:r>
        <w:pict>
          <v:rect style="width:0;height:1.5pt" o:hralign="center" o:hrstd="t" o:hr="t"/>
        </w:pict>
      </w:r>
    </w:p>
    <w:bookmarkEnd w:id="35"/>
    <w:bookmarkStart w:id="36" w:name="sales-teams"/>
    <w:p>
      <w:pPr>
        <w:pStyle w:val="Heading3"/>
      </w:pPr>
      <w:r>
        <w:t xml:space="preserve">Sales Teams</w:t>
      </w:r>
    </w:p>
    <w:p>
      <w:pPr>
        <w:pStyle w:val="FirstParagraph"/>
      </w:pPr>
      <w:r>
        <w:t xml:space="preserve">Use cases:</w:t>
      </w:r>
    </w:p>
    <w:p>
      <w:pPr>
        <w:pStyle w:val="Compact"/>
        <w:numPr>
          <w:ilvl w:val="0"/>
          <w:numId w:val="1010"/>
        </w:numPr>
      </w:pPr>
      <w:r>
        <w:t xml:space="preserve">opportunity discovery</w:t>
      </w:r>
    </w:p>
    <w:p>
      <w:pPr>
        <w:pStyle w:val="Compact"/>
        <w:numPr>
          <w:ilvl w:val="0"/>
          <w:numId w:val="1010"/>
        </w:numPr>
      </w:pPr>
      <w:r>
        <w:t xml:space="preserve">lead qualification</w:t>
      </w:r>
    </w:p>
    <w:p>
      <w:pPr>
        <w:pStyle w:val="Compact"/>
        <w:numPr>
          <w:ilvl w:val="0"/>
          <w:numId w:val="1010"/>
        </w:numPr>
      </w:pPr>
      <w:r>
        <w:t xml:space="preserve">account planning</w:t>
      </w:r>
    </w:p>
    <w:p>
      <w:r>
        <w:pict>
          <v:rect style="width:0;height:1.5pt" o:hralign="center" o:hrstd="t" o:hr="t"/>
        </w:pict>
      </w:r>
    </w:p>
    <w:bookmarkEnd w:id="36"/>
    <w:bookmarkStart w:id="37" w:name="pre-sales-teams"/>
    <w:p>
      <w:pPr>
        <w:pStyle w:val="Heading3"/>
      </w:pPr>
      <w:r>
        <w:t xml:space="preserve">Pre-Sales Teams</w:t>
      </w:r>
    </w:p>
    <w:p>
      <w:pPr>
        <w:pStyle w:val="FirstParagraph"/>
      </w:pPr>
      <w:r>
        <w:t xml:space="preserve">Use cases:</w:t>
      </w:r>
    </w:p>
    <w:p>
      <w:pPr>
        <w:pStyle w:val="Compact"/>
        <w:numPr>
          <w:ilvl w:val="0"/>
          <w:numId w:val="1011"/>
        </w:numPr>
      </w:pPr>
      <w:r>
        <w:t xml:space="preserve">solution mapping</w:t>
      </w:r>
    </w:p>
    <w:p>
      <w:pPr>
        <w:pStyle w:val="Compact"/>
        <w:numPr>
          <w:ilvl w:val="0"/>
          <w:numId w:val="1011"/>
        </w:numPr>
      </w:pPr>
      <w:r>
        <w:t xml:space="preserve">proposal preparation</w:t>
      </w:r>
    </w:p>
    <w:p>
      <w:r>
        <w:pict>
          <v:rect style="width:0;height:1.5pt" o:hralign="center" o:hrstd="t" o:hr="t"/>
        </w:pict>
      </w:r>
    </w:p>
    <w:bookmarkEnd w:id="37"/>
    <w:bookmarkStart w:id="38" w:name="market-intelligence-analysts"/>
    <w:p>
      <w:pPr>
        <w:pStyle w:val="Heading3"/>
      </w:pPr>
      <w:r>
        <w:t xml:space="preserve">Market Intelligence Analysts</w:t>
      </w:r>
    </w:p>
    <w:p>
      <w:pPr>
        <w:pStyle w:val="FirstParagraph"/>
      </w:pPr>
      <w:r>
        <w:t xml:space="preserve">Use cases:</w:t>
      </w:r>
    </w:p>
    <w:p>
      <w:pPr>
        <w:pStyle w:val="Compact"/>
        <w:numPr>
          <w:ilvl w:val="0"/>
          <w:numId w:val="1012"/>
        </w:numPr>
      </w:pPr>
      <w:r>
        <w:t xml:space="preserve">source management</w:t>
      </w:r>
    </w:p>
    <w:p>
      <w:pPr>
        <w:pStyle w:val="Compact"/>
        <w:numPr>
          <w:ilvl w:val="0"/>
          <w:numId w:val="1012"/>
        </w:numPr>
      </w:pPr>
      <w:r>
        <w:t xml:space="preserve">opportunity verification</w:t>
      </w:r>
    </w:p>
    <w:p>
      <w:pPr>
        <w:pStyle w:val="Compact"/>
        <w:numPr>
          <w:ilvl w:val="0"/>
          <w:numId w:val="1012"/>
        </w:numPr>
      </w:pPr>
      <w:r>
        <w:t xml:space="preserve">trend analysis</w:t>
      </w:r>
    </w:p>
    <w:p>
      <w:r>
        <w:pict>
          <v:rect style="width:0;height:1.5pt" o:hralign="center" o:hrstd="t" o:hr="t"/>
        </w:pict>
      </w:r>
    </w:p>
    <w:bookmarkEnd w:id="38"/>
    <w:bookmarkStart w:id="39" w:name="product-teams"/>
    <w:p>
      <w:pPr>
        <w:pStyle w:val="Heading3"/>
      </w:pPr>
      <w:r>
        <w:t xml:space="preserve">Product Teams</w:t>
      </w:r>
    </w:p>
    <w:p>
      <w:pPr>
        <w:pStyle w:val="FirstParagraph"/>
      </w:pPr>
      <w:r>
        <w:t xml:space="preserve">Use cases:</w:t>
      </w:r>
    </w:p>
    <w:p>
      <w:pPr>
        <w:pStyle w:val="Compact"/>
        <w:numPr>
          <w:ilvl w:val="0"/>
          <w:numId w:val="1013"/>
        </w:numPr>
      </w:pPr>
      <w:r>
        <w:t xml:space="preserve">demand trends</w:t>
      </w:r>
    </w:p>
    <w:p>
      <w:pPr>
        <w:pStyle w:val="Compact"/>
        <w:numPr>
          <w:ilvl w:val="0"/>
          <w:numId w:val="1013"/>
        </w:numPr>
      </w:pPr>
      <w:r>
        <w:t xml:space="preserve">standards adoption monitoring</w:t>
      </w:r>
    </w:p>
    <w:p>
      <w:r>
        <w:pict>
          <v:rect style="width:0;height:1.5pt" o:hralign="center" o:hrstd="t" o:hr="t"/>
        </w:pict>
      </w:r>
    </w:p>
    <w:bookmarkEnd w:id="39"/>
    <w:bookmarkEnd w:id="40"/>
    <w:bookmarkEnd w:id="41"/>
    <w:bookmarkStart w:id="42" w:name="business-scope"/>
    <w:p>
      <w:pPr>
        <w:pStyle w:val="Heading1"/>
      </w:pPr>
      <w:r>
        <w:t xml:space="preserve">2. Business Scope</w:t>
      </w:r>
    </w:p>
    <w:p>
      <w:r>
        <w:pict>
          <v:rect style="width:0;height:1.5pt" o:hralign="center" o:hrstd="t" o:hr="t"/>
        </w:pict>
      </w:r>
    </w:p>
    <w:bookmarkEnd w:id="42"/>
    <w:bookmarkStart w:id="53" w:name="opportunity-categories"/>
    <w:p>
      <w:pPr>
        <w:pStyle w:val="Heading1"/>
      </w:pPr>
      <w:r>
        <w:t xml:space="preserve">2.1 Opportunity Categories</w:t>
      </w:r>
    </w:p>
    <w:p>
      <w:pPr>
        <w:pStyle w:val="FirstParagraph"/>
      </w:pPr>
      <w:r>
        <w:t xml:space="preserve">The system must identify opportunities related to:</w:t>
      </w:r>
    </w:p>
    <w:bookmarkStart w:id="43" w:name="regulatory-reporting"/>
    <w:p>
      <w:pPr>
        <w:pStyle w:val="Heading2"/>
      </w:pPr>
      <w:r>
        <w:t xml:space="preserve">Regulatory Reporting</w:t>
      </w:r>
    </w:p>
    <w:p>
      <w:pPr>
        <w:pStyle w:val="FirstParagraph"/>
      </w:pPr>
      <w:r>
        <w:t xml:space="preserve">Examples:</w:t>
      </w:r>
    </w:p>
    <w:p>
      <w:pPr>
        <w:pStyle w:val="Compact"/>
        <w:numPr>
          <w:ilvl w:val="0"/>
          <w:numId w:val="1014"/>
        </w:numPr>
      </w:pPr>
      <w:r>
        <w:t xml:space="preserve">supervisory reporting systems</w:t>
      </w:r>
    </w:p>
    <w:p>
      <w:pPr>
        <w:pStyle w:val="Compact"/>
        <w:numPr>
          <w:ilvl w:val="0"/>
          <w:numId w:val="1014"/>
        </w:numPr>
      </w:pPr>
      <w:r>
        <w:t xml:space="preserve">reporting modernization</w:t>
      </w:r>
    </w:p>
    <w:p>
      <w:pPr>
        <w:pStyle w:val="Compact"/>
        <w:numPr>
          <w:ilvl w:val="0"/>
          <w:numId w:val="1014"/>
        </w:numPr>
      </w:pPr>
      <w:r>
        <w:t xml:space="preserve">submission portals</w:t>
      </w:r>
    </w:p>
    <w:p>
      <w:r>
        <w:pict>
          <v:rect style="width:0;height:1.5pt" o:hralign="center" o:hrstd="t" o:hr="t"/>
        </w:pict>
      </w:r>
    </w:p>
    <w:bookmarkEnd w:id="43"/>
    <w:bookmarkStart w:id="44" w:name="data-collection-platforms"/>
    <w:p>
      <w:pPr>
        <w:pStyle w:val="Heading2"/>
      </w:pPr>
      <w:r>
        <w:t xml:space="preserve">Data Collection Platforms</w:t>
      </w:r>
    </w:p>
    <w:p>
      <w:pPr>
        <w:pStyle w:val="FirstParagraph"/>
      </w:pPr>
      <w:r>
        <w:t xml:space="preserve">Examples:</w:t>
      </w:r>
    </w:p>
    <w:p>
      <w:pPr>
        <w:pStyle w:val="Compact"/>
        <w:numPr>
          <w:ilvl w:val="0"/>
          <w:numId w:val="1015"/>
        </w:numPr>
      </w:pPr>
      <w:r>
        <w:t xml:space="preserve">data ingestion systems</w:t>
      </w:r>
    </w:p>
    <w:p>
      <w:pPr>
        <w:pStyle w:val="Compact"/>
        <w:numPr>
          <w:ilvl w:val="0"/>
          <w:numId w:val="1015"/>
        </w:numPr>
      </w:pPr>
      <w:r>
        <w:t xml:space="preserve">reporting collection engines</w:t>
      </w:r>
    </w:p>
    <w:p>
      <w:pPr>
        <w:pStyle w:val="Compact"/>
        <w:numPr>
          <w:ilvl w:val="0"/>
          <w:numId w:val="1015"/>
        </w:numPr>
      </w:pPr>
      <w:r>
        <w:t xml:space="preserve">filing gateways</w:t>
      </w:r>
    </w:p>
    <w:p>
      <w:r>
        <w:pict>
          <v:rect style="width:0;height:1.5pt" o:hralign="center" o:hrstd="t" o:hr="t"/>
        </w:pict>
      </w:r>
    </w:p>
    <w:bookmarkEnd w:id="44"/>
    <w:bookmarkStart w:id="45" w:name="workflow-platforms"/>
    <w:p>
      <w:pPr>
        <w:pStyle w:val="Heading2"/>
      </w:pPr>
      <w:r>
        <w:t xml:space="preserve">Workflow Platforms</w:t>
      </w:r>
    </w:p>
    <w:p>
      <w:pPr>
        <w:pStyle w:val="FirstParagraph"/>
      </w:pPr>
      <w:r>
        <w:t xml:space="preserve">Examples:</w:t>
      </w:r>
    </w:p>
    <w:p>
      <w:pPr>
        <w:pStyle w:val="Compact"/>
        <w:numPr>
          <w:ilvl w:val="0"/>
          <w:numId w:val="1016"/>
        </w:numPr>
      </w:pPr>
      <w:r>
        <w:t xml:space="preserve">approval workflows</w:t>
      </w:r>
    </w:p>
    <w:p>
      <w:pPr>
        <w:pStyle w:val="Compact"/>
        <w:numPr>
          <w:ilvl w:val="0"/>
          <w:numId w:val="1016"/>
        </w:numPr>
      </w:pPr>
      <w:r>
        <w:t xml:space="preserve">submission workflows</w:t>
      </w:r>
    </w:p>
    <w:p>
      <w:pPr>
        <w:pStyle w:val="Compact"/>
        <w:numPr>
          <w:ilvl w:val="0"/>
          <w:numId w:val="1016"/>
        </w:numPr>
      </w:pPr>
      <w:r>
        <w:t xml:space="preserve">review pipelines</w:t>
      </w:r>
    </w:p>
    <w:p>
      <w:r>
        <w:pict>
          <v:rect style="width:0;height:1.5pt" o:hralign="center" o:hrstd="t" o:hr="t"/>
        </w:pict>
      </w:r>
    </w:p>
    <w:bookmarkEnd w:id="45"/>
    <w:bookmarkStart w:id="46" w:name="validation-engines"/>
    <w:p>
      <w:pPr>
        <w:pStyle w:val="Heading2"/>
      </w:pPr>
      <w:r>
        <w:t xml:space="preserve">Validation Engines</w:t>
      </w:r>
    </w:p>
    <w:p>
      <w:pPr>
        <w:pStyle w:val="FirstParagraph"/>
      </w:pPr>
      <w:r>
        <w:t xml:space="preserve">Examples:</w:t>
      </w:r>
    </w:p>
    <w:p>
      <w:pPr>
        <w:pStyle w:val="Compact"/>
        <w:numPr>
          <w:ilvl w:val="0"/>
          <w:numId w:val="1017"/>
        </w:numPr>
      </w:pPr>
      <w:r>
        <w:t xml:space="preserve">business rule validation</w:t>
      </w:r>
    </w:p>
    <w:p>
      <w:pPr>
        <w:pStyle w:val="Compact"/>
        <w:numPr>
          <w:ilvl w:val="0"/>
          <w:numId w:val="1017"/>
        </w:numPr>
      </w:pPr>
      <w:r>
        <w:t xml:space="preserve">filing quality validation</w:t>
      </w:r>
    </w:p>
    <w:p>
      <w:pPr>
        <w:pStyle w:val="Compact"/>
        <w:numPr>
          <w:ilvl w:val="0"/>
          <w:numId w:val="1017"/>
        </w:numPr>
      </w:pPr>
      <w:r>
        <w:t xml:space="preserve">schema validation</w:t>
      </w:r>
    </w:p>
    <w:p>
      <w:r>
        <w:pict>
          <v:rect style="width:0;height:1.5pt" o:hralign="center" o:hrstd="t" o:hr="t"/>
        </w:pict>
      </w:r>
    </w:p>
    <w:bookmarkEnd w:id="46"/>
    <w:bookmarkStart w:id="47" w:name="analytics-platforms"/>
    <w:p>
      <w:pPr>
        <w:pStyle w:val="Heading2"/>
      </w:pPr>
      <w:r>
        <w:t xml:space="preserve">Analytics Platforms</w:t>
      </w:r>
    </w:p>
    <w:p>
      <w:pPr>
        <w:pStyle w:val="FirstParagraph"/>
      </w:pPr>
      <w:r>
        <w:t xml:space="preserve">Examples:</w:t>
      </w:r>
    </w:p>
    <w:p>
      <w:pPr>
        <w:pStyle w:val="Compact"/>
        <w:numPr>
          <w:ilvl w:val="0"/>
          <w:numId w:val="1018"/>
        </w:numPr>
      </w:pPr>
      <w:r>
        <w:t xml:space="preserve">analytics dashboards</w:t>
      </w:r>
    </w:p>
    <w:p>
      <w:pPr>
        <w:pStyle w:val="Compact"/>
        <w:numPr>
          <w:ilvl w:val="0"/>
          <w:numId w:val="1018"/>
        </w:numPr>
      </w:pPr>
      <w:r>
        <w:t xml:space="preserve">supervisory insights</w:t>
      </w:r>
    </w:p>
    <w:p>
      <w:pPr>
        <w:pStyle w:val="Compact"/>
        <w:numPr>
          <w:ilvl w:val="0"/>
          <w:numId w:val="1018"/>
        </w:numPr>
      </w:pPr>
      <w:r>
        <w:t xml:space="preserve">anomaly detection</w:t>
      </w:r>
    </w:p>
    <w:p>
      <w:r>
        <w:pict>
          <v:rect style="width:0;height:1.5pt" o:hralign="center" o:hrstd="t" o:hr="t"/>
        </w:pict>
      </w:r>
    </w:p>
    <w:bookmarkEnd w:id="47"/>
    <w:bookmarkStart w:id="48" w:name="risk-platforms"/>
    <w:p>
      <w:pPr>
        <w:pStyle w:val="Heading2"/>
      </w:pPr>
      <w:r>
        <w:t xml:space="preserve">Risk Platforms</w:t>
      </w:r>
    </w:p>
    <w:p>
      <w:pPr>
        <w:pStyle w:val="FirstParagraph"/>
      </w:pPr>
      <w:r>
        <w:t xml:space="preserve">Examples:</w:t>
      </w:r>
    </w:p>
    <w:p>
      <w:pPr>
        <w:pStyle w:val="Compact"/>
        <w:numPr>
          <w:ilvl w:val="0"/>
          <w:numId w:val="1019"/>
        </w:numPr>
      </w:pPr>
      <w:r>
        <w:t xml:space="preserve">prudential supervision</w:t>
      </w:r>
    </w:p>
    <w:p>
      <w:pPr>
        <w:pStyle w:val="Compact"/>
        <w:numPr>
          <w:ilvl w:val="0"/>
          <w:numId w:val="1019"/>
        </w:numPr>
      </w:pPr>
      <w:r>
        <w:t xml:space="preserve">risk aggregation</w:t>
      </w:r>
    </w:p>
    <w:p>
      <w:pPr>
        <w:pStyle w:val="Compact"/>
        <w:numPr>
          <w:ilvl w:val="0"/>
          <w:numId w:val="1019"/>
        </w:numPr>
      </w:pPr>
      <w:r>
        <w:t xml:space="preserve">concentration monitoring</w:t>
      </w:r>
    </w:p>
    <w:p>
      <w:r>
        <w:pict>
          <v:rect style="width:0;height:1.5pt" o:hralign="center" o:hrstd="t" o:hr="t"/>
        </w:pict>
      </w:r>
    </w:p>
    <w:bookmarkEnd w:id="48"/>
    <w:bookmarkStart w:id="49" w:name="suptech-transformation"/>
    <w:p>
      <w:pPr>
        <w:pStyle w:val="Heading2"/>
      </w:pPr>
      <w:r>
        <w:t xml:space="preserve">SupTech Transformation</w:t>
      </w:r>
    </w:p>
    <w:p>
      <w:pPr>
        <w:pStyle w:val="FirstParagraph"/>
      </w:pPr>
      <w:r>
        <w:t xml:space="preserve">Examples:</w:t>
      </w:r>
    </w:p>
    <w:p>
      <w:pPr>
        <w:pStyle w:val="Compact"/>
        <w:numPr>
          <w:ilvl w:val="0"/>
          <w:numId w:val="1020"/>
        </w:numPr>
      </w:pPr>
      <w:r>
        <w:t xml:space="preserve">AI-enabled supervision</w:t>
      </w:r>
    </w:p>
    <w:p>
      <w:pPr>
        <w:pStyle w:val="Compact"/>
        <w:numPr>
          <w:ilvl w:val="0"/>
          <w:numId w:val="1020"/>
        </w:numPr>
      </w:pPr>
      <w:r>
        <w:t xml:space="preserve">digital supervision</w:t>
      </w:r>
    </w:p>
    <w:p>
      <w:pPr>
        <w:pStyle w:val="Compact"/>
        <w:numPr>
          <w:ilvl w:val="0"/>
          <w:numId w:val="1020"/>
        </w:numPr>
      </w:pPr>
      <w:r>
        <w:t xml:space="preserve">granular supervisory systems</w:t>
      </w:r>
    </w:p>
    <w:p>
      <w:r>
        <w:pict>
          <v:rect style="width:0;height:1.5pt" o:hralign="center" o:hrstd="t" o:hr="t"/>
        </w:pict>
      </w:r>
    </w:p>
    <w:bookmarkEnd w:id="49"/>
    <w:bookmarkStart w:id="50" w:name="regtech-modernization"/>
    <w:p>
      <w:pPr>
        <w:pStyle w:val="Heading2"/>
      </w:pPr>
      <w:r>
        <w:t xml:space="preserve">RegTech Modernization</w:t>
      </w:r>
    </w:p>
    <w:p>
      <w:pPr>
        <w:pStyle w:val="FirstParagraph"/>
      </w:pPr>
      <w:r>
        <w:t xml:space="preserve">Examples:</w:t>
      </w:r>
    </w:p>
    <w:p>
      <w:pPr>
        <w:pStyle w:val="Compact"/>
        <w:numPr>
          <w:ilvl w:val="0"/>
          <w:numId w:val="1021"/>
        </w:numPr>
      </w:pPr>
      <w:r>
        <w:t xml:space="preserve">machine-readable compliance</w:t>
      </w:r>
    </w:p>
    <w:p>
      <w:pPr>
        <w:pStyle w:val="Compact"/>
        <w:numPr>
          <w:ilvl w:val="0"/>
          <w:numId w:val="1021"/>
        </w:numPr>
      </w:pPr>
      <w:r>
        <w:t xml:space="preserve">automated filing ecosystems</w:t>
      </w:r>
    </w:p>
    <w:p>
      <w:r>
        <w:pict>
          <v:rect style="width:0;height:1.5pt" o:hralign="center" o:hrstd="t" o:hr="t"/>
        </w:pict>
      </w:r>
    </w:p>
    <w:bookmarkEnd w:id="50"/>
    <w:bookmarkStart w:id="51" w:name="deposit-insurance-systems"/>
    <w:p>
      <w:pPr>
        <w:pStyle w:val="Heading2"/>
      </w:pPr>
      <w:r>
        <w:t xml:space="preserve">Deposit Insurance Systems</w:t>
      </w:r>
    </w:p>
    <w:p>
      <w:pPr>
        <w:pStyle w:val="FirstParagraph"/>
      </w:pPr>
      <w:r>
        <w:t xml:space="preserve">Examples:</w:t>
      </w:r>
    </w:p>
    <w:p>
      <w:pPr>
        <w:pStyle w:val="Compact"/>
        <w:numPr>
          <w:ilvl w:val="0"/>
          <w:numId w:val="1022"/>
        </w:numPr>
      </w:pPr>
      <w:r>
        <w:t xml:space="preserve">premium assessment systems</w:t>
      </w:r>
    </w:p>
    <w:p>
      <w:pPr>
        <w:pStyle w:val="Compact"/>
        <w:numPr>
          <w:ilvl w:val="0"/>
          <w:numId w:val="1022"/>
        </w:numPr>
      </w:pPr>
      <w:r>
        <w:t xml:space="preserve">insured deposit computation</w:t>
      </w:r>
    </w:p>
    <w:p>
      <w:pPr>
        <w:pStyle w:val="Compact"/>
        <w:numPr>
          <w:ilvl w:val="0"/>
          <w:numId w:val="1022"/>
        </w:numPr>
      </w:pPr>
      <w:r>
        <w:t xml:space="preserve">depositor payout systems</w:t>
      </w:r>
    </w:p>
    <w:p>
      <w:r>
        <w:pict>
          <v:rect style="width:0;height:1.5pt" o:hralign="center" o:hrstd="t" o:hr="t"/>
        </w:pict>
      </w:r>
    </w:p>
    <w:bookmarkEnd w:id="51"/>
    <w:bookmarkStart w:id="52" w:name="taxonomy-development"/>
    <w:p>
      <w:pPr>
        <w:pStyle w:val="Heading2"/>
      </w:pPr>
      <w:r>
        <w:t xml:space="preserve">Taxonomy Development</w:t>
      </w:r>
    </w:p>
    <w:p>
      <w:pPr>
        <w:pStyle w:val="FirstParagraph"/>
      </w:pPr>
      <w:r>
        <w:t xml:space="preserve">Examples:</w:t>
      </w:r>
    </w:p>
    <w:p>
      <w:pPr>
        <w:pStyle w:val="Compact"/>
        <w:numPr>
          <w:ilvl w:val="0"/>
          <w:numId w:val="1023"/>
        </w:numPr>
      </w:pPr>
      <w:r>
        <w:t xml:space="preserve">taxonomy creation</w:t>
      </w:r>
    </w:p>
    <w:p>
      <w:pPr>
        <w:pStyle w:val="Compact"/>
        <w:numPr>
          <w:ilvl w:val="0"/>
          <w:numId w:val="1023"/>
        </w:numPr>
      </w:pPr>
      <w:r>
        <w:t xml:space="preserve">taxonomy migration</w:t>
      </w:r>
    </w:p>
    <w:p>
      <w:pPr>
        <w:pStyle w:val="Compact"/>
        <w:numPr>
          <w:ilvl w:val="0"/>
          <w:numId w:val="1023"/>
        </w:numPr>
      </w:pPr>
      <w:r>
        <w:t xml:space="preserve">taxonomy upgrades</w:t>
      </w:r>
    </w:p>
    <w:p>
      <w:r>
        <w:pict>
          <v:rect style="width:0;height:1.5pt" o:hralign="center" o:hrstd="t" o:hr="t"/>
        </w:pict>
      </w:r>
    </w:p>
    <w:bookmarkEnd w:id="52"/>
    <w:bookmarkEnd w:id="53"/>
    <w:bookmarkStart w:id="54" w:name="standards-to-track"/>
    <w:p>
      <w:pPr>
        <w:pStyle w:val="Heading1"/>
      </w:pPr>
      <w:r>
        <w:t xml:space="preserve">2.2 Standards to Track</w:t>
      </w:r>
    </w:p>
    <w:p>
      <w:pPr>
        <w:pStyle w:val="FirstParagraph"/>
      </w:pPr>
      <w:r>
        <w:t xml:space="preserve">The platform must identify opportunities mentioning:</w:t>
      </w:r>
    </w:p>
    <w:p>
      <w:pPr>
        <w:pStyle w:val="Compact"/>
        <w:numPr>
          <w:ilvl w:val="0"/>
          <w:numId w:val="1024"/>
        </w:numPr>
      </w:pPr>
      <w:r>
        <w:t xml:space="preserve">XBRL</w:t>
      </w:r>
    </w:p>
    <w:p>
      <w:pPr>
        <w:pStyle w:val="Compact"/>
        <w:numPr>
          <w:ilvl w:val="0"/>
          <w:numId w:val="1024"/>
        </w:numPr>
      </w:pPr>
      <w:r>
        <w:t xml:space="preserve">iXBRL</w:t>
      </w:r>
    </w:p>
    <w:p>
      <w:pPr>
        <w:pStyle w:val="Compact"/>
        <w:numPr>
          <w:ilvl w:val="0"/>
          <w:numId w:val="1024"/>
        </w:numPr>
      </w:pPr>
      <w:r>
        <w:t xml:space="preserve">XBRL-CSV</w:t>
      </w:r>
    </w:p>
    <w:p>
      <w:pPr>
        <w:pStyle w:val="Compact"/>
        <w:numPr>
          <w:ilvl w:val="0"/>
          <w:numId w:val="1024"/>
        </w:numPr>
      </w:pPr>
      <w:r>
        <w:t xml:space="preserve">XBRL-JSON</w:t>
      </w:r>
    </w:p>
    <w:p>
      <w:pPr>
        <w:pStyle w:val="Compact"/>
        <w:numPr>
          <w:ilvl w:val="0"/>
          <w:numId w:val="1024"/>
        </w:numPr>
      </w:pPr>
      <w:r>
        <w:t xml:space="preserve">SDMX</w:t>
      </w:r>
    </w:p>
    <w:p>
      <w:pPr>
        <w:pStyle w:val="Compact"/>
        <w:numPr>
          <w:ilvl w:val="0"/>
          <w:numId w:val="1024"/>
        </w:numPr>
      </w:pPr>
      <w:r>
        <w:t xml:space="preserve">ISO 20022</w:t>
      </w:r>
    </w:p>
    <w:p>
      <w:pPr>
        <w:pStyle w:val="Compact"/>
        <w:numPr>
          <w:ilvl w:val="0"/>
          <w:numId w:val="1024"/>
        </w:numPr>
      </w:pPr>
      <w:r>
        <w:t xml:space="preserve">DPM</w:t>
      </w:r>
    </w:p>
    <w:p>
      <w:pPr>
        <w:pStyle w:val="Compact"/>
        <w:numPr>
          <w:ilvl w:val="0"/>
          <w:numId w:val="1024"/>
        </w:numPr>
      </w:pPr>
      <w:r>
        <w:t xml:space="preserve">Taxonomies</w:t>
      </w:r>
    </w:p>
    <w:p>
      <w:pPr>
        <w:pStyle w:val="Compact"/>
        <w:numPr>
          <w:ilvl w:val="0"/>
          <w:numId w:val="1024"/>
        </w:numPr>
      </w:pPr>
      <w:r>
        <w:t xml:space="preserve">Machine-readable reporting</w:t>
      </w:r>
    </w:p>
    <w:p>
      <w:pPr>
        <w:pStyle w:val="Compact"/>
        <w:numPr>
          <w:ilvl w:val="0"/>
          <w:numId w:val="1024"/>
        </w:numPr>
      </w:pPr>
      <w:r>
        <w:t xml:space="preserve">Granular reporting</w:t>
      </w:r>
    </w:p>
    <w:p>
      <w:r>
        <w:pict>
          <v:rect style="width:0;height:1.5pt" o:hralign="center" o:hrstd="t" o:hr="t"/>
        </w:pict>
      </w:r>
    </w:p>
    <w:bookmarkEnd w:id="54"/>
    <w:bookmarkStart w:id="63" w:name="institutions-to-monitor"/>
    <w:p>
      <w:pPr>
        <w:pStyle w:val="Heading1"/>
      </w:pPr>
      <w:r>
        <w:t xml:space="preserve">2.3 Institutions to Monitor</w:t>
      </w:r>
    </w:p>
    <w:p>
      <w:pPr>
        <w:pStyle w:val="FirstParagraph"/>
      </w:pPr>
      <w:r>
        <w:t xml:space="preserve">The system must monitor institutions globally across multiple categories.</w:t>
      </w:r>
    </w:p>
    <w:p>
      <w:r>
        <w:pict>
          <v:rect style="width:0;height:1.5pt" o:hralign="center" o:hrstd="t" o:hr="t"/>
        </w:pict>
      </w:r>
    </w:p>
    <w:bookmarkStart w:id="55" w:name="central-banks"/>
    <w:p>
      <w:pPr>
        <w:pStyle w:val="Heading2"/>
      </w:pPr>
      <w:r>
        <w:t xml:space="preserve">Central Banks</w:t>
      </w:r>
    </w:p>
    <w:p>
      <w:pPr>
        <w:pStyle w:val="FirstParagraph"/>
      </w:pPr>
      <w:r>
        <w:t xml:space="preserve">Examples:</w:t>
      </w:r>
    </w:p>
    <w:p>
      <w:pPr>
        <w:pStyle w:val="Compact"/>
        <w:numPr>
          <w:ilvl w:val="0"/>
          <w:numId w:val="1025"/>
        </w:numPr>
      </w:pPr>
      <w:r>
        <w:t xml:space="preserve">monetary authorities</w:t>
      </w:r>
    </w:p>
    <w:p>
      <w:pPr>
        <w:pStyle w:val="Compact"/>
        <w:numPr>
          <w:ilvl w:val="0"/>
          <w:numId w:val="1025"/>
        </w:numPr>
      </w:pPr>
      <w:r>
        <w:t xml:space="preserve">reserve banks</w:t>
      </w:r>
    </w:p>
    <w:p>
      <w:pPr>
        <w:pStyle w:val="Compact"/>
        <w:numPr>
          <w:ilvl w:val="0"/>
          <w:numId w:val="1025"/>
        </w:numPr>
      </w:pPr>
      <w:r>
        <w:t xml:space="preserve">banking supervisors</w:t>
      </w:r>
    </w:p>
    <w:p>
      <w:r>
        <w:pict>
          <v:rect style="width:0;height:1.5pt" o:hralign="center" o:hrstd="t" o:hr="t"/>
        </w:pict>
      </w:r>
    </w:p>
    <w:bookmarkEnd w:id="55"/>
    <w:bookmarkStart w:id="56" w:name="deposit-insurance-institutions"/>
    <w:p>
      <w:pPr>
        <w:pStyle w:val="Heading2"/>
      </w:pPr>
      <w:r>
        <w:t xml:space="preserve">Deposit Insurance Institutions</w:t>
      </w:r>
    </w:p>
    <w:p>
      <w:pPr>
        <w:pStyle w:val="FirstParagraph"/>
      </w:pPr>
      <w:r>
        <w:t xml:space="preserve">Examples:</w:t>
      </w:r>
    </w:p>
    <w:p>
      <w:pPr>
        <w:pStyle w:val="Compact"/>
        <w:numPr>
          <w:ilvl w:val="0"/>
          <w:numId w:val="1026"/>
        </w:numPr>
      </w:pPr>
      <w:r>
        <w:t xml:space="preserve">deposit protection agencies</w:t>
      </w:r>
    </w:p>
    <w:p>
      <w:pPr>
        <w:pStyle w:val="Compact"/>
        <w:numPr>
          <w:ilvl w:val="0"/>
          <w:numId w:val="1026"/>
        </w:numPr>
      </w:pPr>
      <w:r>
        <w:t xml:space="preserve">resolution authorities</w:t>
      </w:r>
    </w:p>
    <w:p>
      <w:r>
        <w:pict>
          <v:rect style="width:0;height:1.5pt" o:hralign="center" o:hrstd="t" o:hr="t"/>
        </w:pict>
      </w:r>
    </w:p>
    <w:bookmarkEnd w:id="56"/>
    <w:bookmarkStart w:id="57" w:name="business-registries"/>
    <w:p>
      <w:pPr>
        <w:pStyle w:val="Heading2"/>
      </w:pPr>
      <w:r>
        <w:t xml:space="preserve">Business Registries</w:t>
      </w:r>
    </w:p>
    <w:p>
      <w:pPr>
        <w:pStyle w:val="FirstParagraph"/>
      </w:pPr>
      <w:r>
        <w:t xml:space="preserve">Examples:</w:t>
      </w:r>
    </w:p>
    <w:p>
      <w:pPr>
        <w:pStyle w:val="Compact"/>
        <w:numPr>
          <w:ilvl w:val="0"/>
          <w:numId w:val="1027"/>
        </w:numPr>
      </w:pPr>
      <w:r>
        <w:t xml:space="preserve">corporate registrars</w:t>
      </w:r>
    </w:p>
    <w:p>
      <w:pPr>
        <w:pStyle w:val="Compact"/>
        <w:numPr>
          <w:ilvl w:val="0"/>
          <w:numId w:val="1027"/>
        </w:numPr>
      </w:pPr>
      <w:r>
        <w:t xml:space="preserve">company filing authorities</w:t>
      </w:r>
    </w:p>
    <w:p>
      <w:r>
        <w:pict>
          <v:rect style="width:0;height:1.5pt" o:hralign="center" o:hrstd="t" o:hr="t"/>
        </w:pict>
      </w:r>
    </w:p>
    <w:bookmarkEnd w:id="57"/>
    <w:bookmarkStart w:id="58" w:name="capital-market-authorities"/>
    <w:p>
      <w:pPr>
        <w:pStyle w:val="Heading2"/>
      </w:pPr>
      <w:r>
        <w:t xml:space="preserve">Capital Market Authorities</w:t>
      </w:r>
    </w:p>
    <w:p>
      <w:pPr>
        <w:pStyle w:val="FirstParagraph"/>
      </w:pPr>
      <w:r>
        <w:t xml:space="preserve">Examples:</w:t>
      </w:r>
    </w:p>
    <w:p>
      <w:pPr>
        <w:pStyle w:val="Compact"/>
        <w:numPr>
          <w:ilvl w:val="0"/>
          <w:numId w:val="1028"/>
        </w:numPr>
      </w:pPr>
      <w:r>
        <w:t xml:space="preserve">securities regulators</w:t>
      </w:r>
    </w:p>
    <w:p>
      <w:pPr>
        <w:pStyle w:val="Compact"/>
        <w:numPr>
          <w:ilvl w:val="0"/>
          <w:numId w:val="1028"/>
        </w:numPr>
      </w:pPr>
      <w:r>
        <w:t xml:space="preserve">investment market supervisors</w:t>
      </w:r>
    </w:p>
    <w:p>
      <w:r>
        <w:pict>
          <v:rect style="width:0;height:1.5pt" o:hralign="center" o:hrstd="t" o:hr="t"/>
        </w:pict>
      </w:r>
    </w:p>
    <w:bookmarkEnd w:id="58"/>
    <w:bookmarkStart w:id="59" w:name="stock-exchanges"/>
    <w:p>
      <w:pPr>
        <w:pStyle w:val="Heading2"/>
      </w:pPr>
      <w:r>
        <w:t xml:space="preserve">Stock Exchanges</w:t>
      </w:r>
    </w:p>
    <w:p>
      <w:pPr>
        <w:pStyle w:val="FirstParagraph"/>
      </w:pPr>
      <w:r>
        <w:t xml:space="preserve">Examples:</w:t>
      </w:r>
    </w:p>
    <w:p>
      <w:pPr>
        <w:pStyle w:val="Compact"/>
        <w:numPr>
          <w:ilvl w:val="0"/>
          <w:numId w:val="1029"/>
        </w:numPr>
      </w:pPr>
      <w:r>
        <w:t xml:space="preserve">securities exchanges</w:t>
      </w:r>
    </w:p>
    <w:p>
      <w:pPr>
        <w:pStyle w:val="Compact"/>
        <w:numPr>
          <w:ilvl w:val="0"/>
          <w:numId w:val="1029"/>
        </w:numPr>
      </w:pPr>
      <w:r>
        <w:t xml:space="preserve">listing authorities</w:t>
      </w:r>
    </w:p>
    <w:p>
      <w:r>
        <w:pict>
          <v:rect style="width:0;height:1.5pt" o:hralign="center" o:hrstd="t" o:hr="t"/>
        </w:pict>
      </w:r>
    </w:p>
    <w:bookmarkEnd w:id="59"/>
    <w:bookmarkStart w:id="60" w:name="tax-authorities"/>
    <w:p>
      <w:pPr>
        <w:pStyle w:val="Heading2"/>
      </w:pPr>
      <w:r>
        <w:t xml:space="preserve">Tax Authorities</w:t>
      </w:r>
    </w:p>
    <w:p>
      <w:pPr>
        <w:pStyle w:val="FirstParagraph"/>
      </w:pPr>
      <w:r>
        <w:t xml:space="preserve">Examples:</w:t>
      </w:r>
    </w:p>
    <w:p>
      <w:pPr>
        <w:pStyle w:val="Compact"/>
        <w:numPr>
          <w:ilvl w:val="0"/>
          <w:numId w:val="1030"/>
        </w:numPr>
      </w:pPr>
      <w:r>
        <w:t xml:space="preserve">revenue departments</w:t>
      </w:r>
    </w:p>
    <w:p>
      <w:pPr>
        <w:pStyle w:val="Compact"/>
        <w:numPr>
          <w:ilvl w:val="0"/>
          <w:numId w:val="1030"/>
        </w:numPr>
      </w:pPr>
      <w:r>
        <w:t xml:space="preserve">tax filing agencies</w:t>
      </w:r>
    </w:p>
    <w:p>
      <w:r>
        <w:pict>
          <v:rect style="width:0;height:1.5pt" o:hralign="center" o:hrstd="t" o:hr="t"/>
        </w:pict>
      </w:r>
    </w:p>
    <w:bookmarkEnd w:id="60"/>
    <w:bookmarkStart w:id="61" w:name="statistical-bodies"/>
    <w:p>
      <w:pPr>
        <w:pStyle w:val="Heading2"/>
      </w:pPr>
      <w:r>
        <w:t xml:space="preserve">Statistical Bodies</w:t>
      </w:r>
    </w:p>
    <w:p>
      <w:pPr>
        <w:pStyle w:val="FirstParagraph"/>
      </w:pPr>
      <w:r>
        <w:t xml:space="preserve">Examples:</w:t>
      </w:r>
    </w:p>
    <w:p>
      <w:pPr>
        <w:pStyle w:val="Compact"/>
        <w:numPr>
          <w:ilvl w:val="0"/>
          <w:numId w:val="1031"/>
        </w:numPr>
      </w:pPr>
      <w:r>
        <w:t xml:space="preserve">national statistics offices</w:t>
      </w:r>
    </w:p>
    <w:p>
      <w:pPr>
        <w:pStyle w:val="Compact"/>
        <w:numPr>
          <w:ilvl w:val="0"/>
          <w:numId w:val="1031"/>
        </w:numPr>
      </w:pPr>
      <w:r>
        <w:t xml:space="preserve">macroeconomic data authorities</w:t>
      </w:r>
    </w:p>
    <w:p>
      <w:r>
        <w:pict>
          <v:rect style="width:0;height:1.5pt" o:hralign="center" o:hrstd="t" o:hr="t"/>
        </w:pict>
      </w:r>
    </w:p>
    <w:bookmarkEnd w:id="61"/>
    <w:bookmarkStart w:id="62" w:name="state-and-local-governments"/>
    <w:p>
      <w:pPr>
        <w:pStyle w:val="Heading2"/>
      </w:pPr>
      <w:r>
        <w:t xml:space="preserve">State and Local Governments</w:t>
      </w:r>
    </w:p>
    <w:p>
      <w:pPr>
        <w:pStyle w:val="FirstParagraph"/>
      </w:pPr>
      <w:r>
        <w:t xml:space="preserve">Examples:</w:t>
      </w:r>
    </w:p>
    <w:p>
      <w:pPr>
        <w:pStyle w:val="Compact"/>
        <w:numPr>
          <w:ilvl w:val="0"/>
          <w:numId w:val="1032"/>
        </w:numPr>
      </w:pPr>
      <w:r>
        <w:t xml:space="preserve">municipal administrations</w:t>
      </w:r>
    </w:p>
    <w:p>
      <w:pPr>
        <w:pStyle w:val="Compact"/>
        <w:numPr>
          <w:ilvl w:val="0"/>
          <w:numId w:val="1032"/>
        </w:numPr>
      </w:pPr>
      <w:r>
        <w:t xml:space="preserve">state finance departments</w:t>
      </w:r>
    </w:p>
    <w:p>
      <w:r>
        <w:pict>
          <v:rect style="width:0;height:1.5pt" o:hralign="center" o:hrstd="t" o:hr="t"/>
        </w:pict>
      </w:r>
    </w:p>
    <w:bookmarkEnd w:id="62"/>
    <w:bookmarkEnd w:id="63"/>
    <w:bookmarkStart w:id="64" w:name="external-supporting-organizations"/>
    <w:p>
      <w:pPr>
        <w:pStyle w:val="Heading1"/>
      </w:pPr>
      <w:r>
        <w:t xml:space="preserve">2.4 External Supporting Organizations</w:t>
      </w:r>
    </w:p>
    <w:p>
      <w:pPr>
        <w:pStyle w:val="FirstParagraph"/>
      </w:pPr>
      <w:r>
        <w:t xml:space="preserve">The platform must also track projects funded or influenced by:</w:t>
      </w:r>
    </w:p>
    <w:p>
      <w:pPr>
        <w:pStyle w:val="Compact"/>
        <w:numPr>
          <w:ilvl w:val="0"/>
          <w:numId w:val="1033"/>
        </w:numPr>
      </w:pPr>
      <w:r>
        <w:t xml:space="preserve">World Bank</w:t>
      </w:r>
    </w:p>
    <w:p>
      <w:pPr>
        <w:pStyle w:val="Compact"/>
        <w:numPr>
          <w:ilvl w:val="0"/>
          <w:numId w:val="1033"/>
        </w:numPr>
      </w:pPr>
      <w:r>
        <w:t xml:space="preserve">IMF</w:t>
      </w:r>
    </w:p>
    <w:p>
      <w:pPr>
        <w:pStyle w:val="Compact"/>
        <w:numPr>
          <w:ilvl w:val="0"/>
          <w:numId w:val="1033"/>
        </w:numPr>
      </w:pPr>
      <w:r>
        <w:t xml:space="preserve">BIS</w:t>
      </w:r>
    </w:p>
    <w:p>
      <w:pPr>
        <w:pStyle w:val="Compact"/>
        <w:numPr>
          <w:ilvl w:val="0"/>
          <w:numId w:val="1033"/>
        </w:numPr>
      </w:pPr>
      <w:r>
        <w:t xml:space="preserve">Gates Foundation</w:t>
      </w:r>
    </w:p>
    <w:p>
      <w:pPr>
        <w:pStyle w:val="Compact"/>
        <w:numPr>
          <w:ilvl w:val="0"/>
          <w:numId w:val="1033"/>
        </w:numPr>
      </w:pPr>
      <w:r>
        <w:t xml:space="preserve">Regional Development Banks</w:t>
      </w:r>
    </w:p>
    <w:p>
      <w:pPr>
        <w:pStyle w:val="Compact"/>
        <w:numPr>
          <w:ilvl w:val="0"/>
          <w:numId w:val="1033"/>
        </w:numPr>
      </w:pPr>
      <w:r>
        <w:t xml:space="preserve">UN agencies</w:t>
      </w:r>
    </w:p>
    <w:p>
      <w:pPr>
        <w:pStyle w:val="Compact"/>
        <w:numPr>
          <w:ilvl w:val="0"/>
          <w:numId w:val="1033"/>
        </w:numPr>
      </w:pPr>
      <w:r>
        <w:t xml:space="preserve">Aid organizations</w:t>
      </w:r>
    </w:p>
    <w:p>
      <w:pPr>
        <w:pStyle w:val="Compact"/>
        <w:numPr>
          <w:ilvl w:val="0"/>
          <w:numId w:val="1033"/>
        </w:numPr>
      </w:pPr>
      <w:r>
        <w:t xml:space="preserve">Financial inclusion initiatives</w:t>
      </w:r>
    </w:p>
    <w:p>
      <w:pPr>
        <w:pStyle w:val="FirstParagraph"/>
      </w:pPr>
      <w:r>
        <w:t xml:space="preserve">These organizations often fund large modernization programs.</w:t>
      </w:r>
    </w:p>
    <w:p>
      <w:r>
        <w:pict>
          <v:rect style="width:0;height:1.5pt" o:hralign="center" o:hrstd="t" o:hr="t"/>
        </w:pict>
      </w:r>
    </w:p>
    <w:bookmarkEnd w:id="64"/>
    <w:bookmarkStart w:id="78" w:name="geographic-coverage"/>
    <w:p>
      <w:pPr>
        <w:pStyle w:val="Heading1"/>
      </w:pPr>
      <w:r>
        <w:t xml:space="preserve">2.5 Geographic Coverage</w:t>
      </w:r>
    </w:p>
    <w:p>
      <w:pPr>
        <w:pStyle w:val="FirstParagraph"/>
      </w:pPr>
      <w:r>
        <w:t xml:space="preserve">The platform must classify all opportunities into the following regions.</w:t>
      </w:r>
    </w:p>
    <w:p>
      <w:r>
        <w:pict>
          <v:rect style="width:0;height:1.5pt" o:hralign="center" o:hrstd="t" o:hr="t"/>
        </w:pict>
      </w:r>
    </w:p>
    <w:bookmarkStart w:id="65" w:name="south-asia"/>
    <w:p>
      <w:pPr>
        <w:pStyle w:val="Heading2"/>
      </w:pPr>
      <w:r>
        <w:t xml:space="preserve">South Asia</w:t>
      </w:r>
    </w:p>
    <w:p>
      <w:pPr>
        <w:pStyle w:val="FirstParagraph"/>
      </w:pPr>
      <w:r>
        <w:t xml:space="preserve">Countries include:</w:t>
      </w:r>
    </w:p>
    <w:p>
      <w:pPr>
        <w:pStyle w:val="Compact"/>
        <w:numPr>
          <w:ilvl w:val="0"/>
          <w:numId w:val="1034"/>
        </w:numPr>
      </w:pPr>
      <w:r>
        <w:t xml:space="preserve">India</w:t>
      </w:r>
    </w:p>
    <w:p>
      <w:pPr>
        <w:pStyle w:val="Compact"/>
        <w:numPr>
          <w:ilvl w:val="0"/>
          <w:numId w:val="1034"/>
        </w:numPr>
      </w:pPr>
      <w:r>
        <w:t xml:space="preserve">Pakistan</w:t>
      </w:r>
    </w:p>
    <w:p>
      <w:pPr>
        <w:pStyle w:val="Compact"/>
        <w:numPr>
          <w:ilvl w:val="0"/>
          <w:numId w:val="1034"/>
        </w:numPr>
      </w:pPr>
      <w:r>
        <w:t xml:space="preserve">Bangladesh</w:t>
      </w:r>
    </w:p>
    <w:p>
      <w:pPr>
        <w:pStyle w:val="Compact"/>
        <w:numPr>
          <w:ilvl w:val="0"/>
          <w:numId w:val="1034"/>
        </w:numPr>
      </w:pPr>
      <w:r>
        <w:t xml:space="preserve">Sri Lanka</w:t>
      </w:r>
    </w:p>
    <w:p>
      <w:pPr>
        <w:pStyle w:val="Compact"/>
        <w:numPr>
          <w:ilvl w:val="0"/>
          <w:numId w:val="1034"/>
        </w:numPr>
      </w:pPr>
      <w:r>
        <w:t xml:space="preserve">Nepal</w:t>
      </w:r>
    </w:p>
    <w:p>
      <w:pPr>
        <w:pStyle w:val="Compact"/>
        <w:numPr>
          <w:ilvl w:val="0"/>
          <w:numId w:val="1034"/>
        </w:numPr>
      </w:pPr>
      <w:r>
        <w:t xml:space="preserve">Bhutan</w:t>
      </w:r>
    </w:p>
    <w:p>
      <w:pPr>
        <w:pStyle w:val="Compact"/>
        <w:numPr>
          <w:ilvl w:val="0"/>
          <w:numId w:val="1034"/>
        </w:numPr>
      </w:pPr>
      <w:r>
        <w:t xml:space="preserve">Maldives</w:t>
      </w:r>
    </w:p>
    <w:p>
      <w:r>
        <w:pict>
          <v:rect style="width:0;height:1.5pt" o:hralign="center" o:hrstd="t" o:hr="t"/>
        </w:pict>
      </w:r>
    </w:p>
    <w:bookmarkEnd w:id="65"/>
    <w:bookmarkStart w:id="66" w:name="middle-east"/>
    <w:p>
      <w:pPr>
        <w:pStyle w:val="Heading2"/>
      </w:pPr>
      <w:r>
        <w:t xml:space="preserve">Middle East</w:t>
      </w:r>
    </w:p>
    <w:p>
      <w:pPr>
        <w:pStyle w:val="FirstParagraph"/>
      </w:pPr>
      <w:r>
        <w:t xml:space="preserve">Examples:</w:t>
      </w:r>
    </w:p>
    <w:p>
      <w:pPr>
        <w:pStyle w:val="Compact"/>
        <w:numPr>
          <w:ilvl w:val="0"/>
          <w:numId w:val="1035"/>
        </w:numPr>
      </w:pPr>
      <w:r>
        <w:t xml:space="preserve">UAE</w:t>
      </w:r>
    </w:p>
    <w:p>
      <w:pPr>
        <w:pStyle w:val="Compact"/>
        <w:numPr>
          <w:ilvl w:val="0"/>
          <w:numId w:val="1035"/>
        </w:numPr>
      </w:pPr>
      <w:r>
        <w:t xml:space="preserve">Saudi Arabia</w:t>
      </w:r>
    </w:p>
    <w:p>
      <w:pPr>
        <w:pStyle w:val="Compact"/>
        <w:numPr>
          <w:ilvl w:val="0"/>
          <w:numId w:val="1035"/>
        </w:numPr>
      </w:pPr>
      <w:r>
        <w:t xml:space="preserve">Qatar</w:t>
      </w:r>
    </w:p>
    <w:p>
      <w:pPr>
        <w:pStyle w:val="Compact"/>
        <w:numPr>
          <w:ilvl w:val="0"/>
          <w:numId w:val="1035"/>
        </w:numPr>
      </w:pPr>
      <w:r>
        <w:t xml:space="preserve">Bahrain</w:t>
      </w:r>
    </w:p>
    <w:p>
      <w:pPr>
        <w:pStyle w:val="Compact"/>
        <w:numPr>
          <w:ilvl w:val="0"/>
          <w:numId w:val="1035"/>
        </w:numPr>
      </w:pPr>
      <w:r>
        <w:t xml:space="preserve">Oman</w:t>
      </w:r>
    </w:p>
    <w:p>
      <w:pPr>
        <w:pStyle w:val="Compact"/>
        <w:numPr>
          <w:ilvl w:val="0"/>
          <w:numId w:val="1035"/>
        </w:numPr>
      </w:pPr>
      <w:r>
        <w:t xml:space="preserve">Kuwait</w:t>
      </w:r>
    </w:p>
    <w:p>
      <w:pPr>
        <w:pStyle w:val="Compact"/>
        <w:numPr>
          <w:ilvl w:val="0"/>
          <w:numId w:val="1035"/>
        </w:numPr>
      </w:pPr>
      <w:r>
        <w:t xml:space="preserve">Jordan</w:t>
      </w:r>
    </w:p>
    <w:p>
      <w:r>
        <w:pict>
          <v:rect style="width:0;height:1.5pt" o:hralign="center" o:hrstd="t" o:hr="t"/>
        </w:pict>
      </w:r>
    </w:p>
    <w:bookmarkEnd w:id="66"/>
    <w:bookmarkStart w:id="67" w:name="north-africa"/>
    <w:p>
      <w:pPr>
        <w:pStyle w:val="Heading2"/>
      </w:pPr>
      <w:r>
        <w:t xml:space="preserve">North Africa</w:t>
      </w:r>
    </w:p>
    <w:p>
      <w:pPr>
        <w:pStyle w:val="FirstParagraph"/>
      </w:pPr>
      <w:r>
        <w:t xml:space="preserve">Examples:</w:t>
      </w:r>
    </w:p>
    <w:p>
      <w:pPr>
        <w:pStyle w:val="Compact"/>
        <w:numPr>
          <w:ilvl w:val="0"/>
          <w:numId w:val="1036"/>
        </w:numPr>
      </w:pPr>
      <w:r>
        <w:t xml:space="preserve">Egypt</w:t>
      </w:r>
    </w:p>
    <w:p>
      <w:pPr>
        <w:pStyle w:val="Compact"/>
        <w:numPr>
          <w:ilvl w:val="0"/>
          <w:numId w:val="1036"/>
        </w:numPr>
      </w:pPr>
      <w:r>
        <w:t xml:space="preserve">Morocco</w:t>
      </w:r>
    </w:p>
    <w:p>
      <w:pPr>
        <w:pStyle w:val="Compact"/>
        <w:numPr>
          <w:ilvl w:val="0"/>
          <w:numId w:val="1036"/>
        </w:numPr>
      </w:pPr>
      <w:r>
        <w:t xml:space="preserve">Tunisia</w:t>
      </w:r>
    </w:p>
    <w:p>
      <w:pPr>
        <w:pStyle w:val="Compact"/>
        <w:numPr>
          <w:ilvl w:val="0"/>
          <w:numId w:val="1036"/>
        </w:numPr>
      </w:pPr>
      <w:r>
        <w:t xml:space="preserve">Algeria</w:t>
      </w:r>
    </w:p>
    <w:p>
      <w:r>
        <w:pict>
          <v:rect style="width:0;height:1.5pt" o:hralign="center" o:hrstd="t" o:hr="t"/>
        </w:pict>
      </w:r>
    </w:p>
    <w:bookmarkEnd w:id="67"/>
    <w:bookmarkStart w:id="68" w:name="southern-africa"/>
    <w:p>
      <w:pPr>
        <w:pStyle w:val="Heading2"/>
      </w:pPr>
      <w:r>
        <w:t xml:space="preserve">Southern Africa</w:t>
      </w:r>
    </w:p>
    <w:p>
      <w:pPr>
        <w:pStyle w:val="FirstParagraph"/>
      </w:pPr>
      <w:r>
        <w:t xml:space="preserve">Examples:</w:t>
      </w:r>
    </w:p>
    <w:p>
      <w:pPr>
        <w:pStyle w:val="Compact"/>
        <w:numPr>
          <w:ilvl w:val="0"/>
          <w:numId w:val="1037"/>
        </w:numPr>
      </w:pPr>
      <w:r>
        <w:t xml:space="preserve">South Africa</w:t>
      </w:r>
    </w:p>
    <w:p>
      <w:pPr>
        <w:pStyle w:val="Compact"/>
        <w:numPr>
          <w:ilvl w:val="0"/>
          <w:numId w:val="1037"/>
        </w:numPr>
      </w:pPr>
      <w:r>
        <w:t xml:space="preserve">Botswana</w:t>
      </w:r>
    </w:p>
    <w:p>
      <w:pPr>
        <w:pStyle w:val="Compact"/>
        <w:numPr>
          <w:ilvl w:val="0"/>
          <w:numId w:val="1037"/>
        </w:numPr>
      </w:pPr>
      <w:r>
        <w:t xml:space="preserve">Namibia</w:t>
      </w:r>
    </w:p>
    <w:p>
      <w:pPr>
        <w:pStyle w:val="Compact"/>
        <w:numPr>
          <w:ilvl w:val="0"/>
          <w:numId w:val="1037"/>
        </w:numPr>
      </w:pPr>
      <w:r>
        <w:t xml:space="preserve">Zambia</w:t>
      </w:r>
    </w:p>
    <w:p>
      <w:r>
        <w:pict>
          <v:rect style="width:0;height:1.5pt" o:hralign="center" o:hrstd="t" o:hr="t"/>
        </w:pict>
      </w:r>
    </w:p>
    <w:bookmarkEnd w:id="68"/>
    <w:bookmarkStart w:id="69" w:name="western-africa"/>
    <w:p>
      <w:pPr>
        <w:pStyle w:val="Heading2"/>
      </w:pPr>
      <w:r>
        <w:t xml:space="preserve">Western Africa</w:t>
      </w:r>
    </w:p>
    <w:p>
      <w:pPr>
        <w:pStyle w:val="FirstParagraph"/>
      </w:pPr>
      <w:r>
        <w:t xml:space="preserve">Examples:</w:t>
      </w:r>
    </w:p>
    <w:p>
      <w:pPr>
        <w:pStyle w:val="Compact"/>
        <w:numPr>
          <w:ilvl w:val="0"/>
          <w:numId w:val="1038"/>
        </w:numPr>
      </w:pPr>
      <w:r>
        <w:t xml:space="preserve">Nigeria</w:t>
      </w:r>
    </w:p>
    <w:p>
      <w:pPr>
        <w:pStyle w:val="Compact"/>
        <w:numPr>
          <w:ilvl w:val="0"/>
          <w:numId w:val="1038"/>
        </w:numPr>
      </w:pPr>
      <w:r>
        <w:t xml:space="preserve">Ghana</w:t>
      </w:r>
    </w:p>
    <w:p>
      <w:pPr>
        <w:pStyle w:val="Compact"/>
        <w:numPr>
          <w:ilvl w:val="0"/>
          <w:numId w:val="1038"/>
        </w:numPr>
      </w:pPr>
      <w:r>
        <w:t xml:space="preserve">Senegal</w:t>
      </w:r>
    </w:p>
    <w:p>
      <w:pPr>
        <w:pStyle w:val="Compact"/>
        <w:numPr>
          <w:ilvl w:val="0"/>
          <w:numId w:val="1038"/>
        </w:numPr>
      </w:pPr>
      <w:r>
        <w:t xml:space="preserve">Ivory Coast</w:t>
      </w:r>
    </w:p>
    <w:p>
      <w:r>
        <w:pict>
          <v:rect style="width:0;height:1.5pt" o:hralign="center" o:hrstd="t" o:hr="t"/>
        </w:pict>
      </w:r>
    </w:p>
    <w:bookmarkEnd w:id="69"/>
    <w:bookmarkStart w:id="70" w:name="eastern-africa"/>
    <w:p>
      <w:pPr>
        <w:pStyle w:val="Heading2"/>
      </w:pPr>
      <w:r>
        <w:t xml:space="preserve">Eastern Africa</w:t>
      </w:r>
    </w:p>
    <w:p>
      <w:pPr>
        <w:pStyle w:val="FirstParagraph"/>
      </w:pPr>
      <w:r>
        <w:t xml:space="preserve">Examples:</w:t>
      </w:r>
    </w:p>
    <w:p>
      <w:pPr>
        <w:pStyle w:val="Compact"/>
        <w:numPr>
          <w:ilvl w:val="0"/>
          <w:numId w:val="1039"/>
        </w:numPr>
      </w:pPr>
      <w:r>
        <w:t xml:space="preserve">Kenya</w:t>
      </w:r>
    </w:p>
    <w:p>
      <w:pPr>
        <w:pStyle w:val="Compact"/>
        <w:numPr>
          <w:ilvl w:val="0"/>
          <w:numId w:val="1039"/>
        </w:numPr>
      </w:pPr>
      <w:r>
        <w:t xml:space="preserve">Tanzania</w:t>
      </w:r>
    </w:p>
    <w:p>
      <w:pPr>
        <w:pStyle w:val="Compact"/>
        <w:numPr>
          <w:ilvl w:val="0"/>
          <w:numId w:val="1039"/>
        </w:numPr>
      </w:pPr>
      <w:r>
        <w:t xml:space="preserve">Uganda</w:t>
      </w:r>
    </w:p>
    <w:p>
      <w:pPr>
        <w:pStyle w:val="Compact"/>
        <w:numPr>
          <w:ilvl w:val="0"/>
          <w:numId w:val="1039"/>
        </w:numPr>
      </w:pPr>
      <w:r>
        <w:t xml:space="preserve">Ethiopia</w:t>
      </w:r>
    </w:p>
    <w:p>
      <w:pPr>
        <w:pStyle w:val="Compact"/>
        <w:numPr>
          <w:ilvl w:val="0"/>
          <w:numId w:val="1039"/>
        </w:numPr>
      </w:pPr>
      <w:r>
        <w:t xml:space="preserve">Rwanda</w:t>
      </w:r>
    </w:p>
    <w:p>
      <w:r>
        <w:pict>
          <v:rect style="width:0;height:1.5pt" o:hralign="center" o:hrstd="t" o:hr="t"/>
        </w:pict>
      </w:r>
    </w:p>
    <w:bookmarkEnd w:id="70"/>
    <w:bookmarkStart w:id="71" w:name="north-america"/>
    <w:p>
      <w:pPr>
        <w:pStyle w:val="Heading2"/>
      </w:pPr>
      <w:r>
        <w:t xml:space="preserve">North America</w:t>
      </w:r>
    </w:p>
    <w:p>
      <w:pPr>
        <w:pStyle w:val="FirstParagraph"/>
      </w:pPr>
      <w:r>
        <w:t xml:space="preserve">Examples:</w:t>
      </w:r>
    </w:p>
    <w:p>
      <w:pPr>
        <w:pStyle w:val="Compact"/>
        <w:numPr>
          <w:ilvl w:val="0"/>
          <w:numId w:val="1040"/>
        </w:numPr>
      </w:pPr>
      <w:r>
        <w:t xml:space="preserve">United States</w:t>
      </w:r>
    </w:p>
    <w:p>
      <w:pPr>
        <w:pStyle w:val="Compact"/>
        <w:numPr>
          <w:ilvl w:val="0"/>
          <w:numId w:val="1040"/>
        </w:numPr>
      </w:pPr>
      <w:r>
        <w:t xml:space="preserve">Canada</w:t>
      </w:r>
    </w:p>
    <w:p>
      <w:pPr>
        <w:pStyle w:val="Compact"/>
        <w:numPr>
          <w:ilvl w:val="0"/>
          <w:numId w:val="1040"/>
        </w:numPr>
      </w:pPr>
      <w:r>
        <w:t xml:space="preserve">Mexico</w:t>
      </w:r>
    </w:p>
    <w:p>
      <w:r>
        <w:pict>
          <v:rect style="width:0;height:1.5pt" o:hralign="center" o:hrstd="t" o:hr="t"/>
        </w:pict>
      </w:r>
    </w:p>
    <w:bookmarkEnd w:id="71"/>
    <w:bookmarkStart w:id="72" w:name="south-america"/>
    <w:p>
      <w:pPr>
        <w:pStyle w:val="Heading2"/>
      </w:pPr>
      <w:r>
        <w:t xml:space="preserve">South America</w:t>
      </w:r>
    </w:p>
    <w:p>
      <w:pPr>
        <w:pStyle w:val="FirstParagraph"/>
      </w:pPr>
      <w:r>
        <w:t xml:space="preserve">Examples:</w:t>
      </w:r>
    </w:p>
    <w:p>
      <w:pPr>
        <w:pStyle w:val="Compact"/>
        <w:numPr>
          <w:ilvl w:val="0"/>
          <w:numId w:val="1041"/>
        </w:numPr>
      </w:pPr>
      <w:r>
        <w:t xml:space="preserve">Brazil</w:t>
      </w:r>
    </w:p>
    <w:p>
      <w:pPr>
        <w:pStyle w:val="Compact"/>
        <w:numPr>
          <w:ilvl w:val="0"/>
          <w:numId w:val="1041"/>
        </w:numPr>
      </w:pPr>
      <w:r>
        <w:t xml:space="preserve">Argentina</w:t>
      </w:r>
    </w:p>
    <w:p>
      <w:pPr>
        <w:pStyle w:val="Compact"/>
        <w:numPr>
          <w:ilvl w:val="0"/>
          <w:numId w:val="1041"/>
        </w:numPr>
      </w:pPr>
      <w:r>
        <w:t xml:space="preserve">Chile</w:t>
      </w:r>
    </w:p>
    <w:p>
      <w:pPr>
        <w:pStyle w:val="Compact"/>
        <w:numPr>
          <w:ilvl w:val="0"/>
          <w:numId w:val="1041"/>
        </w:numPr>
      </w:pPr>
      <w:r>
        <w:t xml:space="preserve">Peru</w:t>
      </w:r>
    </w:p>
    <w:p>
      <w:pPr>
        <w:pStyle w:val="Compact"/>
        <w:numPr>
          <w:ilvl w:val="0"/>
          <w:numId w:val="1041"/>
        </w:numPr>
      </w:pPr>
      <w:r>
        <w:t xml:space="preserve">Colombia</w:t>
      </w:r>
    </w:p>
    <w:p>
      <w:r>
        <w:pict>
          <v:rect style="width:0;height:1.5pt" o:hralign="center" o:hrstd="t" o:hr="t"/>
        </w:pict>
      </w:r>
    </w:p>
    <w:bookmarkEnd w:id="72"/>
    <w:bookmarkStart w:id="73" w:name="south-east-asia"/>
    <w:p>
      <w:pPr>
        <w:pStyle w:val="Heading2"/>
      </w:pPr>
      <w:r>
        <w:t xml:space="preserve">South East Asia</w:t>
      </w:r>
    </w:p>
    <w:p>
      <w:pPr>
        <w:pStyle w:val="FirstParagraph"/>
      </w:pPr>
      <w:r>
        <w:t xml:space="preserve">Examples:</w:t>
      </w:r>
    </w:p>
    <w:p>
      <w:pPr>
        <w:pStyle w:val="Compact"/>
        <w:numPr>
          <w:ilvl w:val="0"/>
          <w:numId w:val="1042"/>
        </w:numPr>
      </w:pPr>
      <w:r>
        <w:t xml:space="preserve">Singapore</w:t>
      </w:r>
    </w:p>
    <w:p>
      <w:pPr>
        <w:pStyle w:val="Compact"/>
        <w:numPr>
          <w:ilvl w:val="0"/>
          <w:numId w:val="1042"/>
        </w:numPr>
      </w:pPr>
      <w:r>
        <w:t xml:space="preserve">Indonesia</w:t>
      </w:r>
    </w:p>
    <w:p>
      <w:pPr>
        <w:pStyle w:val="Compact"/>
        <w:numPr>
          <w:ilvl w:val="0"/>
          <w:numId w:val="1042"/>
        </w:numPr>
      </w:pPr>
      <w:r>
        <w:t xml:space="preserve">Malaysia</w:t>
      </w:r>
    </w:p>
    <w:p>
      <w:pPr>
        <w:pStyle w:val="Compact"/>
        <w:numPr>
          <w:ilvl w:val="0"/>
          <w:numId w:val="1042"/>
        </w:numPr>
      </w:pPr>
      <w:r>
        <w:t xml:space="preserve">Thailand</w:t>
      </w:r>
    </w:p>
    <w:p>
      <w:pPr>
        <w:pStyle w:val="Compact"/>
        <w:numPr>
          <w:ilvl w:val="0"/>
          <w:numId w:val="1042"/>
        </w:numPr>
      </w:pPr>
      <w:r>
        <w:t xml:space="preserve">Vietnam</w:t>
      </w:r>
    </w:p>
    <w:p>
      <w:pPr>
        <w:pStyle w:val="Compact"/>
        <w:numPr>
          <w:ilvl w:val="0"/>
          <w:numId w:val="1042"/>
        </w:numPr>
      </w:pPr>
      <w:r>
        <w:t xml:space="preserve">Philippines</w:t>
      </w:r>
    </w:p>
    <w:p>
      <w:r>
        <w:pict>
          <v:rect style="width:0;height:1.5pt" o:hralign="center" o:hrstd="t" o:hr="t"/>
        </w:pict>
      </w:r>
    </w:p>
    <w:bookmarkEnd w:id="73"/>
    <w:bookmarkStart w:id="74" w:name="east-asia"/>
    <w:p>
      <w:pPr>
        <w:pStyle w:val="Heading2"/>
      </w:pPr>
      <w:r>
        <w:t xml:space="preserve">East Asia</w:t>
      </w:r>
    </w:p>
    <w:p>
      <w:pPr>
        <w:pStyle w:val="FirstParagraph"/>
      </w:pPr>
      <w:r>
        <w:t xml:space="preserve">Examples:</w:t>
      </w:r>
    </w:p>
    <w:p>
      <w:pPr>
        <w:pStyle w:val="Compact"/>
        <w:numPr>
          <w:ilvl w:val="0"/>
          <w:numId w:val="1043"/>
        </w:numPr>
      </w:pPr>
      <w:r>
        <w:t xml:space="preserve">China</w:t>
      </w:r>
    </w:p>
    <w:p>
      <w:pPr>
        <w:pStyle w:val="Compact"/>
        <w:numPr>
          <w:ilvl w:val="0"/>
          <w:numId w:val="1043"/>
        </w:numPr>
      </w:pPr>
      <w:r>
        <w:t xml:space="preserve">Japan</w:t>
      </w:r>
    </w:p>
    <w:p>
      <w:pPr>
        <w:pStyle w:val="Compact"/>
        <w:numPr>
          <w:ilvl w:val="0"/>
          <w:numId w:val="1043"/>
        </w:numPr>
      </w:pPr>
      <w:r>
        <w:t xml:space="preserve">South Korea</w:t>
      </w:r>
    </w:p>
    <w:p>
      <w:pPr>
        <w:pStyle w:val="Compact"/>
        <w:numPr>
          <w:ilvl w:val="0"/>
          <w:numId w:val="1043"/>
        </w:numPr>
      </w:pPr>
      <w:r>
        <w:t xml:space="preserve">Taiwan</w:t>
      </w:r>
    </w:p>
    <w:p>
      <w:r>
        <w:pict>
          <v:rect style="width:0;height:1.5pt" o:hralign="center" o:hrstd="t" o:hr="t"/>
        </w:pict>
      </w:r>
    </w:p>
    <w:bookmarkEnd w:id="74"/>
    <w:bookmarkStart w:id="75" w:name="central-asia"/>
    <w:p>
      <w:pPr>
        <w:pStyle w:val="Heading2"/>
      </w:pPr>
      <w:r>
        <w:t xml:space="preserve">Central Asia</w:t>
      </w:r>
    </w:p>
    <w:p>
      <w:pPr>
        <w:pStyle w:val="FirstParagraph"/>
      </w:pPr>
      <w:r>
        <w:t xml:space="preserve">Examples:</w:t>
      </w:r>
    </w:p>
    <w:p>
      <w:pPr>
        <w:pStyle w:val="Compact"/>
        <w:numPr>
          <w:ilvl w:val="0"/>
          <w:numId w:val="1044"/>
        </w:numPr>
      </w:pPr>
      <w:r>
        <w:t xml:space="preserve">Kazakhstan</w:t>
      </w:r>
    </w:p>
    <w:p>
      <w:pPr>
        <w:pStyle w:val="Compact"/>
        <w:numPr>
          <w:ilvl w:val="0"/>
          <w:numId w:val="1044"/>
        </w:numPr>
      </w:pPr>
      <w:r>
        <w:t xml:space="preserve">Uzbekistan</w:t>
      </w:r>
    </w:p>
    <w:p>
      <w:pPr>
        <w:pStyle w:val="Compact"/>
        <w:numPr>
          <w:ilvl w:val="0"/>
          <w:numId w:val="1044"/>
        </w:numPr>
      </w:pPr>
      <w:r>
        <w:t xml:space="preserve">Kyrgyzstan</w:t>
      </w:r>
    </w:p>
    <w:p>
      <w:r>
        <w:pict>
          <v:rect style="width:0;height:1.5pt" o:hralign="center" o:hrstd="t" o:hr="t"/>
        </w:pict>
      </w:r>
    </w:p>
    <w:bookmarkEnd w:id="75"/>
    <w:bookmarkStart w:id="76" w:name="eastern-europe"/>
    <w:p>
      <w:pPr>
        <w:pStyle w:val="Heading2"/>
      </w:pPr>
      <w:r>
        <w:t xml:space="preserve">Eastern Europe</w:t>
      </w:r>
    </w:p>
    <w:p>
      <w:pPr>
        <w:pStyle w:val="FirstParagraph"/>
      </w:pPr>
      <w:r>
        <w:t xml:space="preserve">Examples:</w:t>
      </w:r>
    </w:p>
    <w:p>
      <w:pPr>
        <w:pStyle w:val="Compact"/>
        <w:numPr>
          <w:ilvl w:val="0"/>
          <w:numId w:val="1045"/>
        </w:numPr>
      </w:pPr>
      <w:r>
        <w:t xml:space="preserve">Poland</w:t>
      </w:r>
    </w:p>
    <w:p>
      <w:pPr>
        <w:pStyle w:val="Compact"/>
        <w:numPr>
          <w:ilvl w:val="0"/>
          <w:numId w:val="1045"/>
        </w:numPr>
      </w:pPr>
      <w:r>
        <w:t xml:space="preserve">Romania</w:t>
      </w:r>
    </w:p>
    <w:p>
      <w:pPr>
        <w:pStyle w:val="Compact"/>
        <w:numPr>
          <w:ilvl w:val="0"/>
          <w:numId w:val="1045"/>
        </w:numPr>
      </w:pPr>
      <w:r>
        <w:t xml:space="preserve">Hungary</w:t>
      </w:r>
    </w:p>
    <w:p>
      <w:pPr>
        <w:pStyle w:val="Compact"/>
        <w:numPr>
          <w:ilvl w:val="0"/>
          <w:numId w:val="1045"/>
        </w:numPr>
      </w:pPr>
      <w:r>
        <w:t xml:space="preserve">Bulgaria</w:t>
      </w:r>
    </w:p>
    <w:p>
      <w:r>
        <w:pict>
          <v:rect style="width:0;height:1.5pt" o:hralign="center" o:hrstd="t" o:hr="t"/>
        </w:pict>
      </w:r>
    </w:p>
    <w:bookmarkEnd w:id="76"/>
    <w:bookmarkStart w:id="77" w:name="western-europe"/>
    <w:p>
      <w:pPr>
        <w:pStyle w:val="Heading2"/>
      </w:pPr>
      <w:r>
        <w:t xml:space="preserve">Western Europe</w:t>
      </w:r>
    </w:p>
    <w:p>
      <w:pPr>
        <w:pStyle w:val="FirstParagraph"/>
      </w:pPr>
      <w:r>
        <w:t xml:space="preserve">Examples:</w:t>
      </w:r>
    </w:p>
    <w:p>
      <w:pPr>
        <w:pStyle w:val="Compact"/>
        <w:numPr>
          <w:ilvl w:val="0"/>
          <w:numId w:val="1046"/>
        </w:numPr>
      </w:pPr>
      <w:r>
        <w:t xml:space="preserve">UK</w:t>
      </w:r>
    </w:p>
    <w:p>
      <w:pPr>
        <w:pStyle w:val="Compact"/>
        <w:numPr>
          <w:ilvl w:val="0"/>
          <w:numId w:val="1046"/>
        </w:numPr>
      </w:pPr>
      <w:r>
        <w:t xml:space="preserve">Germany</w:t>
      </w:r>
    </w:p>
    <w:p>
      <w:pPr>
        <w:pStyle w:val="Compact"/>
        <w:numPr>
          <w:ilvl w:val="0"/>
          <w:numId w:val="1046"/>
        </w:numPr>
      </w:pPr>
      <w:r>
        <w:t xml:space="preserve">France</w:t>
      </w:r>
    </w:p>
    <w:p>
      <w:pPr>
        <w:pStyle w:val="Compact"/>
        <w:numPr>
          <w:ilvl w:val="0"/>
          <w:numId w:val="1046"/>
        </w:numPr>
      </w:pPr>
      <w:r>
        <w:t xml:space="preserve">Italy</w:t>
      </w:r>
    </w:p>
    <w:p>
      <w:pPr>
        <w:pStyle w:val="Compact"/>
        <w:numPr>
          <w:ilvl w:val="0"/>
          <w:numId w:val="1046"/>
        </w:numPr>
      </w:pPr>
      <w:r>
        <w:t xml:space="preserve">Netherlands</w:t>
      </w:r>
    </w:p>
    <w:p>
      <w:pPr>
        <w:pStyle w:val="Compact"/>
        <w:numPr>
          <w:ilvl w:val="0"/>
          <w:numId w:val="1046"/>
        </w:numPr>
      </w:pPr>
      <w:r>
        <w:t xml:space="preserve">Spain</w:t>
      </w:r>
    </w:p>
    <w:p>
      <w:r>
        <w:pict>
          <v:rect style="width:0;height:1.5pt" o:hralign="center" o:hrstd="t" o:hr="t"/>
        </w:pict>
      </w:r>
    </w:p>
    <w:bookmarkEnd w:id="77"/>
    <w:bookmarkEnd w:id="78"/>
    <w:bookmarkStart w:id="87" w:name="opportunity-lifecycle"/>
    <w:p>
      <w:pPr>
        <w:pStyle w:val="Heading1"/>
      </w:pPr>
      <w:r>
        <w:t xml:space="preserve">3. Opportunity Lifecycle</w:t>
      </w:r>
    </w:p>
    <w:p>
      <w:pPr>
        <w:pStyle w:val="FirstParagraph"/>
      </w:pPr>
      <w:r>
        <w:t xml:space="preserve">Each opportunity should pass through lifecycle stages.</w:t>
      </w:r>
    </w:p>
    <w:p>
      <w:r>
        <w:pict>
          <v:rect style="width:0;height:1.5pt" o:hralign="center" o:hrstd="t" o:hr="t"/>
        </w:pict>
      </w:r>
    </w:p>
    <w:bookmarkStart w:id="79" w:name="stage-1-signal-detected"/>
    <w:p>
      <w:pPr>
        <w:pStyle w:val="Heading2"/>
      </w:pPr>
      <w:r>
        <w:t xml:space="preserve">Stage 1 — Signal Detected</w:t>
      </w:r>
    </w:p>
    <w:p>
      <w:pPr>
        <w:pStyle w:val="FirstParagraph"/>
      </w:pPr>
      <w:r>
        <w:t xml:space="preserve">AI detects possible opportunity.</w:t>
      </w:r>
    </w:p>
    <w:p>
      <w:pPr>
        <w:pStyle w:val="BodyText"/>
      </w:pPr>
      <w:r>
        <w:t xml:space="preserve">Examples:</w:t>
      </w:r>
    </w:p>
    <w:p>
      <w:pPr>
        <w:pStyle w:val="Compact"/>
        <w:numPr>
          <w:ilvl w:val="0"/>
          <w:numId w:val="1047"/>
        </w:numPr>
      </w:pPr>
      <w:r>
        <w:t xml:space="preserve">announcement</w:t>
      </w:r>
    </w:p>
    <w:p>
      <w:pPr>
        <w:pStyle w:val="Compact"/>
        <w:numPr>
          <w:ilvl w:val="0"/>
          <w:numId w:val="1047"/>
        </w:numPr>
      </w:pPr>
      <w:r>
        <w:t xml:space="preserve">budget plan</w:t>
      </w:r>
    </w:p>
    <w:p>
      <w:pPr>
        <w:pStyle w:val="Compact"/>
        <w:numPr>
          <w:ilvl w:val="0"/>
          <w:numId w:val="1047"/>
        </w:numPr>
      </w:pPr>
      <w:r>
        <w:t xml:space="preserve">modernization initiative</w:t>
      </w:r>
    </w:p>
    <w:p>
      <w:r>
        <w:pict>
          <v:rect style="width:0;height:1.5pt" o:hralign="center" o:hrstd="t" o:hr="t"/>
        </w:pict>
      </w:r>
    </w:p>
    <w:bookmarkEnd w:id="79"/>
    <w:bookmarkStart w:id="80" w:name="stage-2-under-review"/>
    <w:p>
      <w:pPr>
        <w:pStyle w:val="Heading2"/>
      </w:pPr>
      <w:r>
        <w:t xml:space="preserve">Stage 2 — Under Review</w:t>
      </w:r>
    </w:p>
    <w:p>
      <w:pPr>
        <w:pStyle w:val="FirstParagraph"/>
      </w:pPr>
      <w:r>
        <w:t xml:space="preserve">Analyst validates signal.</w:t>
      </w:r>
    </w:p>
    <w:p>
      <w:r>
        <w:pict>
          <v:rect style="width:0;height:1.5pt" o:hralign="center" o:hrstd="t" o:hr="t"/>
        </w:pict>
      </w:r>
    </w:p>
    <w:bookmarkEnd w:id="80"/>
    <w:bookmarkStart w:id="81" w:name="stage-3-qualified"/>
    <w:p>
      <w:pPr>
        <w:pStyle w:val="Heading2"/>
      </w:pPr>
      <w:r>
        <w:t xml:space="preserve">Stage 3 — Qualified</w:t>
      </w:r>
    </w:p>
    <w:p>
      <w:pPr>
        <w:pStyle w:val="FirstParagraph"/>
      </w:pPr>
      <w:r>
        <w:t xml:space="preserve">Opportunity considered relevant.</w:t>
      </w:r>
    </w:p>
    <w:p>
      <w:r>
        <w:pict>
          <v:rect style="width:0;height:1.5pt" o:hralign="center" o:hrstd="t" o:hr="t"/>
        </w:pict>
      </w:r>
    </w:p>
    <w:bookmarkEnd w:id="81"/>
    <w:bookmarkStart w:id="82" w:name="stage-4-active"/>
    <w:p>
      <w:pPr>
        <w:pStyle w:val="Heading2"/>
      </w:pPr>
      <w:r>
        <w:t xml:space="preserve">Stage 4 — Active</w:t>
      </w:r>
    </w:p>
    <w:p>
      <w:pPr>
        <w:pStyle w:val="FirstParagraph"/>
      </w:pPr>
      <w:r>
        <w:t xml:space="preserve">RFP / Tender published.</w:t>
      </w:r>
    </w:p>
    <w:p>
      <w:r>
        <w:pict>
          <v:rect style="width:0;height:1.5pt" o:hralign="center" o:hrstd="t" o:hr="t"/>
        </w:pict>
      </w:r>
    </w:p>
    <w:bookmarkEnd w:id="82"/>
    <w:bookmarkStart w:id="83" w:name="stage-5-pursuing"/>
    <w:p>
      <w:pPr>
        <w:pStyle w:val="Heading2"/>
      </w:pPr>
      <w:r>
        <w:t xml:space="preserve">Stage 5 — Pursuing</w:t>
      </w:r>
    </w:p>
    <w:p>
      <w:pPr>
        <w:pStyle w:val="FirstParagraph"/>
      </w:pPr>
      <w:r>
        <w:t xml:space="preserve">Business team actively pursuing.</w:t>
      </w:r>
    </w:p>
    <w:p>
      <w:r>
        <w:pict>
          <v:rect style="width:0;height:1.5pt" o:hralign="center" o:hrstd="t" o:hr="t"/>
        </w:pict>
      </w:r>
    </w:p>
    <w:bookmarkEnd w:id="83"/>
    <w:bookmarkStart w:id="84" w:name="stage-6-closed-won"/>
    <w:p>
      <w:pPr>
        <w:pStyle w:val="Heading2"/>
      </w:pPr>
      <w:r>
        <w:t xml:space="preserve">Stage 6 — Closed Won</w:t>
      </w:r>
    </w:p>
    <w:p>
      <w:pPr>
        <w:pStyle w:val="FirstParagraph"/>
      </w:pPr>
      <w:r>
        <w:t xml:space="preserve">Opportunity won.</w:t>
      </w:r>
    </w:p>
    <w:p>
      <w:r>
        <w:pict>
          <v:rect style="width:0;height:1.5pt" o:hralign="center" o:hrstd="t" o:hr="t"/>
        </w:pict>
      </w:r>
    </w:p>
    <w:bookmarkEnd w:id="84"/>
    <w:bookmarkStart w:id="85" w:name="stage-7-closed-lost"/>
    <w:p>
      <w:pPr>
        <w:pStyle w:val="Heading2"/>
      </w:pPr>
      <w:r>
        <w:t xml:space="preserve">Stage 7 — Closed Lost</w:t>
      </w:r>
    </w:p>
    <w:p>
      <w:pPr>
        <w:pStyle w:val="FirstParagraph"/>
      </w:pPr>
      <w:r>
        <w:t xml:space="preserve">Opportunity lost.</w:t>
      </w:r>
    </w:p>
    <w:p>
      <w:r>
        <w:pict>
          <v:rect style="width:0;height:1.5pt" o:hralign="center" o:hrstd="t" o:hr="t"/>
        </w:pict>
      </w:r>
    </w:p>
    <w:bookmarkEnd w:id="85"/>
    <w:bookmarkStart w:id="86" w:name="stage-8-archived"/>
    <w:p>
      <w:pPr>
        <w:pStyle w:val="Heading2"/>
      </w:pPr>
      <w:r>
        <w:t xml:space="preserve">Stage 8 — Archived</w:t>
      </w:r>
    </w:p>
    <w:p>
      <w:pPr>
        <w:pStyle w:val="FirstParagraph"/>
      </w:pPr>
      <w:r>
        <w:t xml:space="preserve">No longer active.</w:t>
      </w:r>
    </w:p>
    <w:p>
      <w:r>
        <w:pict>
          <v:rect style="width:0;height:1.5pt" o:hralign="center" o:hrstd="t" o:hr="t"/>
        </w:pict>
      </w:r>
    </w:p>
    <w:bookmarkEnd w:id="86"/>
    <w:bookmarkEnd w:id="87"/>
    <w:bookmarkStart w:id="95" w:name="weekly-reporting-requirements"/>
    <w:p>
      <w:pPr>
        <w:pStyle w:val="Heading1"/>
      </w:pPr>
      <w:r>
        <w:t xml:space="preserve">4. Weekly Reporting Requirements</w:t>
      </w:r>
    </w:p>
    <w:p>
      <w:pPr>
        <w:pStyle w:val="FirstParagraph"/>
      </w:pPr>
      <w:r>
        <w:t xml:space="preserve">System must generate weekly intelligence report.</w:t>
      </w:r>
    </w:p>
    <w:p>
      <w:r>
        <w:pict>
          <v:rect style="width:0;height:1.5pt" o:hralign="center" o:hrstd="t" o:hr="t"/>
        </w:pict>
      </w:r>
    </w:p>
    <w:bookmarkStart w:id="94" w:name="weekly-summary-must-include"/>
    <w:p>
      <w:pPr>
        <w:pStyle w:val="Heading2"/>
      </w:pPr>
      <w:r>
        <w:t xml:space="preserve">Weekly Summary Must Include</w:t>
      </w:r>
    </w:p>
    <w:bookmarkStart w:id="88" w:name="new-opportunities"/>
    <w:p>
      <w:pPr>
        <w:pStyle w:val="Heading3"/>
      </w:pPr>
      <w:r>
        <w:t xml:space="preserve">New Opportunities</w:t>
      </w:r>
    </w:p>
    <w:p>
      <w:pPr>
        <w:pStyle w:val="FirstParagraph"/>
      </w:pPr>
      <w:r>
        <w:t xml:space="preserve">Detected during current week.</w:t>
      </w:r>
    </w:p>
    <w:bookmarkEnd w:id="88"/>
    <w:bookmarkStart w:id="89" w:name="updated-opportunities"/>
    <w:p>
      <w:pPr>
        <w:pStyle w:val="Heading3"/>
      </w:pPr>
      <w:r>
        <w:t xml:space="preserve">Updated Opportunities</w:t>
      </w:r>
    </w:p>
    <w:p>
      <w:pPr>
        <w:pStyle w:val="FirstParagraph"/>
      </w:pPr>
      <w:r>
        <w:t xml:space="preserve">Changes in existing opportunities.</w:t>
      </w:r>
    </w:p>
    <w:bookmarkEnd w:id="89"/>
    <w:bookmarkStart w:id="90" w:name="high-priority-opportunities"/>
    <w:p>
      <w:pPr>
        <w:pStyle w:val="Heading3"/>
      </w:pPr>
      <w:r>
        <w:t xml:space="preserve">High Priority Opportunities</w:t>
      </w:r>
    </w:p>
    <w:p>
      <w:pPr>
        <w:pStyle w:val="FirstParagraph"/>
      </w:pPr>
      <w:r>
        <w:t xml:space="preserve">Score above threshold.</w:t>
      </w:r>
    </w:p>
    <w:bookmarkEnd w:id="90"/>
    <w:bookmarkStart w:id="91" w:name="regional-trends"/>
    <w:p>
      <w:pPr>
        <w:pStyle w:val="Heading3"/>
      </w:pPr>
      <w:r>
        <w:t xml:space="preserve">Regional Trends</w:t>
      </w:r>
    </w:p>
    <w:p>
      <w:pPr>
        <w:pStyle w:val="FirstParagraph"/>
      </w:pPr>
      <w:r>
        <w:t xml:space="preserve">Opportunity increase/decrease by region.</w:t>
      </w:r>
    </w:p>
    <w:bookmarkEnd w:id="91"/>
    <w:bookmarkStart w:id="92" w:name="standards-trends"/>
    <w:p>
      <w:pPr>
        <w:pStyle w:val="Heading3"/>
      </w:pPr>
      <w:r>
        <w:t xml:space="preserve">Standards Trends</w:t>
      </w:r>
    </w:p>
    <w:p>
      <w:pPr>
        <w:pStyle w:val="FirstParagraph"/>
      </w:pPr>
      <w:r>
        <w:t xml:space="preserve">Adoption of XBRL / SDMX etc.</w:t>
      </w:r>
    </w:p>
    <w:bookmarkEnd w:id="92"/>
    <w:bookmarkStart w:id="93" w:name="emerging-market-signals"/>
    <w:p>
      <w:pPr>
        <w:pStyle w:val="Heading3"/>
      </w:pPr>
      <w:r>
        <w:t xml:space="preserve">Emerging Market Signals</w:t>
      </w:r>
    </w:p>
    <w:p>
      <w:pPr>
        <w:pStyle w:val="FirstParagraph"/>
      </w:pPr>
      <w:r>
        <w:t xml:space="preserve">New countries showing activity.</w:t>
      </w:r>
    </w:p>
    <w:p>
      <w:r>
        <w:pict>
          <v:rect style="width:0;height:1.5pt" o:hralign="center" o:hrstd="t" o:hr="t"/>
        </w:pict>
      </w:r>
    </w:p>
    <w:bookmarkEnd w:id="93"/>
    <w:bookmarkEnd w:id="94"/>
    <w:bookmarkEnd w:id="95"/>
    <w:bookmarkStart w:id="96" w:name="deliverables"/>
    <w:p>
      <w:pPr>
        <w:pStyle w:val="Heading1"/>
      </w:pPr>
      <w:r>
        <w:t xml:space="preserve">5. Deliverables</w:t>
      </w:r>
    </w:p>
    <w:p>
      <w:pPr>
        <w:pStyle w:val="FirstParagraph"/>
      </w:pPr>
      <w:r>
        <w:t xml:space="preserve">The platform must provide:</w:t>
      </w:r>
    </w:p>
    <w:p>
      <w:pPr>
        <w:pStyle w:val="Compact"/>
        <w:numPr>
          <w:ilvl w:val="0"/>
          <w:numId w:val="1048"/>
        </w:numPr>
      </w:pPr>
      <w:r>
        <w:t xml:space="preserve">Web application</w:t>
      </w:r>
    </w:p>
    <w:p>
      <w:pPr>
        <w:pStyle w:val="Compact"/>
        <w:numPr>
          <w:ilvl w:val="0"/>
          <w:numId w:val="1048"/>
        </w:numPr>
      </w:pPr>
      <w:r>
        <w:t xml:space="preserve">AI copilot</w:t>
      </w:r>
    </w:p>
    <w:p>
      <w:pPr>
        <w:pStyle w:val="Compact"/>
        <w:numPr>
          <w:ilvl w:val="0"/>
          <w:numId w:val="1048"/>
        </w:numPr>
      </w:pPr>
      <w:r>
        <w:t xml:space="preserve">Dashboard</w:t>
      </w:r>
    </w:p>
    <w:p>
      <w:pPr>
        <w:pStyle w:val="Compact"/>
        <w:numPr>
          <w:ilvl w:val="0"/>
          <w:numId w:val="1048"/>
        </w:numPr>
      </w:pPr>
      <w:r>
        <w:t xml:space="preserve">Search</w:t>
      </w:r>
    </w:p>
    <w:p>
      <w:pPr>
        <w:pStyle w:val="Compact"/>
        <w:numPr>
          <w:ilvl w:val="0"/>
          <w:numId w:val="1048"/>
        </w:numPr>
      </w:pPr>
      <w:r>
        <w:t xml:space="preserve">Alerts</w:t>
      </w:r>
    </w:p>
    <w:p>
      <w:pPr>
        <w:pStyle w:val="Compact"/>
        <w:numPr>
          <w:ilvl w:val="0"/>
          <w:numId w:val="1048"/>
        </w:numPr>
      </w:pPr>
      <w:r>
        <w:t xml:space="preserve">Weekly reports</w:t>
      </w:r>
    </w:p>
    <w:p>
      <w:pPr>
        <w:pStyle w:val="Compact"/>
        <w:numPr>
          <w:ilvl w:val="0"/>
          <w:numId w:val="1048"/>
        </w:numPr>
      </w:pPr>
      <w:r>
        <w:t xml:space="preserve">Excel exports</w:t>
      </w:r>
    </w:p>
    <w:p>
      <w:pPr>
        <w:pStyle w:val="Compact"/>
        <w:numPr>
          <w:ilvl w:val="0"/>
          <w:numId w:val="1048"/>
        </w:numPr>
      </w:pPr>
      <w:r>
        <w:t xml:space="preserve">Opportunity scoring</w:t>
      </w:r>
    </w:p>
    <w:p>
      <w:pPr>
        <w:pStyle w:val="Compact"/>
        <w:numPr>
          <w:ilvl w:val="0"/>
          <w:numId w:val="1048"/>
        </w:numPr>
      </w:pPr>
      <w:r>
        <w:t xml:space="preserve">Audit trail</w:t>
      </w:r>
    </w:p>
    <w:p>
      <w:r>
        <w:pict>
          <v:rect style="width:0;height:1.5pt" o:hralign="center" o:hrstd="t" o:hr="t"/>
        </w:pict>
      </w:r>
    </w:p>
    <w:bookmarkEnd w:id="96"/>
    <w:bookmarkStart w:id="97" w:name="high-level-functional-modules"/>
    <w:p>
      <w:pPr>
        <w:pStyle w:val="Heading1"/>
      </w:pPr>
      <w:r>
        <w:t xml:space="preserve">6. High-Level Functional Modules</w:t>
      </w:r>
    </w:p>
    <w:p>
      <w:pPr>
        <w:pStyle w:val="FirstParagraph"/>
      </w:pPr>
      <w:r>
        <w:t xml:space="preserve">The platform consists of:</w:t>
      </w:r>
    </w:p>
    <w:p>
      <w:pPr>
        <w:pStyle w:val="Compact"/>
        <w:numPr>
          <w:ilvl w:val="0"/>
          <w:numId w:val="1049"/>
        </w:numPr>
      </w:pPr>
      <w:r>
        <w:t xml:space="preserve">Authentication Module</w:t>
      </w:r>
      <w:r>
        <w:br/>
      </w:r>
    </w:p>
    <w:p>
      <w:pPr>
        <w:pStyle w:val="Compact"/>
        <w:numPr>
          <w:ilvl w:val="0"/>
          <w:numId w:val="1049"/>
        </w:numPr>
      </w:pPr>
      <w:r>
        <w:t xml:space="preserve">Source Discovery Module</w:t>
      </w:r>
      <w:r>
        <w:br/>
      </w:r>
    </w:p>
    <w:p>
      <w:pPr>
        <w:pStyle w:val="Compact"/>
        <w:numPr>
          <w:ilvl w:val="0"/>
          <w:numId w:val="1049"/>
        </w:numPr>
      </w:pPr>
      <w:r>
        <w:t xml:space="preserve">Crawling Engine</w:t>
      </w:r>
      <w:r>
        <w:br/>
      </w:r>
    </w:p>
    <w:p>
      <w:pPr>
        <w:pStyle w:val="Compact"/>
        <w:numPr>
          <w:ilvl w:val="0"/>
          <w:numId w:val="1049"/>
        </w:numPr>
      </w:pPr>
      <w:r>
        <w:t xml:space="preserve">Document Processing Module</w:t>
      </w:r>
      <w:r>
        <w:br/>
      </w:r>
    </w:p>
    <w:p>
      <w:pPr>
        <w:pStyle w:val="Compact"/>
        <w:numPr>
          <w:ilvl w:val="0"/>
          <w:numId w:val="1049"/>
        </w:numPr>
      </w:pPr>
      <w:r>
        <w:t xml:space="preserve">AI Intelligence Engine</w:t>
      </w:r>
      <w:r>
        <w:br/>
      </w:r>
    </w:p>
    <w:p>
      <w:pPr>
        <w:pStyle w:val="Compact"/>
        <w:numPr>
          <w:ilvl w:val="0"/>
          <w:numId w:val="1049"/>
        </w:numPr>
      </w:pPr>
      <w:r>
        <w:t xml:space="preserve">Opportunity Tracker</w:t>
      </w:r>
      <w:r>
        <w:br/>
      </w:r>
    </w:p>
    <w:p>
      <w:pPr>
        <w:pStyle w:val="Compact"/>
        <w:numPr>
          <w:ilvl w:val="0"/>
          <w:numId w:val="1049"/>
        </w:numPr>
      </w:pPr>
      <w:r>
        <w:t xml:space="preserve">Search Engine</w:t>
      </w:r>
      <w:r>
        <w:br/>
      </w:r>
    </w:p>
    <w:p>
      <w:pPr>
        <w:pStyle w:val="Compact"/>
        <w:numPr>
          <w:ilvl w:val="0"/>
          <w:numId w:val="1049"/>
        </w:numPr>
      </w:pPr>
      <w:r>
        <w:t xml:space="preserve">Dashboard</w:t>
      </w:r>
      <w:r>
        <w:br/>
      </w:r>
    </w:p>
    <w:p>
      <w:pPr>
        <w:pStyle w:val="Compact"/>
        <w:numPr>
          <w:ilvl w:val="0"/>
          <w:numId w:val="1049"/>
        </w:numPr>
      </w:pPr>
      <w:r>
        <w:t xml:space="preserve">Reporting Engine</w:t>
      </w:r>
      <w:r>
        <w:br/>
      </w:r>
    </w:p>
    <w:p>
      <w:pPr>
        <w:pStyle w:val="Compact"/>
        <w:numPr>
          <w:ilvl w:val="0"/>
          <w:numId w:val="1049"/>
        </w:numPr>
      </w:pPr>
      <w:r>
        <w:t xml:space="preserve">Notification Engine</w:t>
      </w:r>
      <w:r>
        <w:br/>
      </w:r>
    </w:p>
    <w:p>
      <w:pPr>
        <w:pStyle w:val="Compact"/>
        <w:numPr>
          <w:ilvl w:val="0"/>
          <w:numId w:val="1049"/>
        </w:numPr>
      </w:pPr>
      <w:r>
        <w:t xml:space="preserve">Admin Console</w:t>
      </w:r>
      <w:r>
        <w:br/>
      </w:r>
    </w:p>
    <w:p>
      <w:pPr>
        <w:pStyle w:val="Compact"/>
        <w:numPr>
          <w:ilvl w:val="0"/>
          <w:numId w:val="1049"/>
        </w:numPr>
      </w:pPr>
      <w:r>
        <w:t xml:space="preserve">Audit &amp; Governance Module</w:t>
      </w:r>
    </w:p>
    <w:p>
      <w:r>
        <w:pict>
          <v:rect style="width:0;height:1.5pt" o:hralign="center" o:hrstd="t" o:hr="t"/>
        </w:pic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2026-06-15T06:19:39Z</dcterms:created>
  <dcterms:modified xsi:type="dcterms:W3CDTF">2026-06-15T06:19:39Z</dcterms:modified>
</cp:coreProperties>
</file>

<file path=docProps/custom.xml><?xml version="1.0" encoding="utf-8"?>
<Properties xmlns="http://schemas.openxmlformats.org/officeDocument/2006/custom-properties" xmlns:vt="http://schemas.openxmlformats.org/officeDocument/2006/docPropsVTypes"/>
</file>