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mo="http://schemas.microsoft.com/office/mac/office/2008/main" xmlns:wpc="http://schemas.microsoft.com/office/word/2010/wordprocessingCanvas" xmlns:cx="http://schemas.microsoft.com/office/drawing/2014/chartex" xmlns:cx1="http://schemas.microsoft.com/office/drawing/2015/9/8/chartex"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ve:Ignorable="mv w14 w15 w16se wp14" ve:PreserveAttributes="mv:*">
  <w:body>
    <w:tbl>
      <w:tblPr>
        <w:tblW w:w="10000" w:type="dxa"/>
        <w:tblBorders>
          <w:top w:val="single" w:sz="12" w:color="000000"/>
          <w:left w:val="single" w:sz="12" w:color="000000"/>
          <w:bottom w:val="single" w:sz="12" w:color="000000"/>
          <w:right w:val="single" w:sz="12" w:color="000000"/>
          <w:insideH w:val="none" w:sz="0" w:color="FFFFFF"/>
          <w:insideV w:val="none" w:sz="0" w:color="FFFFFF"/>
        </w:tblBorders>
        <w:tblLayout w:type="fixed"/>
      </w:tblPr>
      <w:tblGrid>
        <w:gridCol w:w="10000"/>
      </w:tblGrid>
      <w:tr>
        <w:tc>
          <w:tcPr>
            <w:tcW w:w="10000" w:type="dxa"/>
            <w:tcMar>
              <w:top w:w="60" w:type="dxa"/>
              <w:left w:w="100" w:type="dxa"/>
              <w:bottom w:w="60" w:type="dxa"/>
              <w:right w:w="100" w:type="dxa"/>
            </w:tcMar>
            <w:gridSpan w:val="1"/>
          </w:tcPr>
          <w:p>
            <w:pPr>
              <w:spacing w:after="120"/>
              <w:jc w:val="center"/>
            </w:pPr>
            <w:r>
              <w:rPr>
                <w:rFonts w:hAnsi="Times New Roman" w:ascii="Times New Roman" w:eastAsia="Times New Roman" w:cs="Times New Roman"/>
                <w:b/>
                <w:bCs/>
                <w:i w:val="0"/>
                <w:strike w:val="0"/>
                <w:dstrike w:val="0"/>
                <w:emboss w:val="0"/>
                <w:imprint w:val="0"/>
                <w:outline w:val="0"/>
                <w:shadow w:val="0"/>
                <w:sz w:val="24"/>
                <w:szCs w:val="24"/>
                <w:u w:val="single"/>
              </w:rPr>
              <w:t>Department of Artificial Intelligence &amp; Data Science</w:t>
            </w:r>
          </w:p>
          <w:p>
            <w:pPr>
              <w:spacing w:after="40"/>
            </w:pPr>
            <w:r>
              <w:rPr>
                <w:rFonts w:hAnsi="Times New Roman" w:ascii="Times New Roman" w:eastAsia="Times New Roman" w:cs="Times New Roman"/>
                <w:b/>
                <w:bCs/>
                <w:i w:val="0"/>
                <w:strike w:val="0"/>
                <w:dstrike w:val="0"/>
                <w:emboss w:val="0"/>
                <w:imprint w:val="0"/>
                <w:outline w:val="0"/>
                <w:shadow w:val="0"/>
                <w:sz w:val="22"/>
                <w:szCs w:val="22"/>
                <w:u w:val="none"/>
              </w:rPr>
              <w:t>Program name :- Artificial Intelligence &amp; Data Science        Class: S.Y. B. Tech   Div:- B</w:t>
            </w:r>
          </w:p>
          <w:p>
            <w:pPr>
              <w:spacing w:after="40"/>
            </w:pPr>
            <w:r>
              <w:rPr>
                <w:rFonts w:hAnsi="Times New Roman" w:ascii="Times New Roman" w:eastAsia="Times New Roman" w:cs="Times New Roman"/>
                <w:b/>
                <w:bCs/>
                <w:i w:val="0"/>
                <w:strike w:val="0"/>
                <w:dstrike w:val="0"/>
                <w:emboss w:val="0"/>
                <w:imprint w:val="0"/>
                <w:outline w:val="0"/>
                <w:shadow w:val="0"/>
                <w:sz w:val="22"/>
                <w:szCs w:val="22"/>
                <w:u w:val="none"/>
              </w:rPr>
              <w:t>Name of Student: Siddhesh Ashok Tavhare     Batch:- ____</w:t>
            </w:r>
          </w:p>
          <w:p>
            <w:pPr>
              <w:spacing w:after="40"/>
            </w:pPr>
            <w:r>
              <w:rPr>
                <w:rFonts w:hAnsi="Times New Roman" w:ascii="Times New Roman" w:eastAsia="Times New Roman" w:cs="Times New Roman"/>
                <w:b/>
                <w:bCs/>
                <w:i w:val="0"/>
                <w:strike w:val="0"/>
                <w:dstrike w:val="0"/>
                <w:emboss w:val="0"/>
                <w:imprint w:val="0"/>
                <w:outline w:val="0"/>
                <w:shadow w:val="0"/>
                <w:sz w:val="22"/>
                <w:szCs w:val="22"/>
                <w:u w:val="none"/>
              </w:rPr>
              <w:t xml:space="preserve">   Course Name:- Digital Finance</w:t>
            </w:r>
          </w:p>
          <w:p>
            <w:pPr>
              <w:spacing w:after="40"/>
            </w:pPr>
            <w:r>
              <w:rPr>
                <w:rFonts w:hAnsi="Times New Roman" w:ascii="Times New Roman" w:eastAsia="Times New Roman" w:cs="Times New Roman"/>
                <w:b/>
                <w:bCs/>
                <w:i w:val="0"/>
                <w:strike w:val="0"/>
                <w:dstrike w:val="0"/>
                <w:emboss w:val="0"/>
                <w:imprint w:val="0"/>
                <w:outline w:val="0"/>
                <w:shadow w:val="0"/>
                <w:sz w:val="22"/>
                <w:szCs w:val="22"/>
                <w:u w:val="none"/>
              </w:rPr>
              <w:t>PRN No :- 251121115   Roll No:- 22255     Sem :- 3rd   Course :- BFSI ( Online )</w:t>
            </w:r>
          </w:p>
        </w:tc>
      </w:tr>
    </w:tbl>
    <w:p>
      <w:pPr>
        <w:spacing w:before="300" w:after="200"/>
      </w:pPr>
    </w:p>
    <w:tbl>
      <w:tblPr>
        <w:tblW w:w="10000" w:type="dxa"/>
        <w:tblBorders>
          <w:top w:val="single" w:sz="4" w:color="auto"/>
          <w:left w:val="single" w:sz="4" w:color="auto"/>
          <w:bottom w:val="single" w:sz="4" w:color="auto"/>
          <w:right w:val="single" w:sz="4" w:color="auto"/>
          <w:insideH w:val="single" w:sz="4" w:color="auto"/>
          <w:insideV w:val="single" w:sz="4" w:color="auto"/>
        </w:tblBorders>
        <w:tblLayout w:type="fixed"/>
      </w:tblPr>
      <w:tblGrid>
        <w:gridCol w:w="5000"/>
        <w:gridCol w:w="5000"/>
      </w:tblGrid>
      <w:tr>
        <w:tc>
          <w:tcPr>
            <w:tcW w:w="5000" w:type="dxa"/>
            <w:tcBorders>
              <w:top w:val="none" w:sz="0" w:color="FFFFFF"/>
              <w:left w:val="none" w:sz="0" w:color="FFFFFF"/>
              <w:bottom w:val="none" w:sz="0" w:color="FFFFFF"/>
              <w:right w:val="none" w:sz="0" w:color="FFFFFF"/>
            </w:tcBorders>
          </w:tcPr>
          <w:p>
            <w:r>
              <w:rPr>
                <w:rFonts w:ascii="Times New Roman"/>
                <w:b w:val="0"/>
                <w:i w:val="0"/>
                <w:strike w:val="0"/>
                <w:dstrike w:val="0"/>
                <w:emboss w:val="0"/>
                <w:imprint w:val="0"/>
                <w:outline w:val="0"/>
                <w:shadow w:val="0"/>
                <w:sz w:val="20"/>
                <w:szCs w:val="20"/>
                <w:u w:val="none"/>
              </w:rPr>
              <w:drawing>
                <wp:inline>
                  <wp:extent cx="1171575" cy="752479"/>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171575" cy="752475"/>
                          </a:xfrm>
                          <a:prstGeom prst="rect">
                            <a:avLst/>
                          </a:prstGeom>
                        </pic:spPr>
                      </pic:pic>
                    </a:graphicData>
                  </a:graphic>
                </wp:inline>
              </w:drawing>
            </w:r>
          </w:p>
        </w:tc>
        <w:tc>
          <w:tcPr>
            <w:tcW w:w="5000" w:type="dxa"/>
            <w:tcBorders>
              <w:top w:val="none" w:sz="0" w:color="FFFFFF"/>
              <w:left w:val="none" w:sz="0" w:color="FFFFFF"/>
              <w:bottom w:val="none" w:sz="0" w:color="FFFFFF"/>
              <w:right w:val="none" w:sz="0" w:color="FFFFFF"/>
            </w:tcBorders>
          </w:tcPr>
          <w:p>
            <w:pPr>
              <w:jc w:val="right"/>
            </w:pPr>
            <w:r>
              <w:rPr>
                <w:rFonts w:ascii="Times New Roman"/>
                <w:b w:val="0"/>
                <w:i w:val="0"/>
                <w:strike w:val="0"/>
                <w:dstrike w:val="0"/>
                <w:emboss w:val="0"/>
                <w:imprint w:val="0"/>
                <w:outline w:val="0"/>
                <w:shadow w:val="0"/>
                <w:sz w:val="20"/>
                <w:szCs w:val="20"/>
                <w:u w:val="none"/>
              </w:rPr>
              <w:drawing>
                <wp:inline>
                  <wp:extent cx="1371600" cy="67627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71600" cy="676275"/>
                          </a:xfrm>
                          <a:prstGeom prst="rect">
                            <a:avLst/>
                          </a:prstGeom>
                        </pic:spPr>
                      </pic:pic>
                    </a:graphicData>
                  </a:graphic>
                </wp:inline>
              </w:drawing>
            </w:r>
          </w:p>
        </w:tc>
      </w:tr>
    </w:tbl>
    <w:p>
      <w:pPr>
        <w:spacing w:before="160" w:after="300"/>
        <w:jc w:val="center"/>
      </w:pPr>
      <w:r>
        <w:rPr>
          <w:rFonts w:hAnsi="Times New Roman" w:ascii="Times New Roman" w:eastAsia="Times New Roman" w:cs="Times New Roman"/>
          <w:b/>
          <w:bCs/>
          <w:i w:val="0"/>
          <w:strike w:val="0"/>
          <w:dstrike w:val="0"/>
          <w:emboss w:val="0"/>
          <w:imprint w:val="0"/>
          <w:outline w:val="0"/>
          <w:shadow w:val="0"/>
          <w:sz w:val="22"/>
          <w:szCs w:val="22"/>
          <w:u w:val="none"/>
        </w:rPr>
        <w:t xml:space="preserve">SMARTBRIDGE</w:t>
      </w:r>
      <w:r>
        <w:rPr>
          <w:rFonts w:hAnsi="Times New Roman" w:ascii="Times New Roman" w:eastAsia="Times New Roman" w:cs="Times New Roman"/>
          <w:b w:val="0"/>
          <w:i w:val="0"/>
          <w:strike w:val="0"/>
          <w:dstrike w:val="0"/>
          <w:emboss w:val="0"/>
          <w:imprint w:val="0"/>
          <w:outline w:val="0"/>
          <w:shadow w:val="0"/>
          <w:sz w:val="22"/>
          <w:szCs w:val="22"/>
          <w:u w:val="none"/>
        </w:rPr>
        <w:t xml:space="preserve">    |    </w:t>
      </w:r>
      <w:r>
        <w:rPr>
          <w:rFonts w:hAnsi="Times New Roman" w:ascii="Times New Roman" w:eastAsia="Times New Roman" w:cs="Times New Roman"/>
          <w:b/>
          <w:bCs/>
          <w:i w:val="0"/>
          <w:strike w:val="0"/>
          <w:dstrike w:val="0"/>
          <w:emboss w:val="0"/>
          <w:imprint w:val="0"/>
          <w:outline w:val="0"/>
          <w:shadow w:val="0"/>
          <w:sz w:val="22"/>
          <w:szCs w:val="22"/>
          <w:u w:val="none"/>
        </w:rPr>
        <w:t xml:space="preserve">SKILLWALLET</w:t>
      </w:r>
    </w:p>
    <w:p>
      <w:pPr>
        <w:spacing w:after="300"/>
        <w:jc w:val="center"/>
      </w:pPr>
      <w:r>
        <w:rPr>
          <w:rFonts w:hAnsi="Times New Roman" w:ascii="Times New Roman" w:eastAsia="Times New Roman" w:cs="Times New Roman"/>
          <w:b/>
          <w:bCs/>
          <w:i w:val="0"/>
          <w:strike w:val="0"/>
          <w:dstrike w:val="0"/>
          <w:emboss w:val="0"/>
          <w:imprint w:val="0"/>
          <w:outline w:val="0"/>
          <w:shadow w:val="0"/>
          <w:sz w:val="32"/>
          <w:szCs w:val="32"/>
          <w:u w:val="none"/>
        </w:rPr>
        <w:t>LoanAI – Financial Decision Support</w:t>
      </w:r>
    </w:p>
    <w:p>
      <w:pPr>
        <w:spacing w:before="260" w:after="120"/>
      </w:pPr>
      <w:r>
        <w:rPr>
          <w:rFonts w:hAnsi="Times New Roman" w:ascii="Times New Roman" w:eastAsia="Times New Roman" w:cs="Times New Roman"/>
          <w:b/>
          <w:bCs/>
          <w:i w:val="0"/>
          <w:strike w:val="0"/>
          <w:dstrike w:val="0"/>
          <w:emboss w:val="0"/>
          <w:imprint w:val="0"/>
          <w:outline w:val="0"/>
          <w:shadow w:val="0"/>
          <w:sz w:val="24"/>
          <w:szCs w:val="24"/>
          <w:u w:val="none"/>
        </w:rPr>
        <w:t xml:space="preserve">Project Description :-</w:t>
      </w:r>
    </w:p>
    <w:p>
      <w:pPr>
        <w:spacing w:after="160"/>
        <w:jc w:val="both"/>
      </w:pPr>
      <w:r>
        <w:rPr>
          <w:rFonts w:hAnsi="Times New Roman" w:ascii="Times New Roman" w:eastAsia="Times New Roman" w:cs="Times New Roman"/>
          <w:b w:val="0"/>
          <w:i w:val="0"/>
          <w:strike w:val="0"/>
          <w:dstrike w:val="0"/>
          <w:emboss w:val="0"/>
          <w:imprint w:val="0"/>
          <w:outline w:val="0"/>
          <w:shadow w:val="0"/>
          <w:sz w:val="22"/>
          <w:szCs w:val="22"/>
          <w:u w:val="none"/>
        </w:rPr>
        <w:t>LoanAI is a modern fintech decision-support web platform designed to help borrowers make smarter financial decisions. Presented as a next-generation BFSI financial intelligence prototype, it combines four integrated decision engines: loan eligibility assessment, credit score analysis, EMI calculation and AI-based financial guidance, all within a single dashboard-style interface.</w:t>
      </w:r>
    </w:p>
    <w:p>
      <w:pPr>
        <w:spacing w:after="160"/>
        <w:jc w:val="both"/>
      </w:pPr>
      <w:r>
        <w:rPr>
          <w:rFonts w:hAnsi="Times New Roman" w:ascii="Times New Roman" w:eastAsia="Times New Roman" w:cs="Times New Roman"/>
          <w:b w:val="0"/>
          <w:i w:val="0"/>
          <w:strike w:val="0"/>
          <w:dstrike w:val="0"/>
          <w:emboss w:val="0"/>
          <w:imprint w:val="0"/>
          <w:outline w:val="0"/>
          <w:shadow w:val="0"/>
          <w:sz w:val="22"/>
          <w:szCs w:val="22"/>
          <w:u w:val="none"/>
        </w:rPr>
        <w:t>The platform evaluates loan eligibility using deterministic underwriting rules such as FOIR and DTI ratios, debt-service coverage and maximum borrowing capacity. It diagnoses credit health through a CIBIL/FICO-style analyzer covering payment history, credit utilization and trade-line age, and calculates reducing-balance EMIs with interactive charts, amortization tables and prepayment savings analysis.</w:t>
      </w:r>
    </w:p>
    <w:p>
      <w:pPr>
        <w:spacing w:after="160"/>
        <w:jc w:val="both"/>
      </w:pPr>
      <w:r>
        <w:rPr>
          <w:rFonts w:hAnsi="Times New Roman" w:ascii="Times New Roman" w:eastAsia="Times New Roman" w:cs="Times New Roman"/>
          <w:b w:val="0"/>
          <w:i w:val="0"/>
          <w:strike w:val="0"/>
          <w:dstrike w:val="0"/>
          <w:emboss w:val="0"/>
          <w:imprint w:val="0"/>
          <w:outline w:val="0"/>
          <w:shadow w:val="0"/>
          <w:sz w:val="22"/>
          <w:szCs w:val="22"/>
          <w:u w:val="none"/>
        </w:rPr>
        <w:t>The AI Financial Tips module is prepared for Anthropic Claude integration, using a contextual generative engine to deliver tailored 30/60/90-day advisory roadmaps and financial stress testing. The application uses a clean, dark-themed responsive interface with simple navigation (Home, Loan Eligibility, Credit Score, EMI Calculator, AI Financial Tips), so users can move between tools easily and receive guidance grounded in transparent institutional rules.</w:t>
      </w:r>
    </w:p>
    <w:p>
      <w:pPr>
        <w:spacing w:before="260" w:after="120"/>
      </w:pPr>
      <w:r>
        <w:rPr>
          <w:rFonts w:hAnsi="Times New Roman" w:ascii="Times New Roman" w:eastAsia="Times New Roman" w:cs="Times New Roman"/>
          <w:b/>
          <w:bCs/>
          <w:i w:val="0"/>
          <w:strike w:val="0"/>
          <w:dstrike w:val="0"/>
          <w:emboss w:val="0"/>
          <w:imprint w:val="0"/>
          <w:outline w:val="0"/>
          <w:shadow w:val="0"/>
          <w:sz w:val="24"/>
          <w:szCs w:val="24"/>
          <w:u w:val="none"/>
        </w:rPr>
        <w:t xml:space="preserve">Technology &amp; AI :-</w:t>
      </w:r>
    </w:p>
    <w:p>
      <w:pPr>
        <w:spacing w:after="160"/>
        <w:jc w:val="both"/>
      </w:pPr>
      <w:r>
        <w:rPr>
          <w:rFonts w:hAnsi="Times New Roman" w:ascii="Times New Roman" w:eastAsia="Times New Roman" w:cs="Times New Roman"/>
          <w:b w:val="0"/>
          <w:i w:val="0"/>
          <w:strike w:val="0"/>
          <w:dstrike w:val="0"/>
          <w:emboss w:val="0"/>
          <w:imprint w:val="0"/>
          <w:outline w:val="0"/>
          <w:shadow w:val="0"/>
          <w:sz w:val="22"/>
          <w:szCs w:val="22"/>
          <w:u w:val="none"/>
        </w:rPr>
        <w:t>Frontend: Responsive dark-themed web interface with interactive SVG donut charts and what-if simulators</w:t>
      </w:r>
    </w:p>
    <w:p>
      <w:pPr>
        <w:spacing w:after="160"/>
        <w:jc w:val="both"/>
      </w:pPr>
      <w:r>
        <w:rPr>
          <w:rFonts w:hAnsi="Times New Roman" w:ascii="Times New Roman" w:eastAsia="Times New Roman" w:cs="Times New Roman"/>
          <w:b w:val="0"/>
          <w:i w:val="0"/>
          <w:strike w:val="0"/>
          <w:dstrike w:val="0"/>
          <w:emboss w:val="0"/>
          <w:imprint w:val="0"/>
          <w:outline w:val="0"/>
          <w:shadow w:val="0"/>
          <w:sz w:val="22"/>
          <w:szCs w:val="22"/>
          <w:u w:val="none"/>
        </w:rPr>
        <w:t>Backend / Logic: Rule-based underwriting engine for FOIR/DTI checks, debt-service coverage and borrowing capacity</w:t>
      </w:r>
    </w:p>
    <w:p>
      <w:pPr>
        <w:spacing w:after="160"/>
        <w:jc w:val="both"/>
      </w:pPr>
      <w:r>
        <w:rPr>
          <w:rFonts w:hAnsi="Times New Roman" w:ascii="Times New Roman" w:eastAsia="Times New Roman" w:cs="Times New Roman"/>
          <w:b w:val="0"/>
          <w:i w:val="0"/>
          <w:strike w:val="0"/>
          <w:dstrike w:val="0"/>
          <w:emboss w:val="0"/>
          <w:imprint w:val="0"/>
          <w:outline w:val="0"/>
          <w:shadow w:val="0"/>
          <w:sz w:val="22"/>
          <w:szCs w:val="22"/>
          <w:u w:val="none"/>
        </w:rPr>
        <w:t>Credit Analysis: CIBIL/FICO-style diagnostic using payment history, credit utilization and trade-line age</w:t>
      </w:r>
    </w:p>
    <w:p>
      <w:pPr>
        <w:spacing w:after="160"/>
        <w:jc w:val="both"/>
      </w:pPr>
      <w:r>
        <w:rPr>
          <w:rFonts w:hAnsi="Times New Roman" w:ascii="Times New Roman" w:eastAsia="Times New Roman" w:cs="Times New Roman"/>
          <w:b w:val="0"/>
          <w:i w:val="0"/>
          <w:strike w:val="0"/>
          <w:dstrike w:val="0"/>
          <w:emboss w:val="0"/>
          <w:imprint w:val="0"/>
          <w:outline w:val="0"/>
          <w:shadow w:val="0"/>
          <w:sz w:val="22"/>
          <w:szCs w:val="22"/>
          <w:u w:val="none"/>
        </w:rPr>
        <w:t>EMI Engine: Reducing-balance interest calculation with annual amortization tables and prepayment savings analysis</w:t>
      </w:r>
    </w:p>
    <w:p>
      <w:pPr>
        <w:spacing w:after="160"/>
        <w:jc w:val="both"/>
      </w:pPr>
      <w:r>
        <w:rPr>
          <w:rFonts w:hAnsi="Times New Roman" w:ascii="Times New Roman" w:eastAsia="Times New Roman" w:cs="Times New Roman"/>
          <w:b w:val="0"/>
          <w:i w:val="0"/>
          <w:strike w:val="0"/>
          <w:dstrike w:val="0"/>
          <w:emboss w:val="0"/>
          <w:imprint w:val="0"/>
          <w:outline w:val="0"/>
          <w:shadow w:val="0"/>
          <w:sz w:val="22"/>
          <w:szCs w:val="22"/>
          <w:u w:val="none"/>
        </w:rPr>
        <w:t>AI Integration: Anthropic Claude-ready contextual engine for 30/60/90-day roadmaps and stress testing</w:t>
      </w:r>
    </w:p>
    <w:p>
      <w:pPr>
        <w:spacing w:after="160"/>
        <w:jc w:val="both"/>
      </w:pPr>
      <w:r>
        <w:rPr>
          <w:rFonts w:hAnsi="Times New Roman" w:ascii="Times New Roman" w:eastAsia="Times New Roman" w:cs="Times New Roman"/>
          <w:b w:val="0"/>
          <w:i w:val="0"/>
          <w:strike w:val="0"/>
          <w:dstrike w:val="0"/>
          <w:emboss w:val="0"/>
          <w:imprint w:val="0"/>
          <w:outline w:val="0"/>
          <w:shadow w:val="0"/>
          <w:sz w:val="22"/>
          <w:szCs w:val="22"/>
          <w:u w:val="none"/>
        </w:rPr>
        <w:t>Domain: BFSI (Banking, Financial Services &amp; Insurance) decision support</w:t>
      </w:r>
    </w:p>
    <w:p>
      <w:pPr>
        <w:spacing w:before="260" w:after="120"/>
      </w:pPr>
      <w:r>
        <w:rPr>
          <w:rFonts w:hAnsi="Times New Roman" w:ascii="Times New Roman" w:eastAsia="Times New Roman" w:cs="Times New Roman"/>
          <w:b/>
          <w:bCs/>
          <w:i w:val="0"/>
          <w:strike w:val="0"/>
          <w:dstrike w:val="0"/>
          <w:emboss w:val="0"/>
          <w:imprint w:val="0"/>
          <w:outline w:val="0"/>
          <w:shadow w:val="0"/>
          <w:sz w:val="24"/>
          <w:szCs w:val="24"/>
          <w:u w:val="none"/>
        </w:rPr>
        <w:t xml:space="preserve">Key Features :-</w:t>
      </w:r>
    </w:p>
    <w:p>
      <w:pPr>
        <w:pStyle w:val="ListParagraph"/>
        <w:numPr>
          <w:ilvl w:val="0"/>
          <w:numId w:val="2"/>
        </w:numPr>
        <w:spacing w:after="80"/>
      </w:pPr>
      <w:r>
        <w:rPr>
          <w:rFonts w:hAnsi="Times New Roman" w:ascii="Times New Roman" w:eastAsia="Times New Roman" w:cs="Times New Roman"/>
          <w:b w:val="0"/>
          <w:i w:val="0"/>
          <w:strike w:val="0"/>
          <w:dstrike w:val="0"/>
          <w:emboss w:val="0"/>
          <w:imprint w:val="0"/>
          <w:outline w:val="0"/>
          <w:shadow w:val="0"/>
          <w:sz w:val="22"/>
          <w:szCs w:val="22"/>
          <w:u w:val="none"/>
        </w:rPr>
        <w:t>Loan Eligibility Checker using deterministic FOIR/DTI assessment</w:t>
      </w:r>
    </w:p>
    <w:p>
      <w:pPr>
        <w:pStyle w:val="ListParagraph"/>
        <w:numPr>
          <w:ilvl w:val="0"/>
          <w:numId w:val="2"/>
        </w:numPr>
        <w:spacing w:after="80"/>
      </w:pPr>
      <w:r>
        <w:rPr>
          <w:rFonts w:hAnsi="Times New Roman" w:ascii="Times New Roman" w:eastAsia="Times New Roman" w:cs="Times New Roman"/>
          <w:b w:val="0"/>
          <w:i w:val="0"/>
          <w:strike w:val="0"/>
          <w:dstrike w:val="0"/>
          <w:emboss w:val="0"/>
          <w:imprint w:val="0"/>
          <w:outline w:val="0"/>
          <w:shadow w:val="0"/>
          <w:sz w:val="22"/>
          <w:szCs w:val="22"/>
          <w:u w:val="none"/>
        </w:rPr>
        <w:t>Debt-service coverage ratio and maximum borrowing capacity classification</w:t>
      </w:r>
    </w:p>
    <w:p>
      <w:pPr>
        <w:pStyle w:val="ListParagraph"/>
        <w:numPr>
          <w:ilvl w:val="0"/>
          <w:numId w:val="2"/>
        </w:numPr>
        <w:spacing w:after="80"/>
      </w:pPr>
      <w:r>
        <w:rPr>
          <w:rFonts w:hAnsi="Times New Roman" w:ascii="Times New Roman" w:eastAsia="Times New Roman" w:cs="Times New Roman"/>
          <w:b w:val="0"/>
          <w:i w:val="0"/>
          <w:strike w:val="0"/>
          <w:dstrike w:val="0"/>
          <w:emboss w:val="0"/>
          <w:imprint w:val="0"/>
          <w:outline w:val="0"/>
          <w:shadow w:val="0"/>
          <w:sz w:val="22"/>
          <w:szCs w:val="22"/>
          <w:u w:val="none"/>
        </w:rPr>
        <w:t>Credit Score Analyzer (CIBIL/FICO) covering payment history, utilization and trade-line age</w:t>
      </w:r>
    </w:p>
    <w:p>
      <w:pPr>
        <w:pStyle w:val="ListParagraph"/>
        <w:numPr>
          <w:ilvl w:val="0"/>
          <w:numId w:val="2"/>
        </w:numPr>
        <w:spacing w:after="80"/>
      </w:pPr>
      <w:r>
        <w:rPr>
          <w:rFonts w:hAnsi="Times New Roman" w:ascii="Times New Roman" w:eastAsia="Times New Roman" w:cs="Times New Roman"/>
          <w:b w:val="0"/>
          <w:i w:val="0"/>
          <w:strike w:val="0"/>
          <w:dstrike w:val="0"/>
          <w:emboss w:val="0"/>
          <w:imprint w:val="0"/>
          <w:outline w:val="0"/>
          <w:shadow w:val="0"/>
          <w:sz w:val="22"/>
          <w:szCs w:val="22"/>
          <w:u w:val="none"/>
        </w:rPr>
        <w:t>Interactive what-if credit score simulations</w:t>
      </w:r>
    </w:p>
    <w:p>
      <w:pPr>
        <w:pStyle w:val="ListParagraph"/>
        <w:numPr>
          <w:ilvl w:val="0"/>
          <w:numId w:val="2"/>
        </w:numPr>
        <w:spacing w:after="80"/>
      </w:pPr>
      <w:r>
        <w:rPr>
          <w:rFonts w:hAnsi="Times New Roman" w:ascii="Times New Roman" w:eastAsia="Times New Roman" w:cs="Times New Roman"/>
          <w:b w:val="0"/>
          <w:i w:val="0"/>
          <w:strike w:val="0"/>
          <w:dstrike w:val="0"/>
          <w:emboss w:val="0"/>
          <w:imprint w:val="0"/>
          <w:outline w:val="0"/>
          <w:shadow w:val="0"/>
          <w:sz w:val="22"/>
          <w:szCs w:val="22"/>
          <w:u w:val="none"/>
        </w:rPr>
        <w:t>EMI Calculator based on reducing-balance interest with real-time interactive SVG donut charts</w:t>
      </w:r>
    </w:p>
    <w:p>
      <w:pPr>
        <w:pStyle w:val="ListParagraph"/>
        <w:numPr>
          <w:ilvl w:val="0"/>
          <w:numId w:val="2"/>
        </w:numPr>
        <w:spacing w:after="80"/>
      </w:pPr>
      <w:r>
        <w:rPr>
          <w:rFonts w:hAnsi="Times New Roman" w:ascii="Times New Roman" w:eastAsia="Times New Roman" w:cs="Times New Roman"/>
          <w:b w:val="0"/>
          <w:i w:val="0"/>
          <w:strike w:val="0"/>
          <w:dstrike w:val="0"/>
          <w:emboss w:val="0"/>
          <w:imprint w:val="0"/>
          <w:outline w:val="0"/>
          <w:shadow w:val="0"/>
          <w:sz w:val="22"/>
          <w:szCs w:val="22"/>
          <w:u w:val="none"/>
        </w:rPr>
        <w:t>Annual amortization tables and prepayment savings analysis</w:t>
      </w:r>
    </w:p>
    <w:p>
      <w:pPr>
        <w:pStyle w:val="ListParagraph"/>
        <w:numPr>
          <w:ilvl w:val="0"/>
          <w:numId w:val="2"/>
        </w:numPr>
        <w:spacing w:after="80"/>
      </w:pPr>
      <w:r>
        <w:rPr>
          <w:rFonts w:hAnsi="Times New Roman" w:ascii="Times New Roman" w:eastAsia="Times New Roman" w:cs="Times New Roman"/>
          <w:b w:val="0"/>
          <w:i w:val="0"/>
          <w:strike w:val="0"/>
          <w:dstrike w:val="0"/>
          <w:emboss w:val="0"/>
          <w:imprint w:val="0"/>
          <w:outline w:val="0"/>
          <w:shadow w:val="0"/>
          <w:sz w:val="22"/>
          <w:szCs w:val="22"/>
          <w:u w:val="none"/>
        </w:rPr>
        <w:t>AI Financial Tips with contextual 30/60/90-day advisory roadmaps and stress testing</w:t>
      </w:r>
    </w:p>
    <w:p>
      <w:pPr>
        <w:pStyle w:val="ListParagraph"/>
        <w:numPr>
          <w:ilvl w:val="0"/>
          <w:numId w:val="2"/>
        </w:numPr>
        <w:spacing w:after="80"/>
      </w:pPr>
      <w:r>
        <w:rPr>
          <w:rFonts w:hAnsi="Times New Roman" w:ascii="Times New Roman" w:eastAsia="Times New Roman" w:cs="Times New Roman"/>
          <w:b w:val="0"/>
          <w:i w:val="0"/>
          <w:strike w:val="0"/>
          <w:dstrike w:val="0"/>
          <w:emboss w:val="0"/>
          <w:imprint w:val="0"/>
          <w:outline w:val="0"/>
          <w:shadow w:val="0"/>
          <w:sz w:val="22"/>
          <w:szCs w:val="22"/>
          <w:u w:val="none"/>
        </w:rPr>
        <w:t>Modern responsive dark-themed interface with easy navigation and quick-action buttons</w:t>
      </w:r>
    </w:p>
    <w:p>
      <w:pPr>
        <w:spacing w:before="260" w:after="120"/>
      </w:pPr>
      <w:r>
        <w:rPr>
          <w:rFonts w:hAnsi="Times New Roman" w:ascii="Times New Roman" w:eastAsia="Times New Roman" w:cs="Times New Roman"/>
          <w:b/>
          <w:bCs/>
          <w:i w:val="0"/>
          <w:strike w:val="0"/>
          <w:dstrike w:val="0"/>
          <w:emboss w:val="0"/>
          <w:imprint w:val="0"/>
          <w:outline w:val="0"/>
          <w:shadow w:val="0"/>
          <w:sz w:val="24"/>
          <w:szCs w:val="24"/>
          <w:u w:val="none"/>
        </w:rPr>
        <w:t xml:space="preserve">Scenarios :-</w:t>
      </w:r>
    </w:p>
    <w:p>
      <w:pPr>
        <w:spacing w:after="160"/>
        <w:jc w:val="both"/>
      </w:pPr>
      <w:r>
        <w:rPr>
          <w:rFonts w:hAnsi="Times New Roman" w:ascii="Times New Roman" w:eastAsia="Times New Roman" w:cs="Times New Roman"/>
          <w:b/>
          <w:bCs/>
          <w:i w:val="0"/>
          <w:strike w:val="0"/>
          <w:dstrike w:val="0"/>
          <w:emboss w:val="0"/>
          <w:imprint w:val="0"/>
          <w:outline w:val="0"/>
          <w:shadow w:val="0"/>
          <w:sz w:val="22"/>
          <w:szCs w:val="22"/>
          <w:u w:val="none"/>
        </w:rPr>
        <w:t>Scenario 1: A borrower opens LoanAI and enters income, obligations and loan details in the Loan Eligibility Checker. The system calculates FOIR/DTI ratios and shows whether the loan is likely to be approved and the maximum amount that can be borrowed.</w:t>
      </w:r>
    </w:p>
    <w:p>
      <w:pPr>
        <w:spacing w:after="160"/>
        <w:jc w:val="both"/>
      </w:pPr>
      <w:r>
        <w:rPr>
          <w:rFonts w:hAnsi="Times New Roman" w:ascii="Times New Roman" w:eastAsia="Times New Roman" w:cs="Times New Roman"/>
          <w:b/>
          <w:bCs/>
          <w:i w:val="0"/>
          <w:strike w:val="0"/>
          <w:dstrike w:val="0"/>
          <w:emboss w:val="0"/>
          <w:imprint w:val="0"/>
          <w:outline w:val="0"/>
          <w:shadow w:val="0"/>
          <w:sz w:val="22"/>
          <w:szCs w:val="22"/>
          <w:u w:val="none"/>
        </w:rPr>
        <w:t>Scenario 2: A user opens the Credit Score Analyzer to review payment history, credit utilization and trade-line age. Using the what-if simulator, the user sees how changes in behavior could improve the credit score.</w:t>
      </w:r>
    </w:p>
    <w:p>
      <w:pPr>
        <w:spacing w:after="160"/>
        <w:jc w:val="both"/>
      </w:pPr>
      <w:r>
        <w:rPr>
          <w:rFonts w:hAnsi="Times New Roman" w:ascii="Times New Roman" w:eastAsia="Times New Roman" w:cs="Times New Roman"/>
          <w:b/>
          <w:bCs/>
          <w:i w:val="0"/>
          <w:strike w:val="0"/>
          <w:dstrike w:val="0"/>
          <w:emboss w:val="0"/>
          <w:imprint w:val="0"/>
          <w:outline w:val="0"/>
          <w:shadow w:val="0"/>
          <w:sz w:val="22"/>
          <w:szCs w:val="22"/>
          <w:u w:val="none"/>
        </w:rPr>
        <w:t>Scenario 3: A user plans a loan in the EMI Calculator, entering amount, interest rate and tenure. The tool displays the monthly EMI, a donut chart of principal versus interest, an amortization table and the savings from prepayment.</w:t>
      </w:r>
    </w:p>
    <w:p>
      <w:pPr>
        <w:spacing w:after="160"/>
        <w:jc w:val="both"/>
      </w:pPr>
      <w:r>
        <w:rPr>
          <w:rFonts w:hAnsi="Times New Roman" w:ascii="Times New Roman" w:eastAsia="Times New Roman" w:cs="Times New Roman"/>
          <w:b/>
          <w:bCs/>
          <w:i w:val="0"/>
          <w:strike w:val="0"/>
          <w:dstrike w:val="0"/>
          <w:emboss w:val="0"/>
          <w:imprint w:val="0"/>
          <w:outline w:val="0"/>
          <w:shadow w:val="0"/>
          <w:sz w:val="22"/>
          <w:szCs w:val="22"/>
          <w:u w:val="none"/>
        </w:rPr>
        <w:t>Scenario 4: Using the AI Financial Tips module, a user receives a personalised 30/60/90-day roadmap and stress-test insights based on their financial profile, helping them plan repayments and improve financial health.</w:t>
      </w:r>
    </w:p>
    <w:p>
      <w:pPr>
        <w:spacing w:before="260" w:after="120"/>
      </w:pPr>
      <w:r>
        <w:rPr>
          <w:rFonts w:hAnsi="Times New Roman" w:ascii="Times New Roman" w:eastAsia="Times New Roman" w:cs="Times New Roman"/>
          <w:b/>
          <w:bCs/>
          <w:i w:val="0"/>
          <w:strike w:val="0"/>
          <w:dstrike w:val="0"/>
          <w:emboss w:val="0"/>
          <w:imprint w:val="0"/>
          <w:outline w:val="0"/>
          <w:shadow w:val="0"/>
          <w:sz w:val="24"/>
          <w:szCs w:val="24"/>
          <w:u w:val="none"/>
        </w:rPr>
        <w:t xml:space="preserve">Milestones :-</w:t>
      </w:r>
    </w:p>
    <w:p>
      <w:pPr>
        <w:spacing w:before="180" w:after="60"/>
      </w:pPr>
      <w:r>
        <w:rPr>
          <w:rFonts w:hAnsi="Times New Roman" w:ascii="Times New Roman" w:eastAsia="Times New Roman" w:cs="Times New Roman"/>
          <w:b/>
          <w:bCs/>
          <w:i w:val="0"/>
          <w:strike w:val="0"/>
          <w:dstrike w:val="0"/>
          <w:emboss w:val="0"/>
          <w:imprint w:val="0"/>
          <w:outline w:val="0"/>
          <w:shadow w:val="0"/>
          <w:sz w:val="22"/>
          <w:szCs w:val="22"/>
          <w:u w:val="none"/>
        </w:rPr>
        <w:t>Milestone 1 – Project Planning &amp; Interface Design</w:t>
      </w:r>
    </w:p>
    <w:p>
      <w:pPr>
        <w:spacing w:after="160"/>
        <w:jc w:val="both"/>
      </w:pPr>
      <w:r>
        <w:rPr>
          <w:rFonts w:hAnsi="Times New Roman" w:ascii="Times New Roman" w:eastAsia="Times New Roman" w:cs="Times New Roman"/>
          <w:b w:val="0"/>
          <w:i w:val="0"/>
          <w:strike w:val="0"/>
          <w:dstrike w:val="0"/>
          <w:emboss w:val="0"/>
          <w:imprint w:val="0"/>
          <w:outline w:val="0"/>
          <w:shadow w:val="0"/>
          <w:sz w:val="22"/>
          <w:szCs w:val="22"/>
          <w:u w:val="none"/>
        </w:rPr>
        <w:t>Define the objective of LoanAI, identify the four core decision engines, and design the landing page, navigation and dark-themed dashboard layout.</w:t>
      </w:r>
    </w:p>
    <w:p>
      <w:pPr>
        <w:spacing w:before="180" w:after="60"/>
      </w:pPr>
      <w:r>
        <w:rPr>
          <w:rFonts w:hAnsi="Times New Roman" w:ascii="Times New Roman" w:eastAsia="Times New Roman" w:cs="Times New Roman"/>
          <w:b/>
          <w:bCs/>
          <w:i w:val="0"/>
          <w:strike w:val="0"/>
          <w:dstrike w:val="0"/>
          <w:emboss w:val="0"/>
          <w:imprint w:val="0"/>
          <w:outline w:val="0"/>
          <w:shadow w:val="0"/>
          <w:sz w:val="22"/>
          <w:szCs w:val="22"/>
          <w:u w:val="none"/>
        </w:rPr>
        <w:t>Milestone 2 – Loan Eligibility Module</w:t>
      </w:r>
    </w:p>
    <w:p>
      <w:pPr>
        <w:spacing w:after="160"/>
        <w:jc w:val="both"/>
      </w:pPr>
      <w:r>
        <w:rPr>
          <w:rFonts w:hAnsi="Times New Roman" w:ascii="Times New Roman" w:eastAsia="Times New Roman" w:cs="Times New Roman"/>
          <w:b w:val="0"/>
          <w:i w:val="0"/>
          <w:strike w:val="0"/>
          <w:dstrike w:val="0"/>
          <w:emboss w:val="0"/>
          <w:imprint w:val="0"/>
          <w:outline w:val="0"/>
          <w:shadow w:val="0"/>
          <w:sz w:val="22"/>
          <w:szCs w:val="22"/>
          <w:u w:val="none"/>
        </w:rPr>
        <w:t>Implement deterministic underwriting rules including FOIR/DTI assessment, debt-service coverage and maximum borrowing capacity classification.</w:t>
      </w:r>
    </w:p>
    <w:p>
      <w:pPr>
        <w:spacing w:before="180" w:after="60"/>
      </w:pPr>
      <w:r>
        <w:rPr>
          <w:rFonts w:hAnsi="Times New Roman" w:ascii="Times New Roman" w:eastAsia="Times New Roman" w:cs="Times New Roman"/>
          <w:b/>
          <w:bCs/>
          <w:i w:val="0"/>
          <w:strike w:val="0"/>
          <w:dstrike w:val="0"/>
          <w:emboss w:val="0"/>
          <w:imprint w:val="0"/>
          <w:outline w:val="0"/>
          <w:shadow w:val="0"/>
          <w:sz w:val="22"/>
          <w:szCs w:val="22"/>
          <w:u w:val="none"/>
        </w:rPr>
        <w:t>Milestone 3 – Credit Score Analyzer &amp; EMI Calculator</w:t>
      </w:r>
    </w:p>
    <w:p>
      <w:pPr>
        <w:spacing w:after="160"/>
        <w:jc w:val="both"/>
      </w:pPr>
      <w:r>
        <w:rPr>
          <w:rFonts w:hAnsi="Times New Roman" w:ascii="Times New Roman" w:eastAsia="Times New Roman" w:cs="Times New Roman"/>
          <w:b w:val="0"/>
          <w:i w:val="0"/>
          <w:strike w:val="0"/>
          <w:dstrike w:val="0"/>
          <w:emboss w:val="0"/>
          <w:imprint w:val="0"/>
          <w:outline w:val="0"/>
          <w:shadow w:val="0"/>
          <w:sz w:val="22"/>
          <w:szCs w:val="22"/>
          <w:u w:val="none"/>
        </w:rPr>
        <w:t>Build the CIBIL/FICO-style credit diagnostic with what-if simulations, and the reducing-balance EMI calculator with SVG donut charts, amortization tables and prepayment analysis.</w:t>
      </w:r>
    </w:p>
    <w:p>
      <w:pPr>
        <w:spacing w:before="180" w:after="60"/>
      </w:pPr>
      <w:r>
        <w:rPr>
          <w:rFonts w:hAnsi="Times New Roman" w:ascii="Times New Roman" w:eastAsia="Times New Roman" w:cs="Times New Roman"/>
          <w:b/>
          <w:bCs/>
          <w:i w:val="0"/>
          <w:strike w:val="0"/>
          <w:dstrike w:val="0"/>
          <w:emboss w:val="0"/>
          <w:imprint w:val="0"/>
          <w:outline w:val="0"/>
          <w:shadow w:val="0"/>
          <w:sz w:val="22"/>
          <w:szCs w:val="22"/>
          <w:u w:val="none"/>
        </w:rPr>
        <w:t>Milestone 4 – AI Financial Guidance</w:t>
      </w:r>
    </w:p>
    <w:p>
      <w:pPr>
        <w:spacing w:after="160"/>
        <w:jc w:val="both"/>
      </w:pPr>
      <w:r>
        <w:rPr>
          <w:rFonts w:hAnsi="Times New Roman" w:ascii="Times New Roman" w:eastAsia="Times New Roman" w:cs="Times New Roman"/>
          <w:b w:val="0"/>
          <w:i w:val="0"/>
          <w:strike w:val="0"/>
          <w:dstrike w:val="0"/>
          <w:emboss w:val="0"/>
          <w:imprint w:val="0"/>
          <w:outline w:val="0"/>
          <w:shadow w:val="0"/>
          <w:sz w:val="22"/>
          <w:szCs w:val="22"/>
          <w:u w:val="none"/>
        </w:rPr>
        <w:t>Prepare the Anthropic Claude-ready AI Financial Tips module to generate contextual 30/60/90-day roadmaps and financial stress tests.</w:t>
      </w:r>
    </w:p>
    <w:p>
      <w:pPr>
        <w:spacing w:before="180" w:after="60"/>
      </w:pPr>
      <w:r>
        <w:rPr>
          <w:rFonts w:hAnsi="Times New Roman" w:ascii="Times New Roman" w:eastAsia="Times New Roman" w:cs="Times New Roman"/>
          <w:b/>
          <w:bCs/>
          <w:i w:val="0"/>
          <w:strike w:val="0"/>
          <w:dstrike w:val="0"/>
          <w:emboss w:val="0"/>
          <w:imprint w:val="0"/>
          <w:outline w:val="0"/>
          <w:shadow w:val="0"/>
          <w:sz w:val="22"/>
          <w:szCs w:val="22"/>
          <w:u w:val="none"/>
        </w:rPr>
        <w:t>Milestone 5 – Testing &amp; Finalisation</w:t>
      </w:r>
    </w:p>
    <w:p>
      <w:pPr>
        <w:spacing w:after="160"/>
        <w:jc w:val="both"/>
      </w:pPr>
      <w:r>
        <w:rPr>
          <w:rFonts w:hAnsi="Times New Roman" w:ascii="Times New Roman" w:eastAsia="Times New Roman" w:cs="Times New Roman"/>
          <w:b w:val="0"/>
          <w:i w:val="0"/>
          <w:strike w:val="0"/>
          <w:dstrike w:val="0"/>
          <w:emboss w:val="0"/>
          <w:imprint w:val="0"/>
          <w:outline w:val="0"/>
          <w:shadow w:val="0"/>
          <w:sz w:val="22"/>
          <w:szCs w:val="22"/>
          <w:u w:val="none"/>
        </w:rPr>
        <w:t>Test all four modules with sample inputs, verify calculations, refine the responsive interface and prepare the project for demonstration and documentation.</w:t>
      </w:r>
    </w:p>
    <w:p>
      <w:pPr>
        <w:spacing w:before="260" w:after="120"/>
      </w:pPr>
      <w:r>
        <w:rPr>
          <w:rFonts w:hAnsi="Times New Roman" w:ascii="Times New Roman" w:eastAsia="Times New Roman" w:cs="Times New Roman"/>
          <w:b/>
          <w:bCs/>
          <w:i w:val="0"/>
          <w:strike w:val="0"/>
          <w:dstrike w:val="0"/>
          <w:emboss w:val="0"/>
          <w:imprint w:val="0"/>
          <w:outline w:val="0"/>
          <w:shadow w:val="0"/>
          <w:sz w:val="24"/>
          <w:szCs w:val="24"/>
          <w:u w:val="none"/>
        </w:rPr>
        <w:t xml:space="preserve">Conclusion :-</w:t>
      </w:r>
    </w:p>
    <w:p>
      <w:pPr>
        <w:spacing w:after="160"/>
        <w:jc w:val="both"/>
      </w:pPr>
      <w:r>
        <w:rPr>
          <w:rFonts w:hAnsi="Times New Roman" w:ascii="Times New Roman" w:eastAsia="Times New Roman" w:cs="Times New Roman"/>
          <w:b w:val="0"/>
          <w:i w:val="0"/>
          <w:strike w:val="0"/>
          <w:dstrike w:val="0"/>
          <w:emboss w:val="0"/>
          <w:imprint w:val="0"/>
          <w:outline w:val="0"/>
          <w:shadow w:val="0"/>
          <w:sz w:val="22"/>
          <w:szCs w:val="22"/>
          <w:u w:val="none"/>
        </w:rPr>
        <w:t>LoanAI brings loan eligibility checking, credit score analysis, EMI calculation and AI-driven financial advice into one platform. By combining transparent, rule-based institutional logic with generative AI guidance, it helps borrowers understand their financial position and make informed borrowing decisions. The project demonstrates how modern web technologies and AI can be applied to BFSI decision support.</w:t>
      </w:r>
    </w:p>
    <w:p>
      <w:pPr>
        <w:spacing w:before="260" w:after="120"/>
      </w:pPr>
      <w:r>
        <w:rPr>
          <w:rFonts w:hAnsi="Times New Roman" w:ascii="Times New Roman" w:eastAsia="Times New Roman" w:cs="Times New Roman"/>
          <w:b/>
          <w:bCs/>
          <w:i w:val="0"/>
          <w:strike w:val="0"/>
          <w:dstrike w:val="0"/>
          <w:emboss w:val="0"/>
          <w:imprint w:val="0"/>
          <w:outline w:val="0"/>
          <w:shadow w:val="0"/>
          <w:sz w:val="24"/>
          <w:szCs w:val="24"/>
          <w:u w:val="none"/>
        </w:rPr>
        <w:t xml:space="preserve">Expected Outcome :-</w:t>
      </w:r>
    </w:p>
    <w:p>
      <w:pPr>
        <w:spacing w:after="160"/>
        <w:jc w:val="both"/>
      </w:pPr>
      <w:r>
        <w:rPr>
          <w:rFonts w:hAnsi="Times New Roman" w:ascii="Times New Roman" w:eastAsia="Times New Roman" w:cs="Times New Roman"/>
          <w:b w:val="0"/>
          <w:i w:val="0"/>
          <w:strike w:val="0"/>
          <w:dstrike w:val="0"/>
          <w:emboss w:val="0"/>
          <w:imprint w:val="0"/>
          <w:outline w:val="0"/>
          <w:shadow w:val="0"/>
          <w:sz w:val="22"/>
          <w:szCs w:val="22"/>
          <w:u w:val="none"/>
        </w:rPr>
        <w:t>The expected outcome is a working fintech prototype where users can check loan eligibility, analyze credit health, calculate EMIs with visual breakdowns and receive personalised AI-based financial guidance, supporting smarter and more confident financial decisions.</w:t>
      </w:r>
    </w:p>
    <w:sectPr>
      <w:headerReference w:type="default" r:id="rId7"/>
      <w:pgSz w:w="12240" w:h="15840"/>
      <w:pgMar w:top="1300" w:right="1100" w:bottom="1000" w:left="1100" w:header="708" w:footer="708"/>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o="http://schemas.microsoft.com/office/mac/office/2008/main" xmlns:wpc="http://schemas.microsoft.com/office/word/2010/wordprocessingCanvas" xmlns:cx="http://schemas.microsoft.com/office/drawing/2014/chartex" xmlns:cx1="http://schemas.microsoft.com/office/drawing/2015/9/8/chartex"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bl>
    <w:tblPr>
      <w:tblW w:w="10000" w:type="dxa"/>
      <w:tblBorders>
        <w:top w:val="single" w:sz="4" w:color="auto"/>
        <w:left w:val="single" w:sz="4" w:color="auto"/>
        <w:bottom w:val="single" w:sz="4" w:color="auto"/>
        <w:right w:val="single" w:sz="4" w:color="auto"/>
        <w:insideH w:val="single" w:sz="4" w:color="auto"/>
        <w:insideV w:val="single" w:sz="4" w:color="auto"/>
      </w:tblBorders>
      <w:tblLayout w:type="fixed"/>
    </w:tblPr>
    <w:tblGrid>
      <w:gridCol w:w="1700"/>
      <w:gridCol w:w="6600"/>
      <w:gridCol w:w="1700"/>
    </w:tblGrid>
    <w:tr>
      <w:tc>
        <w:tcPr>
          <w:tcW w:w="1700" w:type="dxa"/>
          <w:tcBorders>
            <w:top w:val="none" w:sz="0" w:color="FFFFFF"/>
            <w:left w:val="none" w:sz="0" w:color="FFFFFF"/>
            <w:bottom w:val="none" w:sz="0" w:color="FFFFFF"/>
            <w:right w:val="none" w:sz="0" w:color="FFFFFF"/>
          </w:tcBorders>
          <w:vAlign w:val="center"/>
        </w:tcPr>
        <w:p>
          <w:pPr>
            <w:jc w:val="center"/>
          </w:pPr>
          <w:r>
            <w:rPr>
              <w:rFonts w:ascii="Times New Roman"/>
              <w:b w:val="0"/>
              <w:i w:val="0"/>
              <w:strike w:val="0"/>
              <w:dstrike w:val="0"/>
              <w:emboss w:val="0"/>
              <w:imprint w:val="0"/>
              <w:outline w:val="0"/>
              <w:shadow w:val="0"/>
              <w:sz w:val="20"/>
              <w:szCs w:val="20"/>
              <w:u w:val="none"/>
            </w:rPr>
            <w:drawing>
              <wp:inline>
                <wp:extent cx="942975" cy="110489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42975" cy="1104900"/>
                        </a:xfrm>
                        <a:prstGeom prst="rect">
                          <a:avLst/>
                        </a:prstGeom>
                      </pic:spPr>
                    </pic:pic>
                  </a:graphicData>
                </a:graphic>
              </wp:inline>
            </w:drawing>
          </w:r>
        </w:p>
      </w:tc>
      <w:tc>
        <w:tcPr>
          <w:tcW w:w="6600" w:type="dxa"/>
          <w:tcBorders>
            <w:top w:val="none" w:sz="0" w:color="FFFFFF"/>
            <w:left w:val="none" w:sz="0" w:color="FFFFFF"/>
            <w:bottom w:val="none" w:sz="0" w:color="FFFFFF"/>
            <w:right w:val="none" w:sz="0" w:color="FFFFFF"/>
          </w:tcBorders>
          <w:vAlign w:val="center"/>
        </w:tcPr>
        <w:p>
          <w:pPr>
            <w:jc w:val="center"/>
          </w:pPr>
          <w:r>
            <w:rPr>
              <w:rFonts w:hAnsi="Times New Roman" w:ascii="Times New Roman" w:eastAsia="Times New Roman" w:cs="Times New Roman"/>
              <w:b/>
              <w:bCs/>
              <w:i/>
              <w:iCs/>
              <w:strike w:val="0"/>
              <w:dstrike w:val="0"/>
              <w:emboss w:val="0"/>
              <w:imprint w:val="0"/>
              <w:outline w:val="0"/>
              <w:shadow w:val="0"/>
              <w:sz w:val="22"/>
              <w:szCs w:val="22"/>
              <w:u w:val="none"/>
            </w:rPr>
            <w:t xml:space="preserve">Dr. D. Y. Patil Educational Federation's</w:t>
          </w:r>
        </w:p>
        <w:p>
          <w:pPr>
            <w:jc w:val="center"/>
          </w:pPr>
          <w:r>
            <w:rPr>
              <w:rFonts w:hAnsi="Times New Roman" w:ascii="Times New Roman" w:eastAsia="Times New Roman" w:cs="Times New Roman"/>
              <w:b/>
              <w:bCs/>
              <w:i w:val="0"/>
              <w:strike w:val="0"/>
              <w:dstrike w:val="0"/>
              <w:emboss w:val="0"/>
              <w:imprint w:val="0"/>
              <w:outline w:val="0"/>
              <w:shadow w:val="0"/>
              <w:sz w:val="22"/>
              <w:szCs w:val="22"/>
              <w:u w:val="none"/>
            </w:rPr>
            <w:t xml:space="preserve">Dr. D. Y. Patil College of Engineering &amp; Innovation</w:t>
          </w:r>
        </w:p>
        <w:p>
          <w:pPr>
            <w:jc w:val="center"/>
          </w:pPr>
          <w:r>
            <w:rPr>
              <w:rFonts w:hAnsi="Times New Roman" w:ascii="Times New Roman" w:eastAsia="Times New Roman" w:cs="Times New Roman"/>
              <w:b w:val="0"/>
              <w:i w:val="0"/>
              <w:strike w:val="0"/>
              <w:dstrike w:val="0"/>
              <w:emboss w:val="0"/>
              <w:imprint w:val="0"/>
              <w:outline w:val="0"/>
              <w:shadow w:val="0"/>
              <w:sz w:val="18"/>
              <w:szCs w:val="18"/>
              <w:u w:val="none"/>
            </w:rPr>
            <w:t xml:space="preserve">Approved by AICTE, Recognized by Govt. of Maharashtra,</w:t>
          </w:r>
        </w:p>
        <w:p>
          <w:pPr>
            <w:jc w:val="center"/>
          </w:pPr>
          <w:r>
            <w:rPr>
              <w:color w:val="C00000"/>
              <w:rFonts w:hAnsi="Times New Roman" w:ascii="Times New Roman" w:eastAsia="Times New Roman" w:cs="Times New Roman"/>
              <w:b/>
              <w:bCs/>
              <w:i w:val="0"/>
              <w:strike w:val="0"/>
              <w:dstrike w:val="0"/>
              <w:emboss w:val="0"/>
              <w:imprint w:val="0"/>
              <w:outline w:val="0"/>
              <w:shadow w:val="0"/>
              <w:sz w:val="18"/>
              <w:szCs w:val="18"/>
              <w:u w:val="none"/>
            </w:rPr>
            <w:t xml:space="preserve">(An Autonomous Institute Affiliated to Savitribai Phule Pune University)</w:t>
          </w:r>
        </w:p>
        <w:p>
          <w:pPr>
            <w:jc w:val="center"/>
          </w:pPr>
          <w:r>
            <w:rPr>
              <w:color w:val="1F3864"/>
              <w:rFonts w:hAnsi="Times New Roman" w:ascii="Times New Roman" w:eastAsia="Times New Roman" w:cs="Times New Roman"/>
              <w:b/>
              <w:bCs/>
              <w:i w:val="0"/>
              <w:strike w:val="0"/>
              <w:dstrike w:val="0"/>
              <w:emboss w:val="0"/>
              <w:imprint w:val="0"/>
              <w:outline w:val="0"/>
              <w:shadow w:val="0"/>
              <w:sz w:val="18"/>
              <w:szCs w:val="18"/>
              <w:u w:val="none"/>
            </w:rPr>
            <w:t xml:space="preserve">Accredited by NAAC with "A" Grade</w:t>
          </w:r>
        </w:p>
      </w:tc>
      <w:tc>
        <w:tcPr>
          <w:tcW w:w="1700" w:type="dxa"/>
          <w:tcBorders>
            <w:top w:val="none" w:sz="0" w:color="FFFFFF"/>
            <w:left w:val="none" w:sz="0" w:color="FFFFFF"/>
            <w:bottom w:val="none" w:sz="0" w:color="FFFFFF"/>
            <w:right w:val="none" w:sz="0" w:color="FFFFFF"/>
          </w:tcBorders>
          <w:vAlign w:val="center"/>
        </w:tcPr>
        <w:p>
          <w:pPr>
            <w:jc w:val="center"/>
          </w:pPr>
          <w:r>
            <w:rPr>
              <w:rFonts w:ascii="Times New Roman"/>
              <w:b w:val="0"/>
              <w:i w:val="0"/>
              <w:strike w:val="0"/>
              <w:dstrike w:val="0"/>
              <w:emboss w:val="0"/>
              <w:imprint w:val="0"/>
              <w:outline w:val="0"/>
              <w:shadow w:val="0"/>
              <w:sz w:val="20"/>
              <w:szCs w:val="20"/>
              <w:u w:val="none"/>
            </w:rPr>
            <w:drawing>
              <wp:inline>
                <wp:extent cx="1028700" cy="94297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1028700" cy="942975"/>
                        </a:xfrm>
                        <a:prstGeom prst="rect">
                          <a:avLst/>
                        </a:prstGeom>
                      </pic:spPr>
                    </pic:pic>
                  </a:graphicData>
                </a:graphic>
              </wp:inline>
            </w:drawing>
          </w:r>
        </w:p>
      </w:tc>
    </w:tr>
  </w:tbl>
</w:hdr>
</file>

<file path=word/numbering.xml><?xml version="1.0" encoding="utf-8"?>
<w:numbering xmlns:mo="http://schemas.microsoft.com/office/mac/office/2008/main" xmlns:wpc="http://schemas.microsoft.com/office/word/2010/wordprocessingCanvas" xmlns:cx="http://schemas.microsoft.com/office/drawing/2014/chartex" xmlns:cx1="http://schemas.microsoft.com/office/drawing/2015/9/8/chartex"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trackRevision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0" Type="http://schemas.openxmlformats.org/officeDocument/2006/relationships/fontTable" Target="fontTable.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685d0ca8ae28d56bf6a2281271c2cd4ba7fde1c6.jpg"/><Relationship Id="rId9" Type="http://schemas.openxmlformats.org/officeDocument/2006/relationships/image" Target="media/ad33b938bc8159892d8bd300422800fbc4c33333.png"/></Relationships>
</file>

<file path=word/_rels/header1.xml.rels><?xml version='1.0' encoding='UTF-8' standalone='yes'?>
<Relationships xmlns="http://schemas.openxmlformats.org/package/2006/relationships"><Relationship Id="rId0" Type="http://schemas.openxmlformats.org/officeDocument/2006/relationships/image" Target="media/6f378370472c512983e08d48f1cd9b2bb842280f.jpg"/><Relationship Id="rId1" Type="http://schemas.openxmlformats.org/officeDocument/2006/relationships/image" Target="media/42b84bfe45e82533224fa1fe44190fa6022a51f8.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Shreya Amol Kasbe</dc:creator>
  <cp:lastModifiedBy>Un-named</cp:lastModifiedBy>
  <cp:revision>1</cp:revision>
  <dcterms:created xsi:type="dcterms:W3CDTF">2026-09-27T07:47:20.471Z</dcterms:created>
  <dcterms:modified xsi:type="dcterms:W3CDTF">2026-09-27T07:47:20.472Z</dcterms:modified>
  <dc:title>Personal Finance Advisor Bot Documentation</dc:title>
  <dc:subject>Project documentation</dc:subject>
</cp:coreProperties>
</file>

<file path=docProps/custom.xml><?xml version="1.0" encoding="utf-8"?>
<Properties xmlns="http://schemas.openxmlformats.org/officeDocument/2006/custom-properties" xmlns:vt="http://schemas.openxmlformats.org/officeDocument/2006/docPropsVTypes"/>
</file>