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600" w:right="600" w:firstLine="0"/>
        <w:rPr>
          <w:b w:val="1"/>
          <w:sz w:val="46"/>
          <w:szCs w:val="46"/>
        </w:rPr>
      </w:pPr>
      <w:bookmarkStart w:colFirst="0" w:colLast="0" w:name="_67lmklldbs7u" w:id="0"/>
      <w:bookmarkEnd w:id="0"/>
      <w:r w:rsidDel="00000000" w:rsidR="00000000" w:rsidRPr="00000000">
        <w:rPr>
          <w:b w:val="1"/>
          <w:sz w:val="46"/>
          <w:szCs w:val="46"/>
          <w:rtl w:val="0"/>
        </w:rPr>
        <w:t xml:space="preserve">Literature Review – CO₂ Forecasting &amp; Multivariate Air-Quality Modeling</w:t>
      </w:r>
    </w:p>
    <w:p w:rsidR="00000000" w:rsidDel="00000000" w:rsidP="00000000" w:rsidRDefault="00000000" w:rsidRPr="00000000" w14:paraId="00000002">
      <w:pPr>
        <w:pStyle w:val="Heading2"/>
        <w:keepNext w:val="0"/>
        <w:keepLines w:val="0"/>
        <w:spacing w:after="80" w:lineRule="auto"/>
        <w:ind w:left="600" w:right="600" w:firstLine="0"/>
        <w:rPr>
          <w:b w:val="1"/>
          <w:sz w:val="34"/>
          <w:szCs w:val="34"/>
        </w:rPr>
      </w:pPr>
      <w:bookmarkStart w:colFirst="0" w:colLast="0" w:name="_5w9zi64fx7sr"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Forecasting atmospheric carbon dioxide (CO₂) and related air-quality indicators is essential for climate policy, urban planning, and industrial regulation. Recent work spans classical time‑series models, machine‑learning (ML) ensembles, and deep learning (DL). This review synthesizes prior studies relevant to our project’s baseline (CO₂ forecasting) and motivates our extension toward a multivariate </w:t>
      </w:r>
      <w:r w:rsidDel="00000000" w:rsidR="00000000" w:rsidRPr="00000000">
        <w:rPr>
          <w:b w:val="1"/>
          <w:rtl w:val="0"/>
        </w:rPr>
        <w:t xml:space="preserve">air‑quality profile</w:t>
      </w:r>
      <w:r w:rsidDel="00000000" w:rsidR="00000000" w:rsidRPr="00000000">
        <w:rPr>
          <w:rtl w:val="0"/>
        </w:rPr>
        <w:t xml:space="preserve"> and </w:t>
      </w:r>
      <w:r w:rsidDel="00000000" w:rsidR="00000000" w:rsidRPr="00000000">
        <w:rPr>
          <w:b w:val="1"/>
          <w:rtl w:val="0"/>
        </w:rPr>
        <w:t xml:space="preserve">sector‑wise emission analysis</w:t>
      </w:r>
      <w:r w:rsidDel="00000000" w:rsidR="00000000" w:rsidRPr="00000000">
        <w:rPr>
          <w:rtl w:val="0"/>
        </w:rPr>
        <w:t xml:space="preserve"> (transport, industry, household, etc.).</w:t>
      </w:r>
    </w:p>
    <w:p w:rsidR="00000000" w:rsidDel="00000000" w:rsidP="00000000" w:rsidRDefault="00000000" w:rsidRPr="00000000" w14:paraId="00000004">
      <w:pPr>
        <w:pStyle w:val="Heading2"/>
        <w:keepNext w:val="0"/>
        <w:keepLines w:val="0"/>
        <w:spacing w:after="80" w:lineRule="auto"/>
        <w:ind w:left="600" w:right="600" w:firstLine="0"/>
        <w:rPr>
          <w:b w:val="1"/>
          <w:sz w:val="34"/>
          <w:szCs w:val="34"/>
        </w:rPr>
      </w:pPr>
      <w:bookmarkStart w:colFirst="0" w:colLast="0" w:name="_1qtduskhzc7x" w:id="2"/>
      <w:bookmarkEnd w:id="2"/>
      <w:r w:rsidDel="00000000" w:rsidR="00000000" w:rsidRPr="00000000">
        <w:rPr>
          <w:b w:val="1"/>
          <w:sz w:val="34"/>
          <w:szCs w:val="34"/>
          <w:rtl w:val="0"/>
        </w:rPr>
        <w:t xml:space="preserve">2. Background: Modeling Approaches</w:t>
      </w:r>
    </w:p>
    <w:p w:rsidR="00000000" w:rsidDel="00000000" w:rsidP="00000000" w:rsidRDefault="00000000" w:rsidRPr="00000000" w14:paraId="00000005">
      <w:pPr>
        <w:spacing w:after="240" w:before="240" w:lineRule="auto"/>
        <w:rPr/>
      </w:pPr>
      <w:r w:rsidDel="00000000" w:rsidR="00000000" w:rsidRPr="00000000">
        <w:rPr>
          <w:b w:val="1"/>
          <w:rtl w:val="0"/>
        </w:rPr>
        <w:t xml:space="preserve">Classical statistical models</w:t>
      </w:r>
      <w:r w:rsidDel="00000000" w:rsidR="00000000" w:rsidRPr="00000000">
        <w:rPr>
          <w:rtl w:val="0"/>
        </w:rPr>
        <w:t xml:space="preserve"> (ARIMA, Holt–Winters, Theta) capture trend/seasonality and provide interpretable baselines. </w:t>
      </w:r>
      <w:r w:rsidDel="00000000" w:rsidR="00000000" w:rsidRPr="00000000">
        <w:rPr>
          <w:b w:val="1"/>
          <w:rtl w:val="0"/>
        </w:rPr>
        <w:t xml:space="preserve">Prophet</w:t>
      </w:r>
      <w:r w:rsidDel="00000000" w:rsidR="00000000" w:rsidRPr="00000000">
        <w:rPr>
          <w:rtl w:val="0"/>
        </w:rPr>
        <w:t xml:space="preserve"> adds flexible trend/seasonality with changepoints. </w:t>
      </w:r>
      <w:r w:rsidDel="00000000" w:rsidR="00000000" w:rsidRPr="00000000">
        <w:rPr>
          <w:b w:val="1"/>
          <w:rtl w:val="0"/>
        </w:rPr>
        <w:t xml:space="preserve">ML ensembles</w:t>
      </w:r>
      <w:r w:rsidDel="00000000" w:rsidR="00000000" w:rsidRPr="00000000">
        <w:rPr>
          <w:rtl w:val="0"/>
        </w:rPr>
        <w:t xml:space="preserve"> (Random Forest, Extra‑Trees, Gradient Boosting, XGBoost) learn non‑linear relationships with engineered lag/date features. </w:t>
      </w:r>
      <w:r w:rsidDel="00000000" w:rsidR="00000000" w:rsidRPr="00000000">
        <w:rPr>
          <w:b w:val="1"/>
          <w:rtl w:val="0"/>
        </w:rPr>
        <w:t xml:space="preserve">DL sequence models</w:t>
      </w:r>
      <w:r w:rsidDel="00000000" w:rsidR="00000000" w:rsidRPr="00000000">
        <w:rPr>
          <w:rtl w:val="0"/>
        </w:rPr>
        <w:t xml:space="preserve"> (LSTM/GRU) learn longer temporal dependencies; recent </w:t>
      </w:r>
      <w:r w:rsidDel="00000000" w:rsidR="00000000" w:rsidRPr="00000000">
        <w:rPr>
          <w:b w:val="1"/>
          <w:rtl w:val="0"/>
        </w:rPr>
        <w:t xml:space="preserve">Transformer‑style</w:t>
      </w:r>
      <w:r w:rsidDel="00000000" w:rsidR="00000000" w:rsidRPr="00000000">
        <w:rPr>
          <w:rtl w:val="0"/>
        </w:rPr>
        <w:t xml:space="preserve"> models can scale to longer horizons and multivariate inputs.</w:t>
      </w:r>
    </w:p>
    <w:p w:rsidR="00000000" w:rsidDel="00000000" w:rsidP="00000000" w:rsidRDefault="00000000" w:rsidRPr="00000000" w14:paraId="00000006">
      <w:pPr>
        <w:pStyle w:val="Heading2"/>
        <w:keepNext w:val="0"/>
        <w:keepLines w:val="0"/>
        <w:spacing w:after="80" w:lineRule="auto"/>
        <w:ind w:left="600" w:right="600" w:firstLine="0"/>
        <w:rPr>
          <w:b w:val="1"/>
          <w:sz w:val="34"/>
          <w:szCs w:val="34"/>
        </w:rPr>
      </w:pPr>
      <w:bookmarkStart w:colFirst="0" w:colLast="0" w:name="_2nqi9amyu4nb" w:id="3"/>
      <w:bookmarkEnd w:id="3"/>
      <w:r w:rsidDel="00000000" w:rsidR="00000000" w:rsidRPr="00000000">
        <w:rPr>
          <w:b w:val="1"/>
          <w:sz w:val="34"/>
          <w:szCs w:val="34"/>
          <w:rtl w:val="0"/>
        </w:rPr>
        <w:t xml:space="preserve">3. Prior Work (Concise Summaries)</w:t>
      </w:r>
    </w:p>
    <w:p w:rsidR="00000000" w:rsidDel="00000000" w:rsidP="00000000" w:rsidRDefault="00000000" w:rsidRPr="00000000" w14:paraId="00000007">
      <w:pPr>
        <w:pStyle w:val="Heading3"/>
        <w:keepNext w:val="0"/>
        <w:keepLines w:val="0"/>
        <w:spacing w:before="280" w:lineRule="auto"/>
        <w:ind w:left="600" w:right="600" w:firstLine="0"/>
        <w:rPr>
          <w:b w:val="1"/>
          <w:color w:val="000000"/>
          <w:sz w:val="26"/>
          <w:szCs w:val="26"/>
        </w:rPr>
      </w:pPr>
      <w:bookmarkStart w:colFirst="0" w:colLast="0" w:name="_hqg4obmqhi6z" w:id="4"/>
      <w:bookmarkEnd w:id="4"/>
      <w:r w:rsidDel="00000000" w:rsidR="00000000" w:rsidRPr="00000000">
        <w:rPr>
          <w:b w:val="1"/>
          <w:color w:val="000000"/>
          <w:sz w:val="26"/>
          <w:szCs w:val="26"/>
          <w:rtl w:val="0"/>
        </w:rPr>
        <w:t xml:space="preserve">3.1 AI‑Driven Carbon Management in the Power Sector</w:t>
      </w:r>
    </w:p>
    <w:p w:rsidR="00000000" w:rsidDel="00000000" w:rsidP="00000000" w:rsidRDefault="00000000" w:rsidRPr="00000000" w14:paraId="00000008">
      <w:pPr>
        <w:numPr>
          <w:ilvl w:val="0"/>
          <w:numId w:val="7"/>
        </w:numPr>
        <w:spacing w:after="0" w:afterAutospacing="0" w:before="240" w:lineRule="auto"/>
        <w:ind w:left="720" w:hanging="360"/>
      </w:pPr>
      <w:r w:rsidDel="00000000" w:rsidR="00000000" w:rsidRPr="00000000">
        <w:rPr>
          <w:b w:val="1"/>
          <w:rtl w:val="0"/>
        </w:rPr>
        <w:t xml:space="preserve">Focus:</w:t>
      </w:r>
      <w:r w:rsidDel="00000000" w:rsidR="00000000" w:rsidRPr="00000000">
        <w:rPr>
          <w:rtl w:val="0"/>
        </w:rPr>
        <w:t xml:space="preserve"> Enterprise‑level carbon footprint governance in electric power companies.</w:t>
        <w:br w:type="textWrapping"/>
      </w:r>
    </w:p>
    <w:p w:rsidR="00000000" w:rsidDel="00000000" w:rsidP="00000000" w:rsidRDefault="00000000" w:rsidRPr="00000000" w14:paraId="00000009">
      <w:pPr>
        <w:numPr>
          <w:ilvl w:val="0"/>
          <w:numId w:val="7"/>
        </w:numPr>
        <w:spacing w:after="0" w:afterAutospacing="0" w:before="0" w:beforeAutospacing="0" w:lineRule="auto"/>
        <w:ind w:left="720" w:hanging="360"/>
      </w:pPr>
      <w:r w:rsidDel="00000000" w:rsidR="00000000" w:rsidRPr="00000000">
        <w:rPr>
          <w:b w:val="1"/>
          <w:rtl w:val="0"/>
        </w:rPr>
        <w:t xml:space="preserve">Methods:</w:t>
      </w:r>
      <w:r w:rsidDel="00000000" w:rsidR="00000000" w:rsidRPr="00000000">
        <w:rPr>
          <w:rtl w:val="0"/>
        </w:rPr>
        <w:t xml:space="preserve"> AI + big‑data analytics; DSR (Driver–State–Response) framework; Entropy‑weighting with TOPSIS for performance evaluation.</w:t>
        <w:br w:type="textWrapping"/>
      </w:r>
    </w:p>
    <w:p w:rsidR="00000000" w:rsidDel="00000000" w:rsidP="00000000" w:rsidRDefault="00000000" w:rsidRPr="00000000" w14:paraId="0000000A">
      <w:pPr>
        <w:numPr>
          <w:ilvl w:val="0"/>
          <w:numId w:val="7"/>
        </w:numPr>
        <w:spacing w:after="0" w:afterAutospacing="0" w:before="0" w:beforeAutospacing="0" w:lineRule="auto"/>
        <w:ind w:left="720" w:hanging="360"/>
      </w:pPr>
      <w:r w:rsidDel="00000000" w:rsidR="00000000" w:rsidRPr="00000000">
        <w:rPr>
          <w:b w:val="1"/>
          <w:rtl w:val="0"/>
        </w:rPr>
        <w:t xml:space="preserve">Findings:</w:t>
      </w:r>
      <w:r w:rsidDel="00000000" w:rsidR="00000000" w:rsidRPr="00000000">
        <w:rPr>
          <w:rtl w:val="0"/>
        </w:rPr>
        <w:t xml:space="preserve"> Identifies drivers of emissions and tracks firm‑level improvements/declines; supports audit and policy oversight.</w:t>
        <w:br w:type="textWrapping"/>
      </w:r>
    </w:p>
    <w:p w:rsidR="00000000" w:rsidDel="00000000" w:rsidP="00000000" w:rsidRDefault="00000000" w:rsidRPr="00000000" w14:paraId="0000000B">
      <w:pPr>
        <w:numPr>
          <w:ilvl w:val="0"/>
          <w:numId w:val="7"/>
        </w:numPr>
        <w:spacing w:after="240" w:before="0" w:beforeAutospacing="0" w:lineRule="auto"/>
        <w:ind w:left="720" w:hanging="360"/>
      </w:pPr>
      <w:r w:rsidDel="00000000" w:rsidR="00000000" w:rsidRPr="00000000">
        <w:rPr>
          <w:b w:val="1"/>
          <w:rtl w:val="0"/>
        </w:rPr>
        <w:t xml:space="preserve">Relevance:</w:t>
      </w:r>
      <w:r w:rsidDel="00000000" w:rsidR="00000000" w:rsidRPr="00000000">
        <w:rPr>
          <w:rtl w:val="0"/>
        </w:rPr>
        <w:t xml:space="preserve"> Demonstrates decision‑support pipelines that translate analytics into management action—useful for our sector‑wise reporting.</w:t>
        <w:br w:type="textWrapping"/>
      </w:r>
    </w:p>
    <w:p w:rsidR="00000000" w:rsidDel="00000000" w:rsidP="00000000" w:rsidRDefault="00000000" w:rsidRPr="00000000" w14:paraId="0000000C">
      <w:pPr>
        <w:pStyle w:val="Heading3"/>
        <w:keepNext w:val="0"/>
        <w:keepLines w:val="0"/>
        <w:spacing w:before="280" w:lineRule="auto"/>
        <w:ind w:left="600" w:right="600" w:firstLine="0"/>
        <w:rPr>
          <w:b w:val="1"/>
          <w:color w:val="000000"/>
          <w:sz w:val="26"/>
          <w:szCs w:val="26"/>
        </w:rPr>
      </w:pPr>
      <w:bookmarkStart w:colFirst="0" w:colLast="0" w:name="_ognkaeeqk84z" w:id="5"/>
      <w:bookmarkEnd w:id="5"/>
      <w:r w:rsidDel="00000000" w:rsidR="00000000" w:rsidRPr="00000000">
        <w:rPr>
          <w:b w:val="1"/>
          <w:color w:val="000000"/>
          <w:sz w:val="26"/>
          <w:szCs w:val="26"/>
          <w:rtl w:val="0"/>
        </w:rPr>
        <w:t xml:space="preserve">3.2 Nonparametric ML for Urban CO₂ (10 Cities, 2005–2019)</w:t>
      </w:r>
    </w:p>
    <w:p w:rsidR="00000000" w:rsidDel="00000000" w:rsidP="00000000" w:rsidRDefault="00000000" w:rsidRPr="00000000" w14:paraId="0000000D">
      <w:pPr>
        <w:numPr>
          <w:ilvl w:val="0"/>
          <w:numId w:val="8"/>
        </w:numPr>
        <w:spacing w:after="0" w:afterAutospacing="0" w:before="240" w:lineRule="auto"/>
        <w:ind w:left="720" w:hanging="360"/>
      </w:pPr>
      <w:r w:rsidDel="00000000" w:rsidR="00000000" w:rsidRPr="00000000">
        <w:rPr>
          <w:b w:val="1"/>
          <w:rtl w:val="0"/>
        </w:rPr>
        <w:t xml:space="preserve">Models:</w:t>
      </w:r>
      <w:r w:rsidDel="00000000" w:rsidR="00000000" w:rsidRPr="00000000">
        <w:rPr>
          <w:rtl w:val="0"/>
        </w:rPr>
        <w:t xml:space="preserve"> STIRPAT/linear regression, kernel regression, Random Forest, neural networks.</w:t>
        <w:br w:type="textWrapping"/>
      </w:r>
    </w:p>
    <w:p w:rsidR="00000000" w:rsidDel="00000000" w:rsidP="00000000" w:rsidRDefault="00000000" w:rsidRPr="00000000" w14:paraId="0000000E">
      <w:pPr>
        <w:numPr>
          <w:ilvl w:val="0"/>
          <w:numId w:val="8"/>
        </w:numPr>
        <w:spacing w:after="0" w:afterAutospacing="0" w:before="0" w:beforeAutospacing="0" w:lineRule="auto"/>
        <w:ind w:left="720" w:hanging="360"/>
      </w:pPr>
      <w:r w:rsidDel="00000000" w:rsidR="00000000" w:rsidRPr="00000000">
        <w:rPr>
          <w:b w:val="1"/>
          <w:rtl w:val="0"/>
        </w:rPr>
        <w:t xml:space="preserve">Findings:</w:t>
      </w:r>
      <w:r w:rsidDel="00000000" w:rsidR="00000000" w:rsidRPr="00000000">
        <w:rPr>
          <w:rtl w:val="0"/>
        </w:rPr>
        <w:t xml:space="preserve"> Neural networks outperform classical baselines; industrial structure and energy intensity are key predictors.</w:t>
        <w:br w:type="textWrapping"/>
      </w:r>
    </w:p>
    <w:p w:rsidR="00000000" w:rsidDel="00000000" w:rsidP="00000000" w:rsidRDefault="00000000" w:rsidRPr="00000000" w14:paraId="0000000F">
      <w:pPr>
        <w:numPr>
          <w:ilvl w:val="0"/>
          <w:numId w:val="8"/>
        </w:numPr>
        <w:spacing w:after="240" w:before="0" w:beforeAutospacing="0" w:lineRule="auto"/>
        <w:ind w:left="720" w:hanging="360"/>
      </w:pPr>
      <w:r w:rsidDel="00000000" w:rsidR="00000000" w:rsidRPr="00000000">
        <w:rPr>
          <w:b w:val="1"/>
          <w:rtl w:val="0"/>
        </w:rPr>
        <w:t xml:space="preserve">Relevance:</w:t>
      </w:r>
      <w:r w:rsidDel="00000000" w:rsidR="00000000" w:rsidRPr="00000000">
        <w:rPr>
          <w:rtl w:val="0"/>
        </w:rPr>
        <w:t xml:space="preserve"> Motivates flexible, non‑parametric models and highlights structural/economic covariates we can incorporate.</w:t>
        <w:br w:type="textWrapping"/>
      </w:r>
    </w:p>
    <w:p w:rsidR="00000000" w:rsidDel="00000000" w:rsidP="00000000" w:rsidRDefault="00000000" w:rsidRPr="00000000" w14:paraId="00000010">
      <w:pPr>
        <w:pStyle w:val="Heading3"/>
        <w:keepNext w:val="0"/>
        <w:keepLines w:val="0"/>
        <w:spacing w:before="280" w:lineRule="auto"/>
        <w:ind w:left="600" w:right="600" w:firstLine="0"/>
        <w:rPr>
          <w:b w:val="1"/>
          <w:color w:val="000000"/>
          <w:sz w:val="26"/>
          <w:szCs w:val="26"/>
        </w:rPr>
      </w:pPr>
      <w:bookmarkStart w:colFirst="0" w:colLast="0" w:name="_ocm2cnvp3sn3" w:id="6"/>
      <w:bookmarkEnd w:id="6"/>
      <w:r w:rsidDel="00000000" w:rsidR="00000000" w:rsidRPr="00000000">
        <w:rPr>
          <w:b w:val="1"/>
          <w:color w:val="000000"/>
          <w:sz w:val="26"/>
          <w:szCs w:val="26"/>
          <w:rtl w:val="0"/>
        </w:rPr>
        <w:t xml:space="preserve">3.3 Drivers of Emissions Across 254 Cities (2011–2020)</w:t>
      </w:r>
    </w:p>
    <w:p w:rsidR="00000000" w:rsidDel="00000000" w:rsidP="00000000" w:rsidRDefault="00000000" w:rsidRPr="00000000" w14:paraId="00000011">
      <w:pPr>
        <w:numPr>
          <w:ilvl w:val="0"/>
          <w:numId w:val="5"/>
        </w:numPr>
        <w:spacing w:after="0" w:afterAutospacing="0" w:before="240" w:lineRule="auto"/>
        <w:ind w:left="720" w:hanging="360"/>
      </w:pPr>
      <w:r w:rsidDel="00000000" w:rsidR="00000000" w:rsidRPr="00000000">
        <w:rPr>
          <w:b w:val="1"/>
          <w:rtl w:val="0"/>
        </w:rPr>
        <w:t xml:space="preserve">Models:</w:t>
      </w:r>
      <w:r w:rsidDel="00000000" w:rsidR="00000000" w:rsidRPr="00000000">
        <w:rPr>
          <w:rtl w:val="0"/>
        </w:rPr>
        <w:t xml:space="preserve"> Extra‑Trees (top), Adaptive Lasso for feature selection; interpretation with Partial Dependence Plots.</w:t>
        <w:br w:type="textWrapping"/>
      </w:r>
    </w:p>
    <w:p w:rsidR="00000000" w:rsidDel="00000000" w:rsidP="00000000" w:rsidRDefault="00000000" w:rsidRPr="00000000" w14:paraId="00000012">
      <w:pPr>
        <w:numPr>
          <w:ilvl w:val="0"/>
          <w:numId w:val="5"/>
        </w:numPr>
        <w:spacing w:after="0" w:afterAutospacing="0" w:before="0" w:beforeAutospacing="0" w:lineRule="auto"/>
        <w:ind w:left="720" w:hanging="360"/>
      </w:pPr>
      <w:r w:rsidDel="00000000" w:rsidR="00000000" w:rsidRPr="00000000">
        <w:rPr>
          <w:b w:val="1"/>
          <w:rtl w:val="0"/>
        </w:rPr>
        <w:t xml:space="preserve">Findings:</w:t>
      </w:r>
      <w:r w:rsidDel="00000000" w:rsidR="00000000" w:rsidRPr="00000000">
        <w:rPr>
          <w:rtl w:val="0"/>
        </w:rPr>
        <w:t xml:space="preserve"> Energy consumption dominates; additional factors include FDI and policy uncertainty; effects vary by city size.</w:t>
        <w:br w:type="textWrapping"/>
      </w:r>
    </w:p>
    <w:p w:rsidR="00000000" w:rsidDel="00000000" w:rsidP="00000000" w:rsidRDefault="00000000" w:rsidRPr="00000000" w14:paraId="00000013">
      <w:pPr>
        <w:numPr>
          <w:ilvl w:val="0"/>
          <w:numId w:val="5"/>
        </w:numPr>
        <w:spacing w:after="240" w:before="0" w:beforeAutospacing="0" w:lineRule="auto"/>
        <w:ind w:left="720" w:hanging="360"/>
      </w:pPr>
      <w:r w:rsidDel="00000000" w:rsidR="00000000" w:rsidRPr="00000000">
        <w:rPr>
          <w:b w:val="1"/>
          <w:rtl w:val="0"/>
        </w:rPr>
        <w:t xml:space="preserve">Relevance:</w:t>
      </w:r>
      <w:r w:rsidDel="00000000" w:rsidR="00000000" w:rsidRPr="00000000">
        <w:rPr>
          <w:rtl w:val="0"/>
        </w:rPr>
        <w:t xml:space="preserve"> Offers a template for interpretable ML that links drivers to actionable policy; inspires our sector‑wise analysis.</w:t>
        <w:br w:type="textWrapping"/>
      </w:r>
    </w:p>
    <w:p w:rsidR="00000000" w:rsidDel="00000000" w:rsidP="00000000" w:rsidRDefault="00000000" w:rsidRPr="00000000" w14:paraId="00000014">
      <w:pPr>
        <w:pStyle w:val="Heading3"/>
        <w:keepNext w:val="0"/>
        <w:keepLines w:val="0"/>
        <w:spacing w:before="280" w:lineRule="auto"/>
        <w:ind w:left="600" w:right="600" w:firstLine="0"/>
        <w:rPr>
          <w:b w:val="1"/>
          <w:color w:val="000000"/>
          <w:sz w:val="26"/>
          <w:szCs w:val="26"/>
        </w:rPr>
      </w:pPr>
      <w:bookmarkStart w:colFirst="0" w:colLast="0" w:name="_iq5yfzjqwrep" w:id="7"/>
      <w:bookmarkEnd w:id="7"/>
      <w:r w:rsidDel="00000000" w:rsidR="00000000" w:rsidRPr="00000000">
        <w:rPr>
          <w:b w:val="1"/>
          <w:color w:val="000000"/>
          <w:sz w:val="26"/>
          <w:szCs w:val="26"/>
          <w:rtl w:val="0"/>
        </w:rPr>
        <w:t xml:space="preserve">3.4 Near‑Real‑Time Daily CO₂ Forecasting</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Horizon/Frequency:</w:t>
      </w:r>
      <w:r w:rsidDel="00000000" w:rsidR="00000000" w:rsidRPr="00000000">
        <w:rPr>
          <w:rtl w:val="0"/>
        </w:rPr>
        <w:t xml:space="preserve"> Daily emissions, 2020–2022; all sectors.</w:t>
        <w:br w:type="textWrapping"/>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Models:</w:t>
      </w:r>
      <w:r w:rsidDel="00000000" w:rsidR="00000000" w:rsidRPr="00000000">
        <w:rPr>
          <w:rtl w:val="0"/>
        </w:rPr>
        <w:t xml:space="preserve"> GM(1,1), ARIMA/SARIMAX, ANN, Random Forest, </w:t>
      </w:r>
      <w:r w:rsidDel="00000000" w:rsidR="00000000" w:rsidRPr="00000000">
        <w:rPr>
          <w:b w:val="1"/>
          <w:rtl w:val="0"/>
        </w:rPr>
        <w:t xml:space="preserve">LSTM (best)</w:t>
      </w:r>
      <w:r w:rsidDel="00000000" w:rsidR="00000000" w:rsidRPr="00000000">
        <w:rPr>
          <w:rtl w:val="0"/>
        </w:rPr>
        <w:t xml:space="preserve">.</w:t>
        <w:br w:type="textWrapping"/>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Findings:</w:t>
      </w:r>
      <w:r w:rsidDel="00000000" w:rsidR="00000000" w:rsidRPr="00000000">
        <w:rPr>
          <w:rtl w:val="0"/>
        </w:rPr>
        <w:t xml:space="preserve"> DL outperforms classical/ML at high frequency; evaluation via MSE, RMSE, MAE, MAPE, R².</w:t>
        <w:br w:type="textWrapping"/>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b w:val="1"/>
          <w:rtl w:val="0"/>
        </w:rPr>
        <w:t xml:space="preserve">Relevance:</w:t>
      </w:r>
      <w:r w:rsidDel="00000000" w:rsidR="00000000" w:rsidRPr="00000000">
        <w:rPr>
          <w:rtl w:val="0"/>
        </w:rPr>
        <w:t xml:space="preserve"> Supports using sequence models when moving to finer temporal resolution (e.g., daily AQI/meteorology).</w:t>
        <w:br w:type="textWrapping"/>
      </w:r>
    </w:p>
    <w:p w:rsidR="00000000" w:rsidDel="00000000" w:rsidP="00000000" w:rsidRDefault="00000000" w:rsidRPr="00000000" w14:paraId="00000019">
      <w:pPr>
        <w:pStyle w:val="Heading3"/>
        <w:keepNext w:val="0"/>
        <w:keepLines w:val="0"/>
        <w:spacing w:before="280" w:lineRule="auto"/>
        <w:ind w:left="600" w:right="600" w:firstLine="0"/>
        <w:rPr>
          <w:b w:val="1"/>
          <w:color w:val="000000"/>
          <w:sz w:val="26"/>
          <w:szCs w:val="26"/>
        </w:rPr>
      </w:pPr>
      <w:bookmarkStart w:colFirst="0" w:colLast="0" w:name="_54lc92s49l71" w:id="8"/>
      <w:bookmarkEnd w:id="8"/>
      <w:r w:rsidDel="00000000" w:rsidR="00000000" w:rsidRPr="00000000">
        <w:rPr>
          <w:b w:val="1"/>
          <w:color w:val="000000"/>
          <w:sz w:val="26"/>
          <w:szCs w:val="26"/>
          <w:rtl w:val="0"/>
        </w:rPr>
        <w:t xml:space="preserve">3.5–3.6 Long‑Range Atmospheric CO₂ (Mauna Loa)</w:t>
      </w:r>
    </w:p>
    <w:p w:rsidR="00000000" w:rsidDel="00000000" w:rsidP="00000000" w:rsidRDefault="00000000" w:rsidRPr="00000000" w14:paraId="0000001A">
      <w:pPr>
        <w:numPr>
          <w:ilvl w:val="0"/>
          <w:numId w:val="11"/>
        </w:numPr>
        <w:spacing w:after="0" w:afterAutospacing="0" w:before="240" w:lineRule="auto"/>
        <w:ind w:left="720" w:hanging="360"/>
      </w:pPr>
      <w:r w:rsidDel="00000000" w:rsidR="00000000" w:rsidRPr="00000000">
        <w:rPr>
          <w:b w:val="1"/>
          <w:rtl w:val="0"/>
        </w:rPr>
        <w:t xml:space="preserve">Data:</w:t>
      </w:r>
      <w:r w:rsidDel="00000000" w:rsidR="00000000" w:rsidRPr="00000000">
        <w:rPr>
          <w:rtl w:val="0"/>
        </w:rPr>
        <w:t xml:space="preserve"> 1958–present CO₂ observations (Hawaii).</w:t>
        <w:br w:type="textWrapping"/>
      </w:r>
    </w:p>
    <w:p w:rsidR="00000000" w:rsidDel="00000000" w:rsidP="00000000" w:rsidRDefault="00000000" w:rsidRPr="00000000" w14:paraId="0000001B">
      <w:pPr>
        <w:numPr>
          <w:ilvl w:val="0"/>
          <w:numId w:val="11"/>
        </w:numPr>
        <w:spacing w:after="0" w:afterAutospacing="0" w:before="0" w:beforeAutospacing="0" w:lineRule="auto"/>
        <w:ind w:left="720" w:hanging="360"/>
      </w:pPr>
      <w:r w:rsidDel="00000000" w:rsidR="00000000" w:rsidRPr="00000000">
        <w:rPr>
          <w:b w:val="1"/>
          <w:rtl w:val="0"/>
        </w:rPr>
        <w:t xml:space="preserve">Models:</w:t>
      </w:r>
      <w:r w:rsidDel="00000000" w:rsidR="00000000" w:rsidRPr="00000000">
        <w:rPr>
          <w:rtl w:val="0"/>
        </w:rPr>
        <w:t xml:space="preserve"> Linear regression, ARIMA, tree ensembles (RF/XGBoost), </w:t>
      </w:r>
      <w:r w:rsidDel="00000000" w:rsidR="00000000" w:rsidRPr="00000000">
        <w:rPr>
          <w:b w:val="1"/>
          <w:rtl w:val="0"/>
        </w:rPr>
        <w:t xml:space="preserve">LSTM (often best)</w:t>
      </w:r>
      <w:r w:rsidDel="00000000" w:rsidR="00000000" w:rsidRPr="00000000">
        <w:rPr>
          <w:rtl w:val="0"/>
        </w:rPr>
        <w:t xml:space="preserve">.</w:t>
        <w:br w:type="textWrapping"/>
      </w:r>
    </w:p>
    <w:p w:rsidR="00000000" w:rsidDel="00000000" w:rsidP="00000000" w:rsidRDefault="00000000" w:rsidRPr="00000000" w14:paraId="0000001C">
      <w:pPr>
        <w:numPr>
          <w:ilvl w:val="0"/>
          <w:numId w:val="11"/>
        </w:numPr>
        <w:spacing w:after="0" w:afterAutospacing="0" w:before="0" w:beforeAutospacing="0" w:lineRule="auto"/>
        <w:ind w:left="720" w:hanging="360"/>
      </w:pPr>
      <w:r w:rsidDel="00000000" w:rsidR="00000000" w:rsidRPr="00000000">
        <w:rPr>
          <w:b w:val="1"/>
          <w:rtl w:val="0"/>
        </w:rPr>
        <w:t xml:space="preserve">Findings:</w:t>
      </w:r>
      <w:r w:rsidDel="00000000" w:rsidR="00000000" w:rsidRPr="00000000">
        <w:rPr>
          <w:rtl w:val="0"/>
        </w:rPr>
        <w:t xml:space="preserve"> DL and ensembles excel on long‑horizon, non‑linear dynamics; visuals (trends, thresholds, seasonality) communicate risk.</w:t>
        <w:br w:type="textWrapping"/>
      </w:r>
    </w:p>
    <w:p w:rsidR="00000000" w:rsidDel="00000000" w:rsidP="00000000" w:rsidRDefault="00000000" w:rsidRPr="00000000" w14:paraId="0000001D">
      <w:pPr>
        <w:numPr>
          <w:ilvl w:val="0"/>
          <w:numId w:val="11"/>
        </w:numPr>
        <w:spacing w:after="240" w:before="0" w:beforeAutospacing="0" w:lineRule="auto"/>
        <w:ind w:left="720" w:hanging="360"/>
      </w:pPr>
      <w:r w:rsidDel="00000000" w:rsidR="00000000" w:rsidRPr="00000000">
        <w:rPr>
          <w:b w:val="1"/>
          <w:rtl w:val="0"/>
        </w:rPr>
        <w:t xml:space="preserve">Relevance:</w:t>
      </w:r>
      <w:r w:rsidDel="00000000" w:rsidR="00000000" w:rsidRPr="00000000">
        <w:rPr>
          <w:rtl w:val="0"/>
        </w:rPr>
        <w:t xml:space="preserve"> Validates our baselines and emphasizes model comparison under multiple metrics.</w:t>
        <w:br w:type="textWrapping"/>
      </w:r>
    </w:p>
    <w:p w:rsidR="00000000" w:rsidDel="00000000" w:rsidP="00000000" w:rsidRDefault="00000000" w:rsidRPr="00000000" w14:paraId="0000001E">
      <w:pPr>
        <w:pStyle w:val="Heading2"/>
        <w:keepNext w:val="0"/>
        <w:keepLines w:val="0"/>
        <w:spacing w:after="80" w:lineRule="auto"/>
        <w:ind w:left="600" w:right="600" w:firstLine="0"/>
        <w:rPr>
          <w:b w:val="1"/>
          <w:sz w:val="34"/>
          <w:szCs w:val="34"/>
        </w:rPr>
      </w:pPr>
      <w:bookmarkStart w:colFirst="0" w:colLast="0" w:name="_oh8t3zfhttg2" w:id="9"/>
      <w:bookmarkEnd w:id="9"/>
      <w:r w:rsidDel="00000000" w:rsidR="00000000" w:rsidRPr="00000000">
        <w:rPr>
          <w:b w:val="1"/>
          <w:sz w:val="34"/>
          <w:szCs w:val="34"/>
          <w:rtl w:val="0"/>
        </w:rPr>
        <w:t xml:space="preserve">4. Comparative Synthesis</w:t>
      </w:r>
    </w:p>
    <w:p w:rsidR="00000000" w:rsidDel="00000000" w:rsidP="00000000" w:rsidRDefault="00000000" w:rsidRPr="00000000" w14:paraId="0000001F">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DIMENTIONS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ML Ensembles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Deep learning (LSTM)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Captures trend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models trend explicitly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via engineered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 learns directly from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Captures seasonability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built into models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engineered seasonal features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Learns seawsonality implicitly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non-linerarity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Strongl capability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Strong capability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Multivariate inputs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Possible with SARIMAX variants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Naturally handles multiple variables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Naturally handles multiple variables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interpretability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 easy to explain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Medium, feature impostance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Lower, needs attention mechanism</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ind w:left="600" w:right="600" w:firstLine="0"/>
        <w:rPr>
          <w:b w:val="1"/>
        </w:rPr>
      </w:pPr>
      <w:bookmarkStart w:colFirst="0" w:colLast="0" w:name="_arjco5518et0" w:id="10"/>
      <w:bookmarkEnd w:id="10"/>
      <w:r w:rsidDel="00000000" w:rsidR="00000000" w:rsidRPr="00000000">
        <w:rPr>
          <w:b w:val="1"/>
          <w:rtl w:val="0"/>
        </w:rPr>
        <w:t xml:space="preserve">Key takeaways:</w:t>
      </w:r>
    </w:p>
    <w:p w:rsidR="00000000" w:rsidDel="00000000" w:rsidP="00000000" w:rsidRDefault="00000000" w:rsidRPr="00000000" w14:paraId="0000003B">
      <w:pPr>
        <w:numPr>
          <w:ilvl w:val="0"/>
          <w:numId w:val="1"/>
        </w:numPr>
        <w:spacing w:after="0" w:afterAutospacing="0" w:before="240" w:lineRule="auto"/>
        <w:ind w:left="720" w:hanging="360"/>
      </w:pPr>
      <w:r w:rsidDel="00000000" w:rsidR="00000000" w:rsidRPr="00000000">
        <w:rPr>
          <w:rtl w:val="0"/>
        </w:rPr>
        <w:t xml:space="preserve">LSTM and tree ensembles typically outperform classical models on complex or high‑frequency data.</w:t>
        <w:br w:type="textWrapping"/>
      </w:r>
    </w:p>
    <w:p w:rsidR="00000000" w:rsidDel="00000000" w:rsidP="00000000" w:rsidRDefault="00000000" w:rsidRPr="00000000" w14:paraId="0000003C">
      <w:pPr>
        <w:numPr>
          <w:ilvl w:val="0"/>
          <w:numId w:val="1"/>
        </w:numPr>
        <w:spacing w:after="0" w:afterAutospacing="0" w:before="0" w:beforeAutospacing="0" w:lineRule="auto"/>
        <w:ind w:left="720" w:hanging="360"/>
      </w:pPr>
      <w:r w:rsidDel="00000000" w:rsidR="00000000" w:rsidRPr="00000000">
        <w:rPr>
          <w:rtl w:val="0"/>
        </w:rPr>
        <w:t xml:space="preserve">Interpretable ML (feature importance, PDP, SHAP) is crucial for policy relevance.</w:t>
        <w:br w:type="textWrapping"/>
      </w:r>
    </w:p>
    <w:p w:rsidR="00000000" w:rsidDel="00000000" w:rsidP="00000000" w:rsidRDefault="00000000" w:rsidRPr="00000000" w14:paraId="0000003D">
      <w:pPr>
        <w:numPr>
          <w:ilvl w:val="0"/>
          <w:numId w:val="1"/>
        </w:numPr>
        <w:spacing w:after="240" w:before="0" w:beforeAutospacing="0" w:lineRule="auto"/>
        <w:ind w:left="720" w:hanging="360"/>
      </w:pPr>
      <w:r w:rsidDel="00000000" w:rsidR="00000000" w:rsidRPr="00000000">
        <w:rPr>
          <w:rtl w:val="0"/>
        </w:rPr>
        <w:t xml:space="preserve">Adding exogenous variables (meteorology, activity, sector data) improves realism and accuracy.</w:t>
        <w:br w:type="textWrapping"/>
      </w:r>
    </w:p>
    <w:p w:rsidR="00000000" w:rsidDel="00000000" w:rsidP="00000000" w:rsidRDefault="00000000" w:rsidRPr="00000000" w14:paraId="0000003E">
      <w:pPr>
        <w:pStyle w:val="Heading2"/>
        <w:keepNext w:val="0"/>
        <w:keepLines w:val="0"/>
        <w:spacing w:after="80" w:lineRule="auto"/>
        <w:ind w:left="600" w:right="600" w:firstLine="0"/>
        <w:rPr>
          <w:b w:val="1"/>
          <w:sz w:val="34"/>
          <w:szCs w:val="34"/>
        </w:rPr>
      </w:pPr>
      <w:bookmarkStart w:colFirst="0" w:colLast="0" w:name="_ifo4jdajhzoh" w:id="11"/>
      <w:bookmarkEnd w:id="11"/>
      <w:r w:rsidDel="00000000" w:rsidR="00000000" w:rsidRPr="00000000">
        <w:rPr>
          <w:b w:val="1"/>
          <w:sz w:val="34"/>
          <w:szCs w:val="34"/>
          <w:rtl w:val="0"/>
        </w:rPr>
        <w:t xml:space="preserve">5. Gaps in Prior Work</w:t>
      </w:r>
    </w:p>
    <w:p w:rsidR="00000000" w:rsidDel="00000000" w:rsidP="00000000" w:rsidRDefault="00000000" w:rsidRPr="00000000" w14:paraId="0000003F">
      <w:pPr>
        <w:numPr>
          <w:ilvl w:val="0"/>
          <w:numId w:val="3"/>
        </w:numPr>
        <w:spacing w:after="0" w:afterAutospacing="0" w:before="240" w:lineRule="auto"/>
        <w:ind w:left="720" w:hanging="360"/>
      </w:pPr>
      <w:r w:rsidDel="00000000" w:rsidR="00000000" w:rsidRPr="00000000">
        <w:rPr>
          <w:b w:val="1"/>
          <w:rtl w:val="0"/>
        </w:rPr>
        <w:t xml:space="preserve">Single‑variable focus:</w:t>
      </w:r>
      <w:r w:rsidDel="00000000" w:rsidR="00000000" w:rsidRPr="00000000">
        <w:rPr>
          <w:rtl w:val="0"/>
        </w:rPr>
        <w:t xml:space="preserve"> Many studies model CO₂ alone; fewer build a comprehensive </w:t>
      </w:r>
      <w:r w:rsidDel="00000000" w:rsidR="00000000" w:rsidRPr="00000000">
        <w:rPr>
          <w:b w:val="1"/>
          <w:rtl w:val="0"/>
        </w:rPr>
        <w:t xml:space="preserve">air‑quality profile</w:t>
      </w:r>
      <w:r w:rsidDel="00000000" w:rsidR="00000000" w:rsidRPr="00000000">
        <w:rPr>
          <w:rtl w:val="0"/>
        </w:rPr>
        <w:t xml:space="preserve"> (CO₂, PM₂.₅/PM₁₀, NO₂, SO₂, O₃, CO) with meteorology (temperature, humidity, wind, precipitation).</w:t>
        <w:br w:type="textWrapping"/>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b w:val="1"/>
          <w:rtl w:val="0"/>
        </w:rPr>
        <w:t xml:space="preserve">Limited sector attribution:</w:t>
      </w:r>
      <w:r w:rsidDel="00000000" w:rsidR="00000000" w:rsidRPr="00000000">
        <w:rPr>
          <w:rtl w:val="0"/>
        </w:rPr>
        <w:t xml:space="preserve"> Forecasts rarely attribute emissions to </w:t>
      </w:r>
      <w:r w:rsidDel="00000000" w:rsidR="00000000" w:rsidRPr="00000000">
        <w:rPr>
          <w:b w:val="1"/>
          <w:rtl w:val="0"/>
        </w:rPr>
        <w:t xml:space="preserve">sectors</w:t>
      </w:r>
      <w:r w:rsidDel="00000000" w:rsidR="00000000" w:rsidRPr="00000000">
        <w:rPr>
          <w:rtl w:val="0"/>
        </w:rPr>
        <w:t xml:space="preserve"> (transportation, industry, residential), limiting prescriptive guidance.</w:t>
        <w:br w:type="textWrapping"/>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b w:val="1"/>
          <w:rtl w:val="0"/>
        </w:rPr>
        <w:t xml:space="preserve">Explainability at scale:</w:t>
      </w:r>
      <w:r w:rsidDel="00000000" w:rsidR="00000000" w:rsidRPr="00000000">
        <w:rPr>
          <w:rtl w:val="0"/>
        </w:rPr>
        <w:t xml:space="preserve"> DL forecasts often lack </w:t>
      </w:r>
      <w:r w:rsidDel="00000000" w:rsidR="00000000" w:rsidRPr="00000000">
        <w:rPr>
          <w:b w:val="1"/>
          <w:rtl w:val="0"/>
        </w:rPr>
        <w:t xml:space="preserve">transparent explanations</w:t>
      </w:r>
      <w:r w:rsidDel="00000000" w:rsidR="00000000" w:rsidRPr="00000000">
        <w:rPr>
          <w:rtl w:val="0"/>
        </w:rPr>
        <w:t xml:space="preserve"> required by stakeholders.</w:t>
        <w:br w:type="textWrapping"/>
      </w:r>
    </w:p>
    <w:p w:rsidR="00000000" w:rsidDel="00000000" w:rsidP="00000000" w:rsidRDefault="00000000" w:rsidRPr="00000000" w14:paraId="00000042">
      <w:pPr>
        <w:numPr>
          <w:ilvl w:val="0"/>
          <w:numId w:val="3"/>
        </w:numPr>
        <w:spacing w:after="240" w:before="0" w:beforeAutospacing="0" w:lineRule="auto"/>
        <w:ind w:left="720" w:hanging="360"/>
      </w:pPr>
      <w:r w:rsidDel="00000000" w:rsidR="00000000" w:rsidRPr="00000000">
        <w:rPr>
          <w:b w:val="1"/>
          <w:rtl w:val="0"/>
        </w:rPr>
        <w:t xml:space="preserve">Operationalization:</w:t>
      </w:r>
      <w:r w:rsidDel="00000000" w:rsidR="00000000" w:rsidRPr="00000000">
        <w:rPr>
          <w:rFonts w:ascii="Arial Unicode MS" w:cs="Arial Unicode MS" w:eastAsia="Arial Unicode MS" w:hAnsi="Arial Unicode MS"/>
          <w:rtl w:val="0"/>
        </w:rPr>
        <w:t xml:space="preserve"> Few end‑to‑end systems (data ingestion → modeling → dashboard) for real‑time decision support.</w:t>
        <w:br w:type="textWrapping"/>
      </w:r>
    </w:p>
    <w:p w:rsidR="00000000" w:rsidDel="00000000" w:rsidP="00000000" w:rsidRDefault="00000000" w:rsidRPr="00000000" w14:paraId="00000043">
      <w:pPr>
        <w:pStyle w:val="Heading2"/>
        <w:keepNext w:val="0"/>
        <w:keepLines w:val="0"/>
        <w:spacing w:after="80" w:lineRule="auto"/>
        <w:ind w:left="600" w:right="600" w:firstLine="0"/>
        <w:rPr>
          <w:b w:val="1"/>
          <w:sz w:val="34"/>
          <w:szCs w:val="34"/>
        </w:rPr>
      </w:pPr>
      <w:bookmarkStart w:colFirst="0" w:colLast="0" w:name="_z5m7qvmcg9o1" w:id="12"/>
      <w:bookmarkEnd w:id="12"/>
      <w:r w:rsidDel="00000000" w:rsidR="00000000" w:rsidRPr="00000000">
        <w:rPr>
          <w:b w:val="1"/>
          <w:sz w:val="34"/>
          <w:szCs w:val="34"/>
          <w:rtl w:val="0"/>
        </w:rPr>
        <w:t xml:space="preserve">6. Our Proposed Direction</w:t>
      </w:r>
    </w:p>
    <w:p w:rsidR="00000000" w:rsidDel="00000000" w:rsidP="00000000" w:rsidRDefault="00000000" w:rsidRPr="00000000" w14:paraId="00000044">
      <w:pPr>
        <w:spacing w:after="240" w:before="240" w:lineRule="auto"/>
        <w:rPr/>
      </w:pPr>
      <w:r w:rsidDel="00000000" w:rsidR="00000000" w:rsidRPr="00000000">
        <w:rPr>
          <w:b w:val="1"/>
          <w:rtl w:val="0"/>
        </w:rPr>
        <w:t xml:space="preserve">Goal:</w:t>
      </w:r>
      <w:r w:rsidDel="00000000" w:rsidR="00000000" w:rsidRPr="00000000">
        <w:rPr>
          <w:rtl w:val="0"/>
        </w:rPr>
        <w:t xml:space="preserve"> Move from CO₂‑only forecasting to a </w:t>
      </w:r>
      <w:r w:rsidDel="00000000" w:rsidR="00000000" w:rsidRPr="00000000">
        <w:rPr>
          <w:b w:val="1"/>
          <w:rtl w:val="0"/>
        </w:rPr>
        <w:t xml:space="preserve">multivariate air‑quality and emissions intelligence</w:t>
      </w:r>
      <w:r w:rsidDel="00000000" w:rsidR="00000000" w:rsidRPr="00000000">
        <w:rPr>
          <w:rtl w:val="0"/>
        </w:rPr>
        <w:t xml:space="preserve"> platform with sector attribution.</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6.1 Data Plan</w:t>
      </w:r>
    </w:p>
    <w:p w:rsidR="00000000" w:rsidDel="00000000" w:rsidP="00000000" w:rsidRDefault="00000000" w:rsidRPr="00000000" w14:paraId="00000046">
      <w:pPr>
        <w:numPr>
          <w:ilvl w:val="0"/>
          <w:numId w:val="4"/>
        </w:numPr>
        <w:spacing w:after="0" w:afterAutospacing="0" w:before="240" w:lineRule="auto"/>
        <w:ind w:left="720" w:hanging="360"/>
      </w:pPr>
      <w:r w:rsidDel="00000000" w:rsidR="00000000" w:rsidRPr="00000000">
        <w:rPr>
          <w:b w:val="1"/>
          <w:rtl w:val="0"/>
        </w:rPr>
        <w:t xml:space="preserve">Sources:</w:t>
      </w:r>
      <w:r w:rsidDel="00000000" w:rsidR="00000000" w:rsidRPr="00000000">
        <w:rPr>
          <w:rtl w:val="0"/>
        </w:rPr>
        <w:t xml:space="preserve"> City authorities (monitoring stations/API) and public repositories for meteorology/emissions.</w:t>
        <w:br w:type="textWrapping"/>
      </w:r>
    </w:p>
    <w:p w:rsidR="00000000" w:rsidDel="00000000" w:rsidP="00000000" w:rsidRDefault="00000000" w:rsidRPr="00000000" w14:paraId="00000047">
      <w:pPr>
        <w:numPr>
          <w:ilvl w:val="0"/>
          <w:numId w:val="4"/>
        </w:numPr>
        <w:spacing w:after="0" w:afterAutospacing="0" w:before="0" w:beforeAutospacing="0" w:lineRule="auto"/>
        <w:ind w:left="720" w:hanging="360"/>
      </w:pPr>
      <w:r w:rsidDel="00000000" w:rsidR="00000000" w:rsidRPr="00000000">
        <w:rPr>
          <w:b w:val="1"/>
          <w:rtl w:val="0"/>
        </w:rPr>
        <w:t xml:space="preserve">Variables:</w:t>
      </w:r>
      <w:r w:rsidDel="00000000" w:rsidR="00000000" w:rsidRPr="00000000">
        <w:rPr>
          <w:rtl w:val="0"/>
        </w:rPr>
        <w:t xml:space="preserve"> AQI, PM₂.₅/PM₁₀, NO₂, SO₂, O₃, CO; meteorology (temperature, humidity, precipitation, wind); sectoral activity proxies (traffic counts, fuel use, industrial output, power demand).</w:t>
        <w:br w:type="textWrapping"/>
      </w:r>
    </w:p>
    <w:p w:rsidR="00000000" w:rsidDel="00000000" w:rsidP="00000000" w:rsidRDefault="00000000" w:rsidRPr="00000000" w14:paraId="00000048">
      <w:pPr>
        <w:numPr>
          <w:ilvl w:val="0"/>
          <w:numId w:val="4"/>
        </w:numPr>
        <w:spacing w:after="240" w:before="0" w:beforeAutospacing="0" w:lineRule="auto"/>
        <w:ind w:left="720" w:hanging="360"/>
      </w:pPr>
      <w:r w:rsidDel="00000000" w:rsidR="00000000" w:rsidRPr="00000000">
        <w:rPr>
          <w:b w:val="1"/>
          <w:rtl w:val="0"/>
        </w:rPr>
        <w:t xml:space="preserve">Cadence:</w:t>
      </w:r>
      <w:r w:rsidDel="00000000" w:rsidR="00000000" w:rsidRPr="00000000">
        <w:rPr>
          <w:rtl w:val="0"/>
        </w:rPr>
        <w:t xml:space="preserve"> Hourly/daily; station‑level with geospatial tags.</w:t>
        <w:br w:type="textWrapping"/>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6.2 Modeling Plan</w:t>
      </w:r>
    </w:p>
    <w:p w:rsidR="00000000" w:rsidDel="00000000" w:rsidP="00000000" w:rsidRDefault="00000000" w:rsidRPr="00000000" w14:paraId="0000004A">
      <w:pPr>
        <w:numPr>
          <w:ilvl w:val="0"/>
          <w:numId w:val="9"/>
        </w:numPr>
        <w:spacing w:after="0" w:afterAutospacing="0" w:before="240" w:lineRule="auto"/>
        <w:ind w:left="720" w:hanging="360"/>
      </w:pPr>
      <w:r w:rsidDel="00000000" w:rsidR="00000000" w:rsidRPr="00000000">
        <w:rPr>
          <w:b w:val="1"/>
          <w:rtl w:val="0"/>
        </w:rPr>
        <w:t xml:space="preserve">Baselines:</w:t>
      </w:r>
      <w:r w:rsidDel="00000000" w:rsidR="00000000" w:rsidRPr="00000000">
        <w:rPr>
          <w:rtl w:val="0"/>
        </w:rPr>
        <w:t xml:space="preserve"> ARIMA/Holt–Winters/Prophet for quick references.</w:t>
        <w:br w:type="textWrapping"/>
      </w:r>
    </w:p>
    <w:p w:rsidR="00000000" w:rsidDel="00000000" w:rsidP="00000000" w:rsidRDefault="00000000" w:rsidRPr="00000000" w14:paraId="0000004B">
      <w:pPr>
        <w:numPr>
          <w:ilvl w:val="0"/>
          <w:numId w:val="9"/>
        </w:numPr>
        <w:spacing w:after="0" w:afterAutospacing="0" w:before="0" w:beforeAutospacing="0" w:lineRule="auto"/>
        <w:ind w:left="720" w:hanging="360"/>
      </w:pPr>
      <w:r w:rsidDel="00000000" w:rsidR="00000000" w:rsidRPr="00000000">
        <w:rPr>
          <w:b w:val="1"/>
          <w:rtl w:val="0"/>
        </w:rPr>
        <w:t xml:space="preserve">Multivariate ML/DL:</w:t>
        <w:br w:type="textWrapping"/>
      </w:r>
    </w:p>
    <w:p w:rsidR="00000000" w:rsidDel="00000000" w:rsidP="00000000" w:rsidRDefault="00000000" w:rsidRPr="00000000" w14:paraId="0000004C">
      <w:pPr>
        <w:numPr>
          <w:ilvl w:val="1"/>
          <w:numId w:val="9"/>
        </w:numPr>
        <w:spacing w:after="0" w:afterAutospacing="0" w:before="0" w:beforeAutospacing="0" w:lineRule="auto"/>
        <w:ind w:left="1440" w:hanging="360"/>
      </w:pPr>
      <w:r w:rsidDel="00000000" w:rsidR="00000000" w:rsidRPr="00000000">
        <w:rPr>
          <w:rtl w:val="0"/>
        </w:rPr>
        <w:t xml:space="preserve">Tree‑ensembles (Random Forest/Extra‑Trees/XGBoost) with lagged and calendar features.</w:t>
        <w:br w:type="textWrapping"/>
      </w:r>
    </w:p>
    <w:p w:rsidR="00000000" w:rsidDel="00000000" w:rsidP="00000000" w:rsidRDefault="00000000" w:rsidRPr="00000000" w14:paraId="0000004D">
      <w:pPr>
        <w:numPr>
          <w:ilvl w:val="1"/>
          <w:numId w:val="9"/>
        </w:numPr>
        <w:spacing w:after="0" w:afterAutospacing="0" w:before="0" w:beforeAutospacing="0" w:lineRule="auto"/>
        <w:ind w:left="1440" w:hanging="360"/>
      </w:pPr>
      <w:r w:rsidDel="00000000" w:rsidR="00000000" w:rsidRPr="00000000">
        <w:rPr>
          <w:rtl w:val="0"/>
        </w:rPr>
        <w:t xml:space="preserve">Sequence models (LSTM/GRU); explore </w:t>
      </w:r>
      <w:r w:rsidDel="00000000" w:rsidR="00000000" w:rsidRPr="00000000">
        <w:rPr>
          <w:b w:val="1"/>
          <w:rtl w:val="0"/>
        </w:rPr>
        <w:t xml:space="preserve">Transformer‑style</w:t>
      </w:r>
      <w:r w:rsidDel="00000000" w:rsidR="00000000" w:rsidRPr="00000000">
        <w:rPr>
          <w:rtl w:val="0"/>
        </w:rPr>
        <w:t xml:space="preserve"> architectures for long‑horizon, multivariate forecasting.</w:t>
        <w:br w:type="textWrapping"/>
      </w:r>
    </w:p>
    <w:p w:rsidR="00000000" w:rsidDel="00000000" w:rsidP="00000000" w:rsidRDefault="00000000" w:rsidRPr="00000000" w14:paraId="0000004E">
      <w:pPr>
        <w:numPr>
          <w:ilvl w:val="0"/>
          <w:numId w:val="9"/>
        </w:numPr>
        <w:spacing w:after="0" w:afterAutospacing="0" w:before="0" w:beforeAutospacing="0" w:lineRule="auto"/>
        <w:ind w:left="720" w:hanging="360"/>
      </w:pPr>
      <w:r w:rsidDel="00000000" w:rsidR="00000000" w:rsidRPr="00000000">
        <w:rPr>
          <w:b w:val="1"/>
          <w:rtl w:val="0"/>
        </w:rPr>
        <w:t xml:space="preserve">Attribution &amp; Explainability:</w:t>
      </w:r>
      <w:r w:rsidDel="00000000" w:rsidR="00000000" w:rsidRPr="00000000">
        <w:rPr>
          <w:rtl w:val="0"/>
        </w:rPr>
        <w:t xml:space="preserve"> SHAP for feature/sector importance; PDP/ICE for marginal effects; temporal attention for DL.</w:t>
        <w:br w:type="textWrapping"/>
      </w:r>
    </w:p>
    <w:p w:rsidR="00000000" w:rsidDel="00000000" w:rsidP="00000000" w:rsidRDefault="00000000" w:rsidRPr="00000000" w14:paraId="0000004F">
      <w:pPr>
        <w:numPr>
          <w:ilvl w:val="0"/>
          <w:numId w:val="9"/>
        </w:numPr>
        <w:spacing w:after="240" w:before="0" w:beforeAutospacing="0" w:lineRule="auto"/>
        <w:ind w:left="720" w:hanging="360"/>
      </w:pPr>
      <w:r w:rsidDel="00000000" w:rsidR="00000000" w:rsidRPr="00000000">
        <w:rPr>
          <w:b w:val="1"/>
          <w:rtl w:val="0"/>
        </w:rPr>
        <w:t xml:space="preserve">Anomaly Detection:</w:t>
      </w:r>
      <w:r w:rsidDel="00000000" w:rsidR="00000000" w:rsidRPr="00000000">
        <w:rPr>
          <w:rtl w:val="0"/>
        </w:rPr>
        <w:t xml:space="preserve"> Rolling z‑scores or Isolation Forest to flag unusual spikes/drops (e.g., lockdown effects, weather events).</w:t>
        <w:br w:type="textWrapping"/>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6.3 Evaluation &amp; Reporting</w:t>
      </w:r>
    </w:p>
    <w:p w:rsidR="00000000" w:rsidDel="00000000" w:rsidP="00000000" w:rsidRDefault="00000000" w:rsidRPr="00000000" w14:paraId="00000051">
      <w:pPr>
        <w:numPr>
          <w:ilvl w:val="0"/>
          <w:numId w:val="10"/>
        </w:numPr>
        <w:spacing w:after="0" w:afterAutospacing="0" w:before="240" w:lineRule="auto"/>
        <w:ind w:left="720" w:hanging="360"/>
      </w:pPr>
      <w:r w:rsidDel="00000000" w:rsidR="00000000" w:rsidRPr="00000000">
        <w:rPr>
          <w:b w:val="1"/>
          <w:rtl w:val="0"/>
        </w:rPr>
        <w:t xml:space="preserve">Metrics:</w:t>
      </w:r>
      <w:r w:rsidDel="00000000" w:rsidR="00000000" w:rsidRPr="00000000">
        <w:rPr>
          <w:rtl w:val="0"/>
        </w:rPr>
        <w:t xml:space="preserve"> MAE, RMSE, MAPE, R².</w:t>
        <w:br w:type="textWrapping"/>
      </w:r>
    </w:p>
    <w:p w:rsidR="00000000" w:rsidDel="00000000" w:rsidP="00000000" w:rsidRDefault="00000000" w:rsidRPr="00000000" w14:paraId="00000052">
      <w:pPr>
        <w:numPr>
          <w:ilvl w:val="0"/>
          <w:numId w:val="10"/>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Rolling/expanding window cross‑validation; station‑level holdouts.</w:t>
        <w:br w:type="textWrapping"/>
      </w:r>
    </w:p>
    <w:p w:rsidR="00000000" w:rsidDel="00000000" w:rsidP="00000000" w:rsidRDefault="00000000" w:rsidRPr="00000000" w14:paraId="00000053">
      <w:pPr>
        <w:numPr>
          <w:ilvl w:val="0"/>
          <w:numId w:val="10"/>
        </w:numPr>
        <w:spacing w:after="240" w:before="0" w:beforeAutospacing="0" w:lineRule="auto"/>
        <w:ind w:left="720" w:hanging="360"/>
      </w:pPr>
      <w:r w:rsidDel="00000000" w:rsidR="00000000" w:rsidRPr="00000000">
        <w:rPr>
          <w:b w:val="1"/>
          <w:rtl w:val="0"/>
        </w:rPr>
        <w:t xml:space="preserve">Outputs:</w:t>
      </w:r>
      <w:r w:rsidDel="00000000" w:rsidR="00000000" w:rsidRPr="00000000">
        <w:rPr>
          <w:rtl w:val="0"/>
        </w:rPr>
        <w:t xml:space="preserve"> Forecasts with confidence intervals; sector contribution charts; what‑if simulations (e.g., 10% traffic reduction).</w:t>
        <w:br w:type="textWrapping"/>
      </w:r>
    </w:p>
    <w:p w:rsidR="00000000" w:rsidDel="00000000" w:rsidP="00000000" w:rsidRDefault="00000000" w:rsidRPr="00000000" w14:paraId="00000054">
      <w:pPr>
        <w:spacing w:after="240" w:before="240" w:lineRule="auto"/>
        <w:rPr>
          <w:b w:val="1"/>
        </w:rPr>
      </w:pPr>
      <w:r w:rsidDel="00000000" w:rsidR="00000000" w:rsidRPr="00000000">
        <w:rPr>
          <w:b w:val="1"/>
          <w:rtl w:val="0"/>
        </w:rPr>
        <w:t xml:space="preserve">6.4 Delivery</w:t>
      </w:r>
    </w:p>
    <w:p w:rsidR="00000000" w:rsidDel="00000000" w:rsidP="00000000" w:rsidRDefault="00000000" w:rsidRPr="00000000" w14:paraId="00000055">
      <w:pPr>
        <w:numPr>
          <w:ilvl w:val="0"/>
          <w:numId w:val="6"/>
        </w:numPr>
        <w:spacing w:after="0" w:afterAutospacing="0" w:before="240" w:lineRule="auto"/>
        <w:ind w:left="720" w:hanging="360"/>
      </w:pPr>
      <w:r w:rsidDel="00000000" w:rsidR="00000000" w:rsidRPr="00000000">
        <w:rPr>
          <w:b w:val="1"/>
          <w:rtl w:val="0"/>
        </w:rPr>
        <w:t xml:space="preserve">Artifacts:</w:t>
      </w:r>
      <w:r w:rsidDel="00000000" w:rsidR="00000000" w:rsidRPr="00000000">
        <w:rPr>
          <w:rtl w:val="0"/>
        </w:rPr>
        <w:t xml:space="preserve"> Reproducible notebooks, trained model artifacts, and a </w:t>
      </w:r>
      <w:r w:rsidDel="00000000" w:rsidR="00000000" w:rsidRPr="00000000">
        <w:rPr>
          <w:b w:val="1"/>
          <w:rtl w:val="0"/>
        </w:rPr>
        <w:t xml:space="preserve">Streamlit dashboard</w:t>
      </w:r>
      <w:r w:rsidDel="00000000" w:rsidR="00000000" w:rsidRPr="00000000">
        <w:rPr>
          <w:rtl w:val="0"/>
        </w:rPr>
        <w:t xml:space="preserve"> for interactive exploration.</w:t>
        <w:br w:type="textWrapping"/>
      </w:r>
    </w:p>
    <w:p w:rsidR="00000000" w:rsidDel="00000000" w:rsidP="00000000" w:rsidRDefault="00000000" w:rsidRPr="00000000" w14:paraId="00000056">
      <w:pPr>
        <w:numPr>
          <w:ilvl w:val="0"/>
          <w:numId w:val="6"/>
        </w:numPr>
        <w:spacing w:after="240" w:before="0" w:beforeAutospacing="0" w:lineRule="auto"/>
        <w:ind w:left="720" w:hanging="360"/>
      </w:pPr>
      <w:r w:rsidDel="00000000" w:rsidR="00000000" w:rsidRPr="00000000">
        <w:rPr>
          <w:b w:val="1"/>
          <w:rtl w:val="0"/>
        </w:rPr>
        <w:t xml:space="preserve">Reproducibility:</w:t>
      </w:r>
      <w:r w:rsidDel="00000000" w:rsidR="00000000" w:rsidRPr="00000000">
        <w:rPr>
          <w:rtl w:val="0"/>
        </w:rPr>
        <w:t xml:space="preserve"> Clear repo structure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/notebooks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/models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/reports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/literature</w:t>
      </w:r>
      <w:r w:rsidDel="00000000" w:rsidR="00000000" w:rsidRPr="00000000">
        <w:rPr>
          <w:rtl w:val="0"/>
        </w:rPr>
        <w:t xml:space="preserve">), environment files.</w:t>
        <w:br w:type="textWrapping"/>
      </w:r>
    </w:p>
    <w:p w:rsidR="00000000" w:rsidDel="00000000" w:rsidP="00000000" w:rsidRDefault="00000000" w:rsidRPr="00000000" w14:paraId="00000057">
      <w:pPr>
        <w:pStyle w:val="Heading2"/>
        <w:keepNext w:val="0"/>
        <w:keepLines w:val="0"/>
        <w:spacing w:after="80" w:lineRule="auto"/>
        <w:ind w:left="600" w:right="600" w:firstLine="0"/>
        <w:rPr>
          <w:b w:val="1"/>
          <w:sz w:val="34"/>
          <w:szCs w:val="34"/>
        </w:rPr>
      </w:pPr>
      <w:bookmarkStart w:colFirst="0" w:colLast="0" w:name="_qmiqhgqezm80" w:id="13"/>
      <w:bookmarkEnd w:id="13"/>
      <w:r w:rsidDel="00000000" w:rsidR="00000000" w:rsidRPr="00000000">
        <w:rPr>
          <w:b w:val="1"/>
          <w:sz w:val="34"/>
          <w:szCs w:val="34"/>
          <w:rtl w:val="0"/>
        </w:rPr>
        <w:t xml:space="preserve">7. Conclusion</w:t>
      </w:r>
    </w:p>
    <w:p w:rsidR="00000000" w:rsidDel="00000000" w:rsidP="00000000" w:rsidRDefault="00000000" w:rsidRPr="00000000" w14:paraId="00000058">
      <w:pPr>
        <w:spacing w:after="240" w:before="240" w:lineRule="auto"/>
        <w:rPr/>
      </w:pPr>
      <w:r w:rsidDel="00000000" w:rsidR="00000000" w:rsidRPr="00000000">
        <w:rPr>
          <w:rtl w:val="0"/>
        </w:rPr>
        <w:t xml:space="preserve">Prior research establishes that while classical models provide interpretable baselines, ML/DL—especially LSTM and tree ensembles—achieve superior accuracy, and interpretable ML bridges the gap to policy action. Our contribution extends this line of work by</w:t>
      </w:r>
    </w:p>
    <w:p w:rsidR="00000000" w:rsidDel="00000000" w:rsidP="00000000" w:rsidRDefault="00000000" w:rsidRPr="00000000" w14:paraId="00000059">
      <w:pPr>
        <w:spacing w:after="240" w:before="240" w:lineRule="auto"/>
        <w:rPr/>
      </w:pPr>
      <w:r w:rsidDel="00000000" w:rsidR="00000000" w:rsidRPr="00000000">
        <w:rPr>
          <w:rtl w:val="0"/>
        </w:rPr>
        <w:t xml:space="preserve">(i) integrating </w:t>
      </w:r>
      <w:r w:rsidDel="00000000" w:rsidR="00000000" w:rsidRPr="00000000">
        <w:rPr>
          <w:b w:val="1"/>
          <w:rtl w:val="0"/>
        </w:rPr>
        <w:t xml:space="preserve">multivariate air‑quality and meteorology</w:t>
      </w: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(ii) performing </w:t>
      </w:r>
      <w:r w:rsidDel="00000000" w:rsidR="00000000" w:rsidRPr="00000000">
        <w:rPr>
          <w:b w:val="1"/>
          <w:rtl w:val="0"/>
        </w:rPr>
        <w:t xml:space="preserve">sector‑level attribution</w:t>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(iii) delivering an </w:t>
      </w:r>
      <w:r w:rsidDel="00000000" w:rsidR="00000000" w:rsidRPr="00000000">
        <w:rPr>
          <w:b w:val="1"/>
          <w:rtl w:val="0"/>
        </w:rPr>
        <w:t xml:space="preserve">explainable, deployable</w:t>
      </w:r>
      <w:r w:rsidDel="00000000" w:rsidR="00000000" w:rsidRPr="00000000">
        <w:rPr>
          <w:rtl w:val="0"/>
        </w:rPr>
        <w:t xml:space="preserve"> analytics system suitable for real‑time decision support.</w:t>
      </w:r>
    </w:p>
    <w:p w:rsidR="00000000" w:rsidDel="00000000" w:rsidP="00000000" w:rsidRDefault="00000000" w:rsidRPr="00000000" w14:paraId="0000005C">
      <w:pPr>
        <w:spacing w:after="240" w:before="240" w:lineRule="auto"/>
        <w:ind w:left="0" w:firstLine="0"/>
        <w:rPr/>
      </w:pPr>
      <w:r w:rsidDel="00000000" w:rsidR="00000000" w:rsidRPr="00000000">
        <w:rPr>
          <w:rtl w:val="0"/>
        </w:rPr>
      </w:r>
    </w:p>
    <w:p w:rsidR="00000000" w:rsidDel="00000000" w:rsidP="00000000" w:rsidRDefault="00000000" w:rsidRPr="00000000" w14:paraId="0000005D">
      <w:pPr>
        <w:spacing w:after="240" w:before="240" w:lineRule="auto"/>
        <w:ind w:left="600" w:right="600" w:firstLine="0"/>
        <w:rPr/>
      </w:pPr>
      <w:r w:rsidDel="00000000" w:rsidR="00000000" w:rsidRPr="00000000">
        <w:rPr>
          <w:rtl w:val="0"/>
        </w:rPr>
      </w:r>
    </w:p>
    <w:p w:rsidR="00000000" w:rsidDel="00000000" w:rsidP="00000000" w:rsidRDefault="00000000" w:rsidRPr="00000000" w14:paraId="0000005E">
      <w:pPr>
        <w:spacing w:after="240" w:before="240" w:lineRule="auto"/>
        <w:ind w:left="600" w:right="600" w:firstLine="0"/>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