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10-Year Population Forecast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E07B2A"/>
          <w:sz w:val="28"/>
          <w:szCs w:val="28"/>
        </w:rPr>
        <w:t xml:space="preserve">Atlanta-Sandy Springs-Roswell, GA Metropolitan Statistical Area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Forecast Period: 2025-2034  |  Data Source: U.S. Census Bureau</w:t>
      </w:r>
    </w:p>
    <w:p>
      <w:pPr>
        <w:pBdr>
          <w:bottom w:val="single" w:color="1A3A5C" w:sz="6" w:space="1"/>
        </w:pBd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2"/>
              <w:left w:val="single" w:color="1A3A5C" w:sz="12"/>
              <w:bottom w:val="single" w:color="1A3A5C" w:sz="12"/>
              <w:right w:val="single" w:color="1A3A5C" w:sz="12"/>
            </w:tcBorders>
            <w:shd w:fill="F2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Executive Summary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Atlanta MSA is projected to grow from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6.41 million (2024)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to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7.16 million by 2034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-- an increase of approximately </w:t>
            </w:r>
            <w:r>
              <w:rPr>
                <w:rFonts w:ascii="Arial" w:cs="Arial" w:eastAsia="Arial" w:hAnsi="Arial"/>
                <w:b/>
                <w:bCs/>
                <w:color w:val="E07B2A"/>
                <w:sz w:val="22"/>
                <w:szCs w:val="22"/>
              </w:rPr>
              <w:t xml:space="preserve">744,000 people (+11.6%)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 Growth is driven primarily by strong net in-migration averaging ~47,000 persons annually (2020-2024). Atlanta remains one of the fastest-growing Sun Belt metros in the United States.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Data &amp; Preparation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1.1 Data Sources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primary datasets were used, both sourced from the U.S. Census Bureau: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Annual population totals with components of change (births, deaths, net migration) for the Atlanta-Sandy Springs-Roswell MSA, covering 2011-2024. This series forms the primary modeling input.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Age-by-single-year population estimates (ages 0-85+) for 2020-2025, used to validate the total forecast via cohort structure analysis.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1.2 Data Preparation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annual totals file was cleaned by stripping trailing whitespace from column headers and filtering out non-year rows. All numeric fields (population, births, deaths, domestic and international migration) were cast to integer. The age-structure file was reviewed to assess cohort composition and aging trends. No imputation was required -- the dataset had no missing values for the 2011-2024 period.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final modeling dataset contains 14 annual observations -- the complete available post-2010 Census record for this geography. While compact, this is appropriate for the chosen methodology, which is designed to work well on short series.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1.3 Historical Population Data (2011-2024)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690"/>
        <w:gridCol w:w="1580"/>
        <w:gridCol w:w="1580"/>
        <w:gridCol w:w="1340"/>
      </w:tblGrid>
      <w:tr>
        <w:trPr>
          <w:tblHeader/>
        </w:trP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69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Population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Natural Increase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Migration</w:t>
            </w:r>
          </w:p>
        </w:tc>
        <w:tc>
          <w:tcPr>
            <w:tcW w:type="dxa" w:w="1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Change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2011</w:t>
            </w:r>
          </w:p>
        </w:tc>
        <w:tc>
          <w:tcPr>
            <w:tcW w:type="dxa" w:w="169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5,367,069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41,748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22,484</w:t>
            </w:r>
          </w:p>
        </w:tc>
        <w:tc>
          <w:tcPr>
            <w:tcW w:type="dxa" w:w="1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2012</w:t>
            </w:r>
          </w:p>
        </w:tc>
        <w:tc>
          <w:tcPr>
            <w:tcW w:type="dxa" w:w="169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5,445,543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41,158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36,897</w:t>
            </w:r>
          </w:p>
        </w:tc>
        <w:tc>
          <w:tcPr>
            <w:tcW w:type="dxa" w:w="1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78,474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2013</w:t>
            </w:r>
          </w:p>
        </w:tc>
        <w:tc>
          <w:tcPr>
            <w:tcW w:type="dxa" w:w="169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5,512,111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37,462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28,967</w:t>
            </w:r>
          </w:p>
        </w:tc>
        <w:tc>
          <w:tcPr>
            <w:tcW w:type="dxa" w:w="1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66,568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2014</w:t>
            </w:r>
          </w:p>
        </w:tc>
        <w:tc>
          <w:tcPr>
            <w:tcW w:type="dxa" w:w="169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5,595,218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38,421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44,802</w:t>
            </w:r>
          </w:p>
        </w:tc>
        <w:tc>
          <w:tcPr>
            <w:tcW w:type="dxa" w:w="1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83,107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2015</w:t>
            </w:r>
          </w:p>
        </w:tc>
        <w:tc>
          <w:tcPr>
            <w:tcW w:type="dxa" w:w="169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5,688,583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37,691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55,761</w:t>
            </w:r>
          </w:p>
        </w:tc>
        <w:tc>
          <w:tcPr>
            <w:tcW w:type="dxa" w:w="1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93,365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2016</w:t>
            </w:r>
          </w:p>
        </w:tc>
        <w:tc>
          <w:tcPr>
            <w:tcW w:type="dxa" w:w="169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5,791,874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37,120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66,191</w:t>
            </w:r>
          </w:p>
        </w:tc>
        <w:tc>
          <w:tcPr>
            <w:tcW w:type="dxa" w:w="1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103,291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2017</w:t>
            </w:r>
          </w:p>
        </w:tc>
        <w:tc>
          <w:tcPr>
            <w:tcW w:type="dxa" w:w="169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5,876,763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35,512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49,369</w:t>
            </w:r>
          </w:p>
        </w:tc>
        <w:tc>
          <w:tcPr>
            <w:tcW w:type="dxa" w:w="1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84,889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2018</w:t>
            </w:r>
          </w:p>
        </w:tc>
        <w:tc>
          <w:tcPr>
            <w:tcW w:type="dxa" w:w="169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5,951,394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33,205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41,417</w:t>
            </w:r>
          </w:p>
        </w:tc>
        <w:tc>
          <w:tcPr>
            <w:tcW w:type="dxa" w:w="1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74,631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2019</w:t>
            </w:r>
          </w:p>
        </w:tc>
        <w:tc>
          <w:tcPr>
            <w:tcW w:type="dxa" w:w="169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6,027,231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30,494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45,313</w:t>
            </w:r>
          </w:p>
        </w:tc>
        <w:tc>
          <w:tcPr>
            <w:tcW w:type="dxa" w:w="1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75,837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2020</w:t>
            </w:r>
          </w:p>
        </w:tc>
        <w:tc>
          <w:tcPr>
            <w:tcW w:type="dxa" w:w="169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6,087,762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26,133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34,374</w:t>
            </w:r>
          </w:p>
        </w:tc>
        <w:tc>
          <w:tcPr>
            <w:tcW w:type="dxa" w:w="1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60,531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2021</w:t>
            </w:r>
          </w:p>
        </w:tc>
        <w:tc>
          <w:tcPr>
            <w:tcW w:type="dxa" w:w="169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6,160,570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17,361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21,715</w:t>
            </w:r>
          </w:p>
        </w:tc>
        <w:tc>
          <w:tcPr>
            <w:tcW w:type="dxa" w:w="1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72,808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2022</w:t>
            </w:r>
          </w:p>
        </w:tc>
        <w:tc>
          <w:tcPr>
            <w:tcW w:type="dxa" w:w="169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6,253,070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19,917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73,586</w:t>
            </w:r>
          </w:p>
        </w:tc>
        <w:tc>
          <w:tcPr>
            <w:tcW w:type="dxa" w:w="1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92,500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2023</w:t>
            </w:r>
          </w:p>
        </w:tc>
        <w:tc>
          <w:tcPr>
            <w:tcW w:type="dxa" w:w="169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6,336,015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25,887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57,017</w:t>
            </w:r>
          </w:p>
        </w:tc>
        <w:tc>
          <w:tcPr>
            <w:tcW w:type="dxa" w:w="1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82,945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2024</w:t>
            </w:r>
          </w:p>
        </w:tc>
        <w:tc>
          <w:tcPr>
            <w:tcW w:type="dxa" w:w="169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6,411,149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26,916</w:t>
            </w:r>
          </w:p>
        </w:tc>
        <w:tc>
          <w:tcPr>
            <w:tcW w:type="dxa" w:w="1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48,363</w:t>
            </w:r>
          </w:p>
        </w:tc>
        <w:tc>
          <w:tcPr>
            <w:tcW w:type="dxa" w:w="1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75,134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Method &amp; Assumptions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2.1 Forecasting Approach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dual-model blended approach was used, combining a time-series model with a demographic component model. The time-series model captures overall momentum and autocorrelation in population data, while the component model grounds the forecast in observable demographic drivers: births, deaths, and net migration. Their simple average forms the base forecast.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dual approach is more defensible than a single method alone. It is also directly aligned with how professional demographers approach MSA-level forecasts -- neither pure statistical extrapolation nor pure component projection, but a synthesis of both.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2.2 Model 1 -- Holts Linear Exponential Smoothing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Holt's method (double exponential smoothing) models both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level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(current population size) and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trend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(rate of annual growth) using two smoothing parameters, alpha and beta. Unlike simple moving averages, it weights recent observations more heavily and explicitly models directional momentum -- making it well-suited to populations with a persistent growth trend.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Parameters were selected via grid search over alpha (0.1 to 0.9) and beta (0.05 to 0.45), minimising Root Mean Squared Error (RMSE) on the full historical series.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Optimal parameters: alpha = 0.10, beta = 0.05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yielding an in-sample RMSE of approximately 71,000 persons -- less than 1.2% of current population.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low alpha reflects Atlanta's stable, slowly-evolving growth trajectory. The model correctly assigns high inertia to the long-run trend rather than chasing year-to-year volatility (e.g., the 2021 migration dip or the 2022 rebound).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2.3 Model 2 -- Component Model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component model extrapolates population using the standard demographic accounting identity: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P(t)  =  P(t-1)  +  Natural Increase  +  Net Migration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Five-year averages (2020-2024) were used for each component, reflecting the most recent demographic regime. Using the full 2011-2024 average would overstate natural increase, as births have declined and deaths risen with an aging population.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Average annual Natural Increase: +23,242 persons (births minus deaths)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Average annual Net Migration: +47,011 persons (international + domestic combined)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Combined average annual growth: +70,253 persons per year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2.4 Age-Structure Cross-Check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Census age-by-year file (2020-2025) was used as a validation layer. Key observations: the largest cohorts in 2025 are ages 30-36 -- prime working-age adults -- consistent with ongoing in-migration of young professionals. The 65+ share of the population grew from 12.7% (2020) to 14.1% (2025), implying gradually declining natural increase over the forecast horizon. This aging trend is consistent with the component model assumption of stable-to-declining natural increase. No structural discontinuity in the age pyramid was identified that would invalidate the forecast.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2.5 Uncertainty Scenarios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Scenario bounds are constructed by varying the net migration assumption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plus or minus 20,000 persons per year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which captures a plausible range from a migration slowdown to an accelerated in-migration scenario.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 Scenario (+20k/yr): Continued Sun Belt boom -- tech expansion, strong labour market, persistent affordability advantage over coastal metros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Scenario: 5-year historical average maintained through 2034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 Scenario (-20k/yr): Migration headwinds from housing affordability erosion, economic slowdown, or reduced international inflows</w:t>
      </w:r>
    </w:p>
    <w:p>
      <w:pPr>
        <w:spacing w:after="60" w:before="6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Forecast Output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3.1 Annual Forecast Table (2025-2034)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080"/>
        <w:gridCol w:w="2080"/>
        <w:gridCol w:w="2030"/>
        <w:gridCol w:w="1000"/>
      </w:tblGrid>
      <w:tr>
        <w:trPr>
          <w:tblHeader/>
        </w:trP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Forecast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 Scenario</w:t>
            </w:r>
          </w:p>
        </w:tc>
        <w:tc>
          <w:tcPr>
            <w:tcW w:type="dxa" w:w="20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 Scenario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Growth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2025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6,482,667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6,472,667</w:t>
            </w:r>
          </w:p>
        </w:tc>
        <w:tc>
          <w:tcPr>
            <w:tcW w:type="dxa" w:w="20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6,492,667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71,518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6,557,378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6,537,378</w:t>
            </w:r>
          </w:p>
        </w:tc>
        <w:tc>
          <w:tcPr>
            <w:tcW w:type="dxa" w:w="20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6,577,378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74,711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2027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6,632,090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6,602,090</w:t>
            </w:r>
          </w:p>
        </w:tc>
        <w:tc>
          <w:tcPr>
            <w:tcW w:type="dxa" w:w="20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6,662,090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74,712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2028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6,706,801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6,666,801</w:t>
            </w:r>
          </w:p>
        </w:tc>
        <w:tc>
          <w:tcPr>
            <w:tcW w:type="dxa" w:w="20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6,746,801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74,711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2029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6,781,512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6,731,512</w:t>
            </w:r>
          </w:p>
        </w:tc>
        <w:tc>
          <w:tcPr>
            <w:tcW w:type="dxa" w:w="20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6,831,512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74,711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2030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6,856,223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6,796,223</w:t>
            </w:r>
          </w:p>
        </w:tc>
        <w:tc>
          <w:tcPr>
            <w:tcW w:type="dxa" w:w="20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6,916,223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74,711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2031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6,930,935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6,860,935</w:t>
            </w:r>
          </w:p>
        </w:tc>
        <w:tc>
          <w:tcPr>
            <w:tcW w:type="dxa" w:w="20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7,000,935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74,712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2032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7,005,646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6,925,646</w:t>
            </w:r>
          </w:p>
        </w:tc>
        <w:tc>
          <w:tcPr>
            <w:tcW w:type="dxa" w:w="20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7,085,646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74,711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2033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7,080,357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6,990,357</w:t>
            </w:r>
          </w:p>
        </w:tc>
        <w:tc>
          <w:tcPr>
            <w:tcW w:type="dxa" w:w="20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7,170,357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74,711</w:t>
            </w:r>
          </w:p>
        </w:tc>
      </w:tr>
      <w:tr>
        <w:tc>
          <w:tcPr>
            <w:tcW w:type="dxa" w:w="117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2034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7,155,069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7,055,069</w:t>
            </w:r>
          </w:p>
        </w:tc>
        <w:tc>
          <w:tcPr>
            <w:tcW w:type="dxa" w:w="20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7,255,069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74,712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 2034, the base forecast reaches 7,155,069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-- a gain of 743,920 persons over the 2024 base (+11.6%). The spread between the low and high scenarios is approximately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200,000 persons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reflecting uncertainty concentrated in migration flows, which are the dominant and most volatile growth driver.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3.2 Visualisations</w:t>
      </w:r>
    </w:p>
    <w:p>
      <w:pPr>
        <w:spacing w:after="60" w:before="120"/>
        <w:jc w:val="center"/>
      </w:pPr>
      <w:r>
        <w:drawing>
          <wp:inline distT="0" distB="0" distL="0" distR="0">
            <wp:extent cx="604837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Left -- Historical population (2011-2024) with 10-year base forecast and uncertainty band. Right -- Annual components of change (natural increase and net migration).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Explanation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4.1 Methodology Summary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forecast blends Holt's Linear Exponential Smoothing with a demographic component model, with equal (50/50) weighting. The blend prevents either model from dominating: the Holt model captures statistical trend momentum, while the component model grounds projections in demographic fundamentals. Parameters were selected by grid-search RMSE minimisation -- not set arbitrarily.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decision to avoid more complex models (ARIMA, machine learning approaches) is deliberate. With 14 annual observations, overfitting is a material risk. A parsimonious model with transparent, interpretable parameters is more rigorous -- and more honest about uncertainty -- than a complex model that appears precise but is statistically fragile on a short series.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4.2 Key Assumptions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 migration holds near its 2020-2024 average of approximately 47,000 persons per year. This is the single most important and most uncertain assumption in the model.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Natural increase continues its gradual decline, consistent with the trend from 41,748 (2011) to 26,916 (2024), as the population ages and births moderate.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structural break occurs -- no recession, pandemic, or major policy shock significantly disrupts migration patterns over the 10-year horizon.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MSA boundary remains unchanged throughout the forecast period.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4.3 Growth Drivers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Atlanta's growth is overwhelmingly a migration story. Net migration has accounted for 60-70% of total population growth in most years. Several structural factors sustain this: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Economic magnetism: Atlanta is the corporate hub of the Southeast, anchored by Delta, Coca-Cola, Home Depot, and UPS, with growing presence in technology, film/media, and financial services.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Relative affordability: Median home prices and cost of living remain well below comparable gateway metros (New York, Los Angeles, San Francisco), making Atlanta a rational relocation destination.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Hartsfield-Jackson Airport: As the world's busiest airport, Atlanta benefits disproportionately from international migration -- 49,691 international arrivals in 2024 alone.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Demographics: Atlanta has become the premier destination for Black middle-class and professional households relocating from the Northeast and Midwest, reinforcing sustained domestic in-migration.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Natural increase: Though declining, Atlanta still records approximately 27,000 more births than deaths annually -- a positive but secondary contributor.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4.4 Risks &amp; Factors That Could Materially Change the Forecast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forecast carries several identified risks, primarily to the downside: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Housing affordability squeeze (HIGH PROBABILITY): Atlanta home prices have risen sharply since 2020. If affordability erodes to the point where it no longer competes with lower-cost metros, in-migration could slow materially -- this is the primary driver of the low scenario.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Climate and infrastructure risk (MEDIUM PROBABILITY): Water supply constraints, urban heat, and traffic congestion are long-standing concerns. Severe weather events or infrastructure failures could dampen migration attractiveness.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Recession or labour market shock (MEDIUM PROBABILITY): A significant economic contraction would reduce domestic in-migration. The 2021 data illustrate this sensitivity: net migration fell to just 21,715 that year.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Federal immigration policy (LOW PROBABILITY, HIGH IMPACT): Changes to visa or immigration enforcement policy could sharply reduce international inflows. In 2024, international arrivals (+49,691) more than offset a net domestic outflow (-1,328) -- policy reversal here would structurally change the growth picture.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Upside -- tech corridor expansion: If Atlanta successfully captures a larger share of technology company relocations (already underway), growth could accelerate toward or exceed the high scenario.</w:t>
      </w:r>
    </w:p>
    <w:p>
      <w:pPr>
        <w:spacing w:after="60" w:before="6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Reproducibility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analysis was conducted in Python 3.12. The complete annotated script is provided as a separate file (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atlanta_forecast.py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). The script requires only standard scientific Python libraries: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pandas, numpy, matplotlib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-- no proprietary or licensed packages. The Holt smoothing and component model are implemented from scratch using numpy, so no external forecasting library is required.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reproduce results: place </w:t>
      </w:r>
      <w:r>
        <w:rPr>
          <w:rFonts w:ascii="Courier New" w:cs="Courier New" w:eastAsia="Courier New" w:hAnsi="Courier New"/>
          <w:sz w:val="22"/>
          <w:szCs w:val="22"/>
        </w:rPr>
        <w:t xml:space="preserve">Atlanta.csv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2"/>
          <w:szCs w:val="22"/>
        </w:rPr>
        <w:t xml:space="preserve">cbsa-est2024-syasex.csv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working directory, then run: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python3 atlanta_forecast.py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Outputs will be written to the same directory.</w:t>
      </w:r>
    </w:p>
    <w:p>
      <w:pPr>
        <w:spacing w:after="60" w:before="60"/>
      </w:pPr>
      <w:r>
        <w:t xml:space="preserve"/>
      </w:r>
    </w:p>
    <w:p>
      <w:pPr>
        <w:pBdr>
          <w:bottom w:val="single" w:color="D0D5DD" w:sz="6" w:space="1"/>
        </w:pBdr>
        <w:spacing w:after="180" w:before="0"/>
      </w:pPr>
      <w:r>
        <w:t xml:space="preserve"/>
      </w:r>
    </w:p>
    <w:p>
      <w:pPr>
        <w:spacing w:after="40" w:before="6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Data: U.S. Census Bureau, Population Estimates Program (2024 vintage)  |  Analysis: April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2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2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Atlanta MSA Population Forecast  |  Research &amp; Investment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604ee44bddf9e1318b079dd84081c704e5b1b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2026-04-17T18:29:42.925Z</dcterms:created>
  <dcterms:modified xsi:type="dcterms:W3CDTF">2026-04-17T18:29:42.926Z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