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0" w:lineRule="auto"/>
        <w:jc w:val="center"/>
        <w:rPr>
          <w:rFonts w:ascii="Open Sans" w:cs="Open Sans" w:eastAsia="Open Sans" w:hAnsi="Open Sans"/>
          <w:b w:val="1"/>
          <w:bCs w:val="1"/>
          <w:color w:val="333333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34"/>
          <w:szCs w:val="34"/>
          <w:rtl w:val="0"/>
        </w:rPr>
        <w:t xml:space="preserve">Siddharth Dongardive</w:t>
      </w:r>
    </w:p>
    <w:p w:rsidR="00000000" w:rsidDel="00000000" w:rsidP="00000000" w:rsidRDefault="00000000" w:rsidRPr="00000000" w14:paraId="00000002">
      <w:pPr>
        <w:spacing w:before="20" w:lineRule="auto"/>
        <w:jc w:val="center"/>
        <w:rPr>
          <w:rFonts w:ascii="Open Sans" w:cs="Open Sans" w:eastAsia="Open Sans" w:hAnsi="Open Sans"/>
          <w:color w:val="333333"/>
          <w:sz w:val="17.925199508666992"/>
          <w:szCs w:val="17.925199508666992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17.9252"/>
          <w:szCs w:val="17.9252"/>
          <w:rtl w:val="0"/>
        </w:rPr>
        <w:t xml:space="preserve">B.E.Computer Science and Engineering (Data 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0" w:lineRule="auto"/>
        <w:jc w:val="center"/>
        <w:rPr>
          <w:rFonts w:ascii="Open Sans" w:cs="Open Sans" w:eastAsia="Open Sans" w:hAnsi="Open Sans"/>
          <w:color w:val="333333"/>
          <w:sz w:val="17.925199508666992"/>
          <w:szCs w:val="17.925199508666992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17.925199508666992"/>
          <w:szCs w:val="17.925199508666992"/>
          <w:rtl w:val="0"/>
        </w:rPr>
        <w:t xml:space="preserve">Mumbai, India</w:t>
      </w:r>
    </w:p>
    <w:p w:rsidR="00000000" w:rsidDel="00000000" w:rsidP="00000000" w:rsidRDefault="00000000" w:rsidRPr="00000000" w14:paraId="00000004">
      <w:pPr>
        <w:widowControl w:val="0"/>
        <w:spacing w:before="20" w:lineRule="auto"/>
        <w:jc w:val="center"/>
        <w:rPr>
          <w:rFonts w:ascii="Open Sans" w:cs="Open Sans" w:eastAsia="Open Sans" w:hAnsi="Open Sans"/>
          <w:color w:val="333333"/>
          <w:sz w:val="19.925199508666992"/>
          <w:szCs w:val="19.925199508666992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20"/>
          <w:szCs w:val="20"/>
          <w:rtl w:val="0"/>
        </w:rPr>
        <w:t xml:space="preserve">siddharthdongardive23@gmail.com | +91-8329106142 |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Open Sans" w:cs="Open Sans" w:eastAsia="Open Sans" w:hAnsi="Open Sans"/>
          <w:color w:val="333333"/>
          <w:sz w:val="20"/>
          <w:szCs w:val="20"/>
          <w:rtl w:val="0"/>
        </w:rPr>
        <w:t xml:space="preserve">|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Linkdin</w:t>
        </w:r>
      </w:hyperlink>
      <w:r w:rsidDel="00000000" w:rsidR="00000000" w:rsidRPr="00000000">
        <w:rPr>
          <w:rFonts w:ascii="Open Sans" w:cs="Open Sans" w:eastAsia="Open Sans" w:hAnsi="Open Sans"/>
          <w:color w:val="333333"/>
          <w:sz w:val="19.925199508666992"/>
          <w:szCs w:val="19.925199508666992"/>
          <w:rtl w:val="0"/>
        </w:rPr>
        <w:t xml:space="preserve">|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19.925199508666992"/>
            <w:szCs w:val="19.92519950866699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before="100" w:line="144" w:lineRule="auto"/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4"/>
          <w:szCs w:val="24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00" w:line="240" w:lineRule="auto"/>
        <w:rPr>
          <w:rFonts w:ascii="Open Sans" w:cs="Open Sans" w:eastAsia="Open Sans" w:hAnsi="Open Sans"/>
          <w:color w:val="333333"/>
          <w:sz w:val="17"/>
          <w:szCs w:val="17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17"/>
          <w:szCs w:val="17"/>
          <w:rtl w:val="0"/>
        </w:rPr>
        <w:t xml:space="preserve">Data Science undergraduate who builds end-to-end, leakage-free analytics and machine learning projects on real-world data using Python, SQL, PostgreSQL, XGBoost, and PyTorch. Experienced in time-series forecasting, causal analysis, cost-sensitive classification, temporal model evaluation, and drift diagnosis. Focused on rigorous evaluation and on honestly reporting what works and what does not. </w:t>
      </w:r>
    </w:p>
    <w:p w:rsidR="00000000" w:rsidDel="00000000" w:rsidP="00000000" w:rsidRDefault="00000000" w:rsidRPr="00000000" w14:paraId="00000007">
      <w:pPr>
        <w:keepLines w:val="1"/>
        <w:spacing w:before="100" w:line="144" w:lineRule="auto"/>
        <w:rPr>
          <w:rFonts w:ascii="Open Sans" w:cs="Open Sans" w:eastAsia="Open Sans" w:hAnsi="Open Sans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4"/>
          <w:szCs w:val="24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gridCol w:w="2160"/>
        <w:tblGridChange w:id="0">
          <w:tblGrid>
            <w:gridCol w:w="8010"/>
            <w:gridCol w:w="21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before="20" w:line="240" w:lineRule="auto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Vidyavardhini's College of Engineering and Technology, Mumbai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before="20" w:line="240" w:lineRule="auto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2023 – 2027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before="20" w:line="240" w:lineRule="auto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B.E. Computer Science and Engineering (Data Science)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before="20" w:line="240" w:lineRule="auto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CGPA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: 7.5 / 10</w:t>
            </w:r>
          </w:p>
        </w:tc>
      </w:tr>
    </w:tbl>
    <w:p w:rsidR="00000000" w:rsidDel="00000000" w:rsidP="00000000" w:rsidRDefault="00000000" w:rsidRPr="00000000" w14:paraId="0000000C">
      <w:pPr>
        <w:keepLines w:val="1"/>
        <w:spacing w:before="100" w:line="144" w:lineRule="auto"/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4"/>
          <w:szCs w:val="24"/>
          <w:rtl w:val="0"/>
        </w:rPr>
        <w:t xml:space="preserve">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41.692913385826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755"/>
        <w:tblGridChange w:id="0">
          <w:tblGrid>
            <w:gridCol w:w="2565"/>
            <w:gridCol w:w="775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Programming: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Python, SQL, C++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Data Science and Statistics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0" w:before="20" w:line="240" w:lineRule="auto"/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Pandas, NumPy, Scikit-learn, Feature Engineering, EDA, Time-Series Forecasting, Causal Inference (Interrupted Time Series, Placebo Tests), Cost-Sensitive Classification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Machine Learning: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XGBoost, PyTorch, PyTorch Geometric (GraphSAGE, RGCN, HGT), SHAP, Imbalanced Learning, Temporal Validation, Drift Detection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LLM and Retrieval: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RAG, FAISS, BM25, Pinecone, Cross-Encoder Reranking, LLM-as-Judge Evaluation, CrewAI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Databases and ETL: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PostgreSQL, MySQL, MongoDB, ETL, Data Cleaning, REST APIs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20" w:before="20" w:line="240" w:lineRule="auto"/>
              <w:jc w:val="both"/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Tools: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17"/>
                <w:szCs w:val="17"/>
                <w:rtl w:val="0"/>
              </w:rPr>
              <w:t xml:space="preserve">FastAPI, Streamlit, Docker, Git, GitHub, Linux, Power BI, MLflow, DVC</w:t>
            </w:r>
          </w:p>
        </w:tc>
      </w:tr>
    </w:tbl>
    <w:p w:rsidR="00000000" w:rsidDel="00000000" w:rsidP="00000000" w:rsidRDefault="00000000" w:rsidRPr="00000000" w14:paraId="00000019">
      <w:pPr>
        <w:keepLines w:val="1"/>
        <w:spacing w:before="100" w:line="144" w:lineRule="auto"/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4"/>
          <w:szCs w:val="24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6"/>
          <w:szCs w:val="16"/>
          <w:rtl w:val="0"/>
        </w:rPr>
        <w:t xml:space="preserve">Delhi Air Quality Risk Forecasting |</w:t>
      </w: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 Python, PostgreSQL, XGBoost, Scikit-learn, Streamlit</w:t>
      </w:r>
    </w:p>
    <w:p w:rsidR="00000000" w:rsidDel="00000000" w:rsidP="00000000" w:rsidRDefault="00000000" w:rsidRPr="00000000" w14:paraId="0000001B">
      <w:pPr>
        <w:spacing w:before="4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hyperlink r:id="rId9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Live dashboard</w:t>
        </w:r>
      </w:hyperlink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 | [Kaggle dataset link]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2"/>
        </w:numPr>
        <w:spacing w:after="0" w:afterAutospacing="0" w:before="4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Built an end-to-end pipeline from raw CPCB/CAAQMS data (7 Delhi stations, 2023–2026) into PostgreSQL with 124 engineered features for 1h, 6h, and 24h forecasting, improving 24h MAE to 34.11 AQI from 38.34 for naive persistence.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2"/>
        </w:numPr>
        <w:spacing w:before="0" w:beforeAutospacing="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Designed cost-aware alert thresholds: at a 5:1 missed-hazard to false-alarm cost, Severe-AQI recall rose from 61.1% to 95.7% (precision 73.9% to 54.3%) versus the fixed CPCB cutoff, and a sensitivity sweep covered 1:1 to 20:1.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2"/>
        </w:numPr>
        <w:spacing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Ran a causal analysis of the Diwali firecracker ban (interrupted time series, fixed effects, placebo test): a naive +135.6 AQI effect became statistically zero (-10.6, p=0.43), and the placebo showed a spurious +24.3 from seasonal confounding.</w:t>
      </w:r>
    </w:p>
    <w:p w:rsidR="00000000" w:rsidDel="00000000" w:rsidP="00000000" w:rsidRDefault="00000000" w:rsidRPr="00000000" w14:paraId="0000001F">
      <w:pPr>
        <w:spacing w:after="40" w:before="4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6"/>
          <w:szCs w:val="16"/>
          <w:rtl w:val="0"/>
        </w:rPr>
        <w:t xml:space="preserve">BitcoinGraphGuard: Temporal Graph Fraud Detection | </w:t>
      </w: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Python, PyTorch Geometric, XGBoost, SHAP, FastAPI, Docker</w:t>
      </w:r>
    </w:p>
    <w:p w:rsidR="00000000" w:rsidDel="00000000" w:rsidP="00000000" w:rsidRDefault="00000000" w:rsidRPr="00000000" w14:paraId="00000020">
      <w:pPr>
        <w:spacing w:after="40" w:before="40" w:line="240" w:lineRule="auto"/>
        <w:rPr>
          <w:rFonts w:ascii="Open Sans" w:cs="Open Sans" w:eastAsia="Open Sans" w:hAnsi="Open Sans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[GitHub link] | </w:t>
      </w: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2"/>
        </w:numPr>
        <w:spacing w:after="0" w:afterAutospacing="0" w:before="4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Built a leakage-free temporal evaluation pipeline on the Elliptic++ dataset (203,769 transactions, 822,942 wallets, 4.4M edges, 49 time steps). I corrected 347,569 duplicate wallet rows before modeling.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2"/>
        </w:numPr>
        <w:spacing w:before="0" w:beforeAutospacing="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Benchmarked XGBoost (0.801 PR-AUC), GraphSAGE (0.621), HGT (0.486), and RGCN (0.468) under one strict temporal split at 6.5% illicit prevalence; a GraphSAGE vs MLP ablation showed graph structure adds +30% PR-AUC.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2"/>
        </w:numPr>
        <w:spacing w:after="40" w:line="240" w:lineRule="auto"/>
        <w:ind w:left="425.19685039370086" w:hanging="360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Diagnosed the collapse on steps 43–49 (PR-AUC about 0.04–0.05) as covariate shift (adversarial validation AUC 1.0, no timestamp leaks) and explained predictions with SHAP (Local_feature_53 dominant).</w:t>
      </w:r>
    </w:p>
    <w:p w:rsidR="00000000" w:rsidDel="00000000" w:rsidP="00000000" w:rsidRDefault="00000000" w:rsidRPr="00000000" w14:paraId="00000024">
      <w:pPr>
        <w:spacing w:after="40" w:before="10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6"/>
          <w:szCs w:val="16"/>
          <w:rtl w:val="0"/>
        </w:rPr>
        <w:t xml:space="preserve">LegalRAG: Hybrid Retrieval over Indian High Court Judgments |</w:t>
      </w: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 Python, FAISS, BM25, Sentence-Transformers, FastAPI</w:t>
      </w:r>
    </w:p>
    <w:p w:rsidR="00000000" w:rsidDel="00000000" w:rsidP="00000000" w:rsidRDefault="00000000" w:rsidRPr="00000000" w14:paraId="00000025">
      <w:pPr>
        <w:spacing w:after="40" w:before="10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hyperlink r:id="rId11">
        <w:r w:rsidDel="00000000" w:rsidR="00000000" w:rsidRPr="00000000">
          <w:rPr>
            <w:rFonts w:ascii="Open Sans" w:cs="Open Sans" w:eastAsia="Open Sans" w:hAnsi="Open Sans"/>
            <w:color w:val="1155cc"/>
            <w:sz w:val="16"/>
            <w:szCs w:val="16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 | [GitHub link]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2"/>
        </w:numPr>
        <w:spacing w:after="0" w:afterAutospacing="0" w:before="4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Built a hybrid retrieval pipeline over 100,000 High Court judgments (538,079 chunks) combining BM25, dense retrieval (bge-base, FAISS), Reciprocal Rank Fusion, and cross-encoder reranking.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2"/>
        </w:numPr>
        <w:spacing w:before="0" w:beforeAutospacing="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Created a 497-question benchmark across 5 question types (fact, reasoning, legal provision, outcome, multi-hop) with an LLM-judge harness scoring faithfulness, citation correctness, and hallucination rate.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2"/>
        </w:numPr>
        <w:spacing w:after="4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Found the reranker improved Recall@1 but slightly hurt Recall@5/10 because of domain shift on legal text, and packaged the system as a tested Python module (20 unit tests) with a live demo.</w:t>
      </w:r>
    </w:p>
    <w:p w:rsidR="00000000" w:rsidDel="00000000" w:rsidP="00000000" w:rsidRDefault="00000000" w:rsidRPr="00000000" w14:paraId="00000029">
      <w:pPr>
        <w:keepLines w:val="1"/>
        <w:spacing w:after="40" w:before="10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6"/>
          <w:szCs w:val="16"/>
          <w:rtl w:val="0"/>
        </w:rPr>
        <w:t xml:space="preserve">TruthMates: Civic Misinformation Detection |</w:t>
      </w: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 Python, CrewAI, Pinecone, MongoDB, FastAPI, React</w:t>
      </w:r>
    </w:p>
    <w:p w:rsidR="00000000" w:rsidDel="00000000" w:rsidP="00000000" w:rsidRDefault="00000000" w:rsidRPr="00000000" w14:paraId="0000002A">
      <w:pPr>
        <w:keepLines w:val="1"/>
        <w:spacing w:after="40" w:before="100" w:line="240" w:lineRule="auto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[GitHub link] | Demo available on request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2"/>
        </w:numPr>
        <w:spacing w:after="0" w:afterAutospacing="0" w:before="4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Designed and built a staged CrewAI pipeline (civic classification, evidence retrieval, counter-statement generation, validation, monitoring) behind a FastAPI API, persisting each stage's output to MongoDB.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2"/>
        </w:numPr>
        <w:spacing w:before="0" w:beforeAutospacing="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Retrieved evidence from a PIB-verified fact corpus in Pinecone and the Google Fact Check API, using an embedding-based civic classifier and tuned similarity thresholds.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2"/>
        </w:numPr>
        <w:spacing w:after="40" w:line="240" w:lineRule="auto"/>
        <w:ind w:left="425.19685039370086" w:hanging="360"/>
      </w:pPr>
      <w:r w:rsidDel="00000000" w:rsidR="00000000" w:rsidRPr="00000000">
        <w:rPr>
          <w:rFonts w:ascii="Open Sans" w:cs="Open Sans" w:eastAsia="Open Sans" w:hAnsi="Open Sans"/>
          <w:color w:val="333333"/>
          <w:sz w:val="16"/>
          <w:szCs w:val="16"/>
          <w:rtl w:val="0"/>
        </w:rPr>
        <w:t xml:space="preserve">Added video and audio claim analysis (yt-dlp, Groq Whisper transcription, URL allowlist, duration and size limits) and English/Hindi counter-statements with a trust score, served to a React frontend.</w:t>
      </w:r>
    </w:p>
    <w:p w:rsidR="00000000" w:rsidDel="00000000" w:rsidP="00000000" w:rsidRDefault="00000000" w:rsidRPr="00000000" w14:paraId="0000002E">
      <w:pPr>
        <w:keepLines w:val="1"/>
        <w:spacing w:before="100" w:line="144" w:lineRule="auto"/>
        <w:rPr>
          <w:rFonts w:ascii="Open Sans" w:cs="Open Sans" w:eastAsia="Open Sans" w:hAnsi="Open Sans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4"/>
          <w:szCs w:val="24"/>
          <w:rtl w:val="0"/>
        </w:rPr>
        <w:t xml:space="preserve">ACHIEVEMENTS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40" w:line="288" w:lineRule="auto"/>
        <w:ind w:left="720" w:hanging="360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7"/>
          <w:szCs w:val="17"/>
          <w:rtl w:val="0"/>
        </w:rPr>
        <w:t xml:space="preserve">1st Place </w:t>
      </w:r>
      <w:r w:rsidDel="00000000" w:rsidR="00000000" w:rsidRPr="00000000">
        <w:rPr>
          <w:rFonts w:ascii="Open Sans" w:cs="Open Sans" w:eastAsia="Open Sans" w:hAnsi="Open Sans"/>
          <w:color w:val="333333"/>
          <w:sz w:val="17"/>
          <w:szCs w:val="17"/>
          <w:rtl w:val="0"/>
        </w:rPr>
        <w:t xml:space="preserve">— Line Following Robot, VIT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40" w:line="288" w:lineRule="auto"/>
        <w:ind w:left="720" w:hanging="360"/>
        <w:rPr>
          <w:rFonts w:ascii="Open Sans" w:cs="Open Sans" w:eastAsia="Open Sans" w:hAnsi="Open Sans"/>
          <w:color w:val="333333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7"/>
          <w:szCs w:val="17"/>
          <w:rtl w:val="0"/>
        </w:rPr>
        <w:t xml:space="preserve">1st Place</w:t>
      </w:r>
      <w:r w:rsidDel="00000000" w:rsidR="00000000" w:rsidRPr="00000000">
        <w:rPr>
          <w:rFonts w:ascii="Open Sans" w:cs="Open Sans" w:eastAsia="Open Sans" w:hAnsi="Open Sans"/>
          <w:color w:val="333333"/>
          <w:sz w:val="17"/>
          <w:szCs w:val="17"/>
          <w:rtl w:val="0"/>
        </w:rPr>
        <w:t xml:space="preserve"> — HackX Hackathon, SFIT (2026)</w:t>
      </w:r>
    </w:p>
    <w:p w:rsidR="00000000" w:rsidDel="00000000" w:rsidP="00000000" w:rsidRDefault="00000000" w:rsidRPr="00000000" w14:paraId="00000031">
      <w:pPr>
        <w:keepLines w:val="1"/>
        <w:spacing w:before="100" w:line="144" w:lineRule="auto"/>
        <w:rPr>
          <w:rFonts w:ascii="Open Sans" w:cs="Open Sans" w:eastAsia="Open Sans" w:hAnsi="Open Sans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24"/>
          <w:szCs w:val="24"/>
          <w:rtl w:val="0"/>
        </w:rPr>
        <w:t xml:space="preserve">ACTIVITIES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40" w:line="288" w:lineRule="auto"/>
        <w:ind w:left="720" w:hanging="360"/>
        <w:rPr>
          <w:rFonts w:ascii="Open Sans" w:cs="Open Sans" w:eastAsia="Open Sans" w:hAnsi="Open Sans"/>
          <w:color w:val="333333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33333"/>
          <w:sz w:val="17"/>
          <w:szCs w:val="17"/>
          <w:rtl w:val="0"/>
        </w:rPr>
        <w:t xml:space="preserve">Manager, Yantrika (VCET)</w:t>
      </w:r>
      <w:r w:rsidDel="00000000" w:rsidR="00000000" w:rsidRPr="00000000">
        <w:rPr>
          <w:rFonts w:ascii="Open Sans" w:cs="Open Sans" w:eastAsia="Open Sans" w:hAnsi="Open Sans"/>
          <w:color w:val="333333"/>
          <w:sz w:val="17"/>
          <w:szCs w:val="17"/>
          <w:rtl w:val="0"/>
        </w:rPr>
        <w:t xml:space="preserve"> — Technical demonstrations, robotics projects and team coordinatio</w:t>
      </w:r>
      <w:r w:rsidDel="00000000" w:rsidR="00000000" w:rsidRPr="00000000">
        <w:rPr>
          <w:rFonts w:ascii="Open Sans" w:cs="Open Sans" w:eastAsia="Open Sans" w:hAnsi="Open Sans"/>
          <w:color w:val="333333"/>
          <w:sz w:val="19"/>
          <w:szCs w:val="19"/>
          <w:rtl w:val="0"/>
        </w:rPr>
        <w:t xml:space="preserve">n. </w:t>
      </w:r>
    </w:p>
    <w:sectPr>
      <w:pgSz w:h="16820" w:w="11900" w:orient="portrait"/>
      <w:pgMar w:bottom="266.24000549316406" w:top="283.46456692913387" w:left="869.1806030273438" w:right="864.4396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5.19685039370086" w:hanging="360"/>
      </w:pPr>
      <w:rPr>
        <w:sz w:val="18"/>
        <w:szCs w:val="18"/>
      </w:rPr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galrag-six.vercel.app/" TargetMode="External"/><Relationship Id="rId10" Type="http://schemas.openxmlformats.org/officeDocument/2006/relationships/hyperlink" Target="https://bitcoin-graph-delta.vercel.app/" TargetMode="External"/><Relationship Id="rId9" Type="http://schemas.openxmlformats.org/officeDocument/2006/relationships/hyperlink" Target="https://siddhu-exe-air-quality-risk-forecasting-dashboardapp-w5wwow.streamlit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iddhu-exe" TargetMode="External"/><Relationship Id="rId7" Type="http://schemas.openxmlformats.org/officeDocument/2006/relationships/hyperlink" Target="http://www.linkedin.com/in/siddharth-dongardive-906a79251" TargetMode="External"/><Relationship Id="rId8" Type="http://schemas.openxmlformats.org/officeDocument/2006/relationships/hyperlink" Target="https://siddhuexe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