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520"/>
        <w:jc w:val="center"/>
      </w:pPr>
      <w:r>
        <w:rPr>
          <w:rFonts w:ascii="Times New Roman" w:hAnsi="Times New Roman"/>
          <w:sz w:val="28"/>
        </w:rPr>
        <w:t>A Project Report on</w:t>
      </w:r>
    </w:p>
    <w:p>
      <w:pPr>
        <w:keepNext/>
        <w:spacing w:before="240"/>
        <w:jc w:val="center"/>
      </w:pPr>
      <w:r>
        <w:rPr>
          <w:rFonts w:ascii="Times New Roman" w:hAnsi="Times New Roman"/>
          <w:b/>
          <w:color w:val="1F4E79"/>
          <w:sz w:val="32"/>
        </w:rPr>
        <w:t>PERSONALISED FEDERATED DEEP LEARNING FOR WIRELESS LINK QUALITY PREDICTION UNDER NON IID CELL DATA</w:t>
      </w:r>
    </w:p>
    <w:p>
      <w:pPr>
        <w:spacing w:before="140"/>
        <w:jc w:val="center"/>
      </w:pPr>
      <w:r>
        <w:rPr>
          <w:b w:val="0"/>
          <w:sz w:val="24"/>
        </w:rPr>
        <w:t>submitted in partial fulfilment of the requirements for the course</w:t>
      </w:r>
    </w:p>
    <w:p>
      <w:pPr>
        <w:spacing w:before="140"/>
        <w:jc w:val="center"/>
      </w:pPr>
      <w:r>
        <w:rPr>
          <w:b/>
          <w:sz w:val="30"/>
        </w:rPr>
        <w:t>MACHINE LEARNING</w:t>
      </w:r>
    </w:p>
    <w:p>
      <w:pPr>
        <w:spacing w:before="140"/>
        <w:jc w:val="center"/>
      </w:pPr>
      <w:r>
        <w:rPr>
          <w:b/>
          <w:sz w:val="28"/>
        </w:rPr>
        <w:t>25SC2107E</w:t>
      </w:r>
    </w:p>
    <w:p>
      <w:pPr>
        <w:spacing w:before="140"/>
        <w:jc w:val="center"/>
      </w:pPr>
      <w:r>
        <w:rPr>
          <w:b w:val="0"/>
          <w:sz w:val="24"/>
        </w:rPr>
        <w:t>in</w:t>
      </w:r>
    </w:p>
    <w:p>
      <w:pPr>
        <w:spacing w:before="140"/>
        <w:jc w:val="center"/>
      </w:pPr>
      <w:r>
        <w:rPr>
          <w:b w:val="0"/>
          <w:sz w:val="26"/>
        </w:rPr>
        <w:t>A.Y.: 2026-27</w:t>
      </w:r>
    </w:p>
    <w:p>
      <w:pPr>
        <w:spacing w:before="140"/>
        <w:jc w:val="center"/>
      </w:pPr>
      <w:r>
        <w:rPr>
          <w:b w:val="0"/>
          <w:sz w:val="24"/>
        </w:rPr>
        <w:t>by</w:t>
      </w:r>
    </w:p>
    <w:tbl>
      <w:tblPr>
        <w:tblW w:type="auto" w:w="0"/>
        <w:jc w:val="center"/>
        <w:tblLayout w:type="fixed"/>
        <w:tblLook w:firstColumn="1" w:firstRow="1" w:lastColumn="0" w:lastRow="0" w:noHBand="0" w:noVBand="1" w:val="04A0"/>
      </w:tblPr>
      <w:tblGrid>
        <w:gridCol w:w="4464"/>
        <w:gridCol w:w="2304"/>
      </w:tblGrid>
      <w:tr>
        <w:tc>
          <w:tcPr>
            <w:tcW w:type="dxa" w:w="4752"/>
            <w:vAlign w:val="center"/>
          </w:tcPr>
          <w:p>
            <w:pPr>
              <w:spacing w:after="0"/>
            </w:pPr>
            <w:r/>
            <w:r>
              <w:rPr>
                <w:rFonts w:ascii="Times New Roman" w:hAnsi="Times New Roman"/>
                <w:b/>
                <w:sz w:val="20"/>
              </w:rPr>
              <w:t>N. PRANAY CHOWDARY</w:t>
            </w:r>
          </w:p>
        </w:tc>
        <w:tc>
          <w:tcPr>
            <w:tcW w:type="dxa" w:w="4752"/>
            <w:vAlign w:val="center"/>
          </w:tcPr>
          <w:p>
            <w:pPr>
              <w:spacing w:after="0"/>
            </w:pPr>
            <w:r/>
            <w:r>
              <w:rPr>
                <w:rFonts w:ascii="Times New Roman" w:hAnsi="Times New Roman"/>
                <w:b/>
                <w:sz w:val="20"/>
              </w:rPr>
              <w:t>2520040009</w:t>
            </w:r>
          </w:p>
        </w:tc>
      </w:tr>
      <w:tr>
        <w:tc>
          <w:tcPr>
            <w:tcW w:type="dxa" w:w="4752"/>
            <w:vAlign w:val="center"/>
          </w:tcPr>
          <w:p>
            <w:pPr>
              <w:spacing w:after="0"/>
            </w:pPr>
            <w:r/>
            <w:r>
              <w:rPr>
                <w:rFonts w:ascii="Times New Roman" w:hAnsi="Times New Roman"/>
                <w:b/>
                <w:sz w:val="20"/>
              </w:rPr>
              <w:t>P. SIDDHU BHAGAVAN</w:t>
            </w:r>
          </w:p>
        </w:tc>
        <w:tc>
          <w:tcPr>
            <w:tcW w:type="dxa" w:w="4752"/>
            <w:vAlign w:val="center"/>
          </w:tcPr>
          <w:p>
            <w:pPr>
              <w:spacing w:after="0"/>
            </w:pPr>
            <w:r/>
            <w:r>
              <w:rPr>
                <w:rFonts w:ascii="Times New Roman" w:hAnsi="Times New Roman"/>
                <w:b/>
                <w:sz w:val="20"/>
              </w:rPr>
              <w:t>2520040095</w:t>
            </w:r>
          </w:p>
        </w:tc>
      </w:tr>
      <w:tr>
        <w:tc>
          <w:tcPr>
            <w:tcW w:type="dxa" w:w="4752"/>
            <w:vAlign w:val="center"/>
          </w:tcPr>
          <w:p>
            <w:pPr>
              <w:spacing w:after="0"/>
            </w:pPr>
            <w:r/>
            <w:r>
              <w:rPr>
                <w:rFonts w:ascii="Times New Roman" w:hAnsi="Times New Roman"/>
                <w:b/>
                <w:sz w:val="20"/>
              </w:rPr>
              <w:t>P. MOHAN</w:t>
            </w:r>
          </w:p>
        </w:tc>
        <w:tc>
          <w:tcPr>
            <w:tcW w:type="dxa" w:w="4752"/>
            <w:vAlign w:val="center"/>
          </w:tcPr>
          <w:p>
            <w:pPr>
              <w:spacing w:after="0"/>
            </w:pPr>
            <w:r/>
            <w:r>
              <w:rPr>
                <w:rFonts w:ascii="Times New Roman" w:hAnsi="Times New Roman"/>
                <w:b/>
                <w:sz w:val="20"/>
              </w:rPr>
              <w:t>2520040045</w:t>
            </w:r>
          </w:p>
        </w:tc>
      </w:tr>
    </w:tbl>
    <w:p>
      <w:pPr>
        <w:spacing w:before="180"/>
        <w:jc w:val="center"/>
      </w:pPr>
      <w:r>
        <w:rPr>
          <w:b w:val="0"/>
          <w:sz w:val="24"/>
        </w:rPr>
        <w:t>Under the Esteemed guidance of</w:t>
      </w:r>
    </w:p>
    <w:p>
      <w:pPr>
        <w:spacing w:before="180"/>
        <w:jc w:val="center"/>
      </w:pPr>
      <w:r>
        <w:rPr>
          <w:b/>
          <w:sz w:val="30"/>
        </w:rPr>
        <w:t>Mr. N Lava Prasad</w:t>
      </w:r>
    </w:p>
    <w:p>
      <w:pPr>
        <w:spacing w:before="180"/>
        <w:jc w:val="center"/>
      </w:pPr>
      <w:r>
        <w:rPr>
          <w:b w:val="0"/>
          <w:sz w:val="24"/>
        </w:rPr>
        <w:t>Assistant Professor</w:t>
      </w:r>
    </w:p>
    <w:p>
      <w:pPr>
        <w:spacing w:before="180"/>
        <w:jc w:val="center"/>
      </w:pPr>
      <w:r>
        <w:rPr>
          <w:b/>
          <w:sz w:val="28"/>
        </w:rPr>
        <w:t>Department of ECE</w:t>
      </w:r>
    </w:p>
    <w:p>
      <w:pPr>
        <w:spacing w:before="480"/>
        <w:jc w:val="center"/>
      </w:pPr>
      <w:r>
        <w:rPr>
          <w:b/>
          <w:sz w:val="24"/>
        </w:rPr>
        <w:t>DEPARTMENT OF ELECTRONICS &amp; COMMUNICATION ENGINEERING</w:t>
      </w:r>
    </w:p>
    <w:p>
      <w:r>
        <w:br w:type="page"/>
      </w:r>
    </w:p>
    <w:p>
      <w:pPr>
        <w:pStyle w:val="Heading1"/>
        <w:jc w:val="center"/>
      </w:pPr>
      <w:r>
        <w:t>ACKNOWLEDGEMENT</w:t>
      </w:r>
    </w:p>
    <w:p>
      <w:pPr>
        <w:jc w:val="both"/>
      </w:pPr>
      <w:r>
        <w:t>We express our sincere gratitude to our project guide, Mr. N Lava Prasad, Assistant Professor, Department of Electronics and Communication Engineering, for his guidance during the preparation of this project report. We thank the Department for providing the academic framework for the work. We also acknowledge the authors and maintainers of the UJIIndoorLoc dataset and the open-source libraries used by the project. The technical description and reported results in this report are based on the supplied project package.</w:t>
      </w:r>
    </w:p>
    <w:p>
      <w:pPr>
        <w:spacing w:before="640"/>
      </w:pPr>
      <w:r>
        <w:t>N. PRANAY CHOWDARY</w:t>
        <w:tab/>
        <w:t>P. SIDDHU BHAGAVAN</w:t>
        <w:tab/>
        <w:t>P. MOHAN</w:t>
      </w:r>
    </w:p>
    <w:p>
      <w:r>
        <w:br w:type="page"/>
      </w:r>
    </w:p>
    <w:p>
      <w:pPr>
        <w:pStyle w:val="Heading1"/>
        <w:jc w:val="center"/>
      </w:pPr>
      <w:r>
        <w:t>ABSTRACT</w:t>
      </w:r>
    </w:p>
    <w:p>
      <w:pPr>
        <w:jc w:val="both"/>
      </w:pPr>
      <w:r>
        <w:t>Wireless link quality varies across devices and environments, so a single model can perform unevenly when data distributions differ. This project studies personalized federated learning for classifying RSSI-derived link quality while representing device-specific data as non-independent and identically distributed (non-IID) clients. The implementation uses the UJIIndoorLoc Wi-Fi fingerprint dataset. It contains 19,937 training records and 1,111 validation records with measurements from 520 wireless access points. The task is explicitly a four-class classification of Wi-Fi RSSI-derived link quality, not direct cellular CQI prediction. Signal classes are Poor, Fair, Good, and Excellent, determined from maximum received signal strength. After removing 55 constant access-point features, the pipeline retains 465 access-point measurements and adds seven RSSI summary features, producing a 472-dimensional input. Sixteen PHONEID groups form the federated clients, each partitioned into training, validation, and test subsets in a 70/15/15 split. Centralized multilayer perceptron, FedAvg, and personalized FedPer models provide comparative baselines. The deployed predictor uses a locked margin-hybrid policy: it applies the physical RSSI threshold rule for most inputs and invokes the corresponding personalized client model when the maximum RSSI is within 0.25 dBm of a class boundary. The project metadata reports 97.5984% test accuracy, 98.1312% balanced accuracy, 97.6574% weighted precision, 97.5984% weighted recall, and 97.6104% weighted F1 for the hybrid system. The repository also includes a FastAPI service, analytics endpoints, a Gradio interface, trained model artifacts, and evaluation histories. The feature pipeline replaces the dataset missing-signal sentinel with -100 dBm, preserves a fixed feature order, and applies the saved MinMaxScaler to match training-time inputs. For unknown PHONEIDs or unavailable client weights, inference falls back to the deterministic RSSI rule and returns the selected class with an explanation. The supplied package contains centralized, federated, and personalized experiment histories that support review of model comparisons and client variation. These results demonstrate a reproducible implementation on the supplied Wi-Fi fingerprint data; validation on operational cellular measurements remains future work.</w:t>
      </w:r>
    </w:p>
    <w:p>
      <w:pPr>
        <w:spacing w:before="160"/>
      </w:pPr>
      <w:r>
        <w:rPr>
          <w:b/>
        </w:rPr>
        <w:t xml:space="preserve">Keywords: </w:t>
      </w:r>
      <w:r>
        <w:t>personalized federated learning, wireless link quality, Wi-Fi RSSI, non-IID data, FedPer, UJIIndoorLoc</w:t>
      </w:r>
    </w:p>
    <w:p>
      <w:pPr>
        <w:spacing w:before="480"/>
      </w:pPr>
      <w:r>
        <w:t>Signature of the Supervisor</w:t>
        <w:tab/>
        <w:tab/>
        <w:t>Course Instructor</w:t>
      </w:r>
    </w:p>
    <w:p>
      <w:r>
        <w:br w:type="page"/>
      </w:r>
    </w:p>
    <w:p>
      <w:pPr>
        <w:pStyle w:val="Heading1"/>
        <w:jc w:val="center"/>
      </w:pPr>
      <w:r>
        <w:t>INDEX</w:t>
      </w:r>
    </w:p>
    <w:p>
      <w:pPr>
        <w:tabs>
          <w:tab w:pos="8784" w:val="left"/>
        </w:tabs>
        <w:spacing w:after="160"/>
        <w:ind w:left="288"/>
      </w:pPr>
      <w:r>
        <w:t>Abstract</w:t>
        <w:tab/>
        <w:t>ii</w:t>
      </w:r>
    </w:p>
    <w:p>
      <w:pPr>
        <w:tabs>
          <w:tab w:pos="8784" w:val="left"/>
        </w:tabs>
        <w:spacing w:after="160"/>
        <w:ind w:left="288"/>
      </w:pPr>
      <w:r>
        <w:t>1 Introduction</w:t>
        <w:tab/>
        <w:t>1</w:t>
      </w:r>
    </w:p>
    <w:p>
      <w:pPr>
        <w:tabs>
          <w:tab w:pos="8784" w:val="left"/>
        </w:tabs>
        <w:spacing w:after="160"/>
        <w:ind w:left="288"/>
      </w:pPr>
      <w:r>
        <w:t>2 Related Work and Technical Context</w:t>
        <w:tab/>
        <w:t>2</w:t>
      </w:r>
    </w:p>
    <w:p>
      <w:pPr>
        <w:tabs>
          <w:tab w:pos="8784" w:val="left"/>
        </w:tabs>
        <w:spacing w:after="160"/>
        <w:ind w:left="288"/>
      </w:pPr>
      <w:r>
        <w:t>3 Problem Definition and Objectives</w:t>
        <w:tab/>
        <w:t>3</w:t>
      </w:r>
    </w:p>
    <w:p>
      <w:pPr>
        <w:tabs>
          <w:tab w:pos="8784" w:val="left"/>
        </w:tabs>
        <w:spacing w:after="160"/>
        <w:ind w:left="288"/>
      </w:pPr>
      <w:r>
        <w:t>4 Dataset and Client Partitioning</w:t>
        <w:tab/>
        <w:t>4</w:t>
      </w:r>
    </w:p>
    <w:p>
      <w:pPr>
        <w:tabs>
          <w:tab w:pos="8784" w:val="left"/>
        </w:tabs>
        <w:spacing w:after="160"/>
        <w:ind w:left="288"/>
      </w:pPr>
      <w:r>
        <w:t>5 Preprocessing and Feature Engineering</w:t>
        <w:tab/>
        <w:t>5</w:t>
      </w:r>
    </w:p>
    <w:p>
      <w:pPr>
        <w:tabs>
          <w:tab w:pos="8784" w:val="left"/>
        </w:tabs>
        <w:spacing w:after="160"/>
        <w:ind w:left="288"/>
      </w:pPr>
      <w:r>
        <w:t>6 Labels and Evaluation Metrics</w:t>
        <w:tab/>
        <w:t>6</w:t>
      </w:r>
    </w:p>
    <w:p>
      <w:pPr>
        <w:tabs>
          <w:tab w:pos="8784" w:val="left"/>
        </w:tabs>
        <w:spacing w:after="160"/>
        <w:ind w:left="288"/>
      </w:pPr>
      <w:r>
        <w:t>7 Federated Learning Design</w:t>
        <w:tab/>
        <w:t>7</w:t>
      </w:r>
    </w:p>
    <w:p>
      <w:pPr>
        <w:tabs>
          <w:tab w:pos="8784" w:val="left"/>
        </w:tabs>
        <w:spacing w:after="160"/>
        <w:ind w:left="288"/>
      </w:pPr>
      <w:r>
        <w:t>8 Model Architecture and Training Pipeline</w:t>
        <w:tab/>
        <w:t>8</w:t>
      </w:r>
    </w:p>
    <w:p>
      <w:pPr>
        <w:tabs>
          <w:tab w:pos="8784" w:val="left"/>
        </w:tabs>
        <w:spacing w:after="160"/>
        <w:ind w:left="288"/>
      </w:pPr>
      <w:r>
        <w:t>9 Hybrid Prediction Strategy</w:t>
        <w:tab/>
        <w:t>9</w:t>
      </w:r>
    </w:p>
    <w:p>
      <w:pPr>
        <w:tabs>
          <w:tab w:pos="8784" w:val="left"/>
        </w:tabs>
        <w:spacing w:after="160"/>
        <w:ind w:left="288"/>
      </w:pPr>
      <w:r>
        <w:t>10 Software Architecture</w:t>
        <w:tab/>
        <w:t>10</w:t>
      </w:r>
    </w:p>
    <w:p>
      <w:pPr>
        <w:tabs>
          <w:tab w:pos="8784" w:val="left"/>
        </w:tabs>
        <w:spacing w:after="160"/>
        <w:ind w:left="288"/>
      </w:pPr>
      <w:r>
        <w:t>11 Implementation and Reproducibility</w:t>
        <w:tab/>
        <w:t>11</w:t>
      </w:r>
    </w:p>
    <w:p>
      <w:pPr>
        <w:tabs>
          <w:tab w:pos="8784" w:val="left"/>
        </w:tabs>
        <w:spacing w:after="160"/>
        <w:ind w:left="288"/>
      </w:pPr>
      <w:r>
        <w:t>12 Experimental Results</w:t>
        <w:tab/>
        <w:t>12</w:t>
      </w:r>
    </w:p>
    <w:p>
      <w:pPr>
        <w:tabs>
          <w:tab w:pos="8784" w:val="left"/>
        </w:tabs>
        <w:spacing w:after="160"/>
        <w:ind w:left="288"/>
      </w:pPr>
      <w:r>
        <w:t>13 Analysis and Discussion</w:t>
        <w:tab/>
        <w:t>13</w:t>
      </w:r>
    </w:p>
    <w:p>
      <w:pPr>
        <w:tabs>
          <w:tab w:pos="8784" w:val="left"/>
        </w:tabs>
        <w:spacing w:after="160"/>
        <w:ind w:left="288"/>
      </w:pPr>
      <w:r>
        <w:t>14 Deployment, Testing, and Limitations</w:t>
        <w:tab/>
        <w:t>14</w:t>
      </w:r>
    </w:p>
    <w:p>
      <w:pPr>
        <w:tabs>
          <w:tab w:pos="8784" w:val="left"/>
        </w:tabs>
        <w:spacing w:after="160"/>
        <w:ind w:left="288"/>
      </w:pPr>
      <w:r>
        <w:t>15 Conclusion and Future Work</w:t>
        <w:tab/>
        <w:t>15</w:t>
      </w:r>
    </w:p>
    <w:p>
      <w:pPr>
        <w:tabs>
          <w:tab w:pos="8784" w:val="left"/>
        </w:tabs>
        <w:spacing w:after="160"/>
        <w:ind w:left="288"/>
      </w:pPr>
      <w:r>
        <w:t>References and Appendix</w:t>
        <w:tab/>
        <w:t>16</w:t>
      </w:r>
    </w:p>
    <w:p>
      <w:pPr>
        <w:spacing w:before="400"/>
      </w:pPr>
      <w:r>
        <w:rPr>
          <w:b/>
        </w:rPr>
        <w:t>List of tables</w:t>
      </w:r>
    </w:p>
    <w:p>
      <w:r>
        <w:t>Table 1. Standardized model comparison and locked hybrid metrics</w:t>
      </w:r>
    </w:p>
    <w:p>
      <w:pPr>
        <w:spacing w:before="200"/>
      </w:pPr>
      <w:r>
        <w:rPr>
          <w:b/>
        </w:rPr>
        <w:t>Abbreviations</w:t>
      </w:r>
    </w:p>
    <w:p>
      <w:r>
        <w:t>AP  Access Point     FedAvg  Federated Averaging     FedPer  Federated Personalization</w:t>
        <w:br/>
        <w:t>MLP  Multilayer Perceptron     Non-IID  Non-Independent and Identically Distributed</w:t>
        <w:br/>
        <w:t>RSSI  Received Signal Strength Indicator     WAP  Wireless Access Point</w:t>
      </w:r>
    </w:p>
    <w:p>
      <w:r>
        <w:br w:type="page"/>
      </w:r>
    </w:p>
    <w:p>
      <w:pPr>
        <w:pStyle w:val="Heading1"/>
        <w:jc w:val="center"/>
      </w:pPr>
      <w:r>
        <w:t>1 INTRODUCTION</w:t>
      </w:r>
    </w:p>
    <w:p>
      <w:pPr>
        <w:pStyle w:val="Heading2"/>
      </w:pPr>
      <w:r>
        <w:t>1.1 Background</w:t>
      </w:r>
    </w:p>
    <w:p>
      <w:pPr>
        <w:jc w:val="both"/>
      </w:pPr>
      <w:r>
        <w:t>Wireless systems serve users whose radio conditions change with distance, obstructions, device hardware, interference, and movement. A link quality estimate can guide rate selection, handover decisions, troubleshooting, and resource allocation. Machine learning can model relationships between observed signal measurements and quality labels, but performance depends on the data used during training.</w:t>
      </w:r>
    </w:p>
    <w:p>
      <w:pPr>
        <w:pStyle w:val="Heading2"/>
      </w:pPr>
      <w:r>
        <w:t>1.2 Distribution shift across devices</w:t>
      </w:r>
    </w:p>
    <w:p>
      <w:pPr>
        <w:jc w:val="both"/>
      </w:pPr>
      <w:r>
        <w:t>Measurements collected by different devices or user groups need not follow the same distribution. In this project, PHONEID groups are treated as client partitions. A pooled model may favor clients with more samples or more familiar signal patterns, while a model trained independently for each client cannot directly benefit from information represented in the other partitions. This is the practical non-IID learning setting considered here.</w:t>
      </w:r>
    </w:p>
    <w:p>
      <w:pPr>
        <w:pStyle w:val="Heading2"/>
      </w:pPr>
      <w:r>
        <w:t>1.3 Project task and boundary</w:t>
      </w:r>
    </w:p>
    <w:p>
      <w:pPr>
        <w:jc w:val="both"/>
      </w:pPr>
      <w:r>
        <w:t>The implemented task is four-class classification from Wi-Fi access-point RSSI fingerprints in UJIIndoorLoc. The labels are derived from maximum RSSI thresholds. Although the project title refers to wireless link quality, the supplied dataset does not contain direct cellular CQI, RSRP, RSRQ, or SINR targets. Conclusions therefore apply to RSSI-derived Wi-Fi link-quality classes in this dataset.</w:t>
      </w:r>
    </w:p>
    <w:p>
      <w:pPr>
        <w:pStyle w:val="Heading2"/>
      </w:pPr>
      <w:r>
        <w:t>1.4 Report organization</w:t>
      </w:r>
    </w:p>
    <w:p>
      <w:pPr>
        <w:jc w:val="both"/>
      </w:pPr>
      <w:r>
        <w:t>The report introduces the problem and related learning approaches, describes the dataset and feature pipeline, explains federated training and the deployment hybrid, and summarizes the supplied test evidence. The final chapters cover the application architecture, reproducibility, limitations, conclusions, and references.</w:t>
      </w:r>
    </w:p>
    <w:p>
      <w:r>
        <w:br w:type="page"/>
      </w:r>
    </w:p>
    <w:p>
      <w:pPr>
        <w:pStyle w:val="Heading1"/>
        <w:jc w:val="center"/>
      </w:pPr>
      <w:r>
        <w:t>2 RELATED WORK AND TECHNICAL CONTEXT</w:t>
      </w:r>
    </w:p>
    <w:p>
      <w:pPr>
        <w:pStyle w:val="Heading2"/>
      </w:pPr>
      <w:r>
        <w:t>2.1 Wi-Fi fingerprint data</w:t>
      </w:r>
    </w:p>
    <w:p>
      <w:pPr>
        <w:jc w:val="both"/>
      </w:pPr>
      <w:r>
        <w:t>A Wi-Fi fingerprint represents a location or observation by the signal strengths detected from multiple access points. UJIIndoorLoc was introduced as a multi-building, multi-floor WLAN fingerprint database for indoor positioning research. The current project reuses its signal vectors for a different supervised target: RSSI-derived link quality. Dataset provenance and task transformation should be stated separately to avoid confusing localization labels with the project classes [1].</w:t>
      </w:r>
    </w:p>
    <w:p>
      <w:pPr>
        <w:pStyle w:val="Heading2"/>
      </w:pPr>
      <w:r>
        <w:t>2.2 Centralized learning</w:t>
      </w:r>
    </w:p>
    <w:p>
      <w:pPr>
        <w:jc w:val="both"/>
      </w:pPr>
      <w:r>
        <w:t>A centralized model pools training examples and optimizes a shared parameter set. This creates a simple reference point and can use all training examples together. It assumes the training records can be collected and that one objective adequately represents all clients. In the project comparison, the centralized MLP reaches 93.13% accuracy on the recorded test benchmark.</w:t>
      </w:r>
    </w:p>
    <w:p>
      <w:pPr>
        <w:pStyle w:val="Heading2"/>
      </w:pPr>
      <w:r>
        <w:t>2.3 Federated averaging</w:t>
      </w:r>
    </w:p>
    <w:p>
      <w:pPr>
        <w:jc w:val="both"/>
      </w:pPr>
      <w:r>
        <w:t>Federated averaging trains locally and combines client model updates at a server. The original FedAvg formulation reduces the need to transfer raw examples and permits multiple local optimization steps between communication rounds [2]. It is not a guarantee of privacy by itself: model updates can still reveal information, and privacy protections require additional mechanisms. Heterogeneous client distributions can also make a single global model suboptimal for some clients.</w:t>
      </w:r>
    </w:p>
    <w:p>
      <w:pPr>
        <w:pStyle w:val="Heading2"/>
      </w:pPr>
      <w:r>
        <w:t>2.4 Personalization</w:t>
      </w:r>
    </w:p>
    <w:p>
      <w:pPr>
        <w:jc w:val="both"/>
      </w:pPr>
      <w:r>
        <w:t>Personalized federated learning allows some parameters or decision behavior to adapt to individual clients. FedPer is a representative shared-base and personalized-head design intended for statistically heterogeneous clients [3]. The supplied project explores FedPer candidates and provides personalized models associated with PHONEID partitions. Its reported model comparison measures classification metrics; it does not establish privacy guarantees or generalization to unseen devices.</w:t>
      </w:r>
    </w:p>
    <w:p>
      <w:r>
        <w:br w:type="page"/>
      </w:r>
    </w:p>
    <w:p>
      <w:pPr>
        <w:pStyle w:val="Heading1"/>
        <w:jc w:val="center"/>
      </w:pPr>
      <w:r>
        <w:t>3 PROBLEM DEFINITION AND OBJECTIVES</w:t>
      </w:r>
    </w:p>
    <w:p>
      <w:pPr>
        <w:pStyle w:val="Heading2"/>
      </w:pPr>
      <w:r>
        <w:t>3.1 Problem statement</w:t>
      </w:r>
    </w:p>
    <w:p>
      <w:pPr>
        <w:jc w:val="both"/>
      </w:pPr>
      <w:r>
        <w:t>Given a set of RSSI measurements from Wi-Fi access points and an optional client PHONEID, predict one of four ordered signal-quality categories. The central research question is whether federated and client-personalized learning can improve on a non-personalized FedAvg baseline under heterogeneous client partitions, and whether a threshold-guided hybrid can provide a useful deployed classifier.</w:t>
      </w:r>
    </w:p>
    <w:p>
      <w:pPr>
        <w:pStyle w:val="Heading2"/>
      </w:pPr>
      <w:r>
        <w:t>3.2 Objectives</w:t>
      </w:r>
    </w:p>
    <w:p>
      <w:pPr>
        <w:jc w:val="both"/>
      </w:pPr>
      <w:r>
        <w:t>The project objectives are to construct a consistent 472-feature pipeline; represent PHONEID groups as 16 federated clients; train and compare centralized, FedAvg, and personalized FedPer models; evaluate accuracy, balanced accuracy, precision, recall, and F1; implement an inference service that combines a physical threshold rule with client-specific neural predictions near decision boundaries; and expose results through an interactive application and analytics API.</w:t>
      </w:r>
    </w:p>
    <w:p>
      <w:pPr>
        <w:pStyle w:val="Heading2"/>
      </w:pPr>
      <w:r>
        <w:t>3.3 Scope and assumptions</w:t>
      </w:r>
    </w:p>
    <w:p>
      <w:pPr>
        <w:jc w:val="both"/>
      </w:pPr>
      <w:r>
        <w:t>The input represents one Wi-Fi fingerprint with absent access points encoded as -100 dBm. The class is computed from maximum RSSI using fixed thresholds at -75, -65, and -55 dBm. A known PHONEID maps to one of the available personalized models. The test metrics describe the supplied held-out evaluation artifacts, not a prospective live network trial. The ZIP includes model files and result tables but does not document a formal threat model or differential privacy mechanism.</w:t>
      </w:r>
    </w:p>
    <w:p>
      <w:pPr>
        <w:pStyle w:val="Heading2"/>
      </w:pPr>
      <w:r>
        <w:t>3.4 Success criteria</w:t>
      </w:r>
    </w:p>
    <w:p>
      <w:pPr>
        <w:jc w:val="both"/>
      </w:pPr>
      <w:r>
        <w:t>The implementation is considered successful when the same feature order and scaler are used at training and inference, the client-specific model can be selected deterministically, evaluation metrics are traceable to repository artifacts, and the application returns the predicted class together with a reason and signal summary. Comparative performance should be interpreted against the recorded test split and not generalized beyond the dataset without new experiments.</w:t>
      </w:r>
    </w:p>
    <w:p>
      <w:r>
        <w:br w:type="page"/>
      </w:r>
    </w:p>
    <w:p>
      <w:pPr>
        <w:pStyle w:val="Heading1"/>
        <w:jc w:val="center"/>
      </w:pPr>
      <w:r>
        <w:t>4 DATASET AND CLIENT PARTITIONING</w:t>
      </w:r>
    </w:p>
    <w:p>
      <w:pPr>
        <w:pStyle w:val="Heading2"/>
      </w:pPr>
      <w:r>
        <w:t>4.1 UJIIndoorLoc records</w:t>
      </w:r>
    </w:p>
    <w:p>
      <w:pPr>
        <w:jc w:val="both"/>
      </w:pPr>
      <w:r>
        <w:t>The repository describes 19,937 training records and 1,111 validation records, for 21,048 total observations. The original table contains 520 WAP RSSI fields and contextual metadata such as user, phone, and location identifiers. The project uses PHONEID to organize client data and transforms the RSSI fields into a link-quality classification dataset. The public dataset was designed for indoor positioning, so the current target is a project-defined derivation.</w:t>
      </w:r>
    </w:p>
    <w:p>
      <w:pPr>
        <w:pStyle w:val="Heading2"/>
      </w:pPr>
      <w:r>
        <w:t>4.2 Client construction</w:t>
      </w:r>
    </w:p>
    <w:p>
      <w:pPr>
        <w:jc w:val="both"/>
      </w:pPr>
      <w:r>
        <w:t>Sixteen PHONEIDs are selected: 1, 3, 6, 7, 8, 10, 11, 13, 14, 16, 17, 18, 19, 22, 23, and 24. They define distinct client groups, and their observed class proportions can differ. The partition is non-IID in the sense that client data are not assumed to be identically distributed. A 70/15/15 train, validation, and test split is reported for each client.</w:t>
      </w:r>
    </w:p>
    <w:p>
      <w:pPr>
        <w:pStyle w:val="Heading2"/>
      </w:pPr>
      <w:r>
        <w:t>4.3 Split discipline</w:t>
      </w:r>
    </w:p>
    <w:p>
      <w:pPr>
        <w:jc w:val="both"/>
      </w:pPr>
      <w:r>
        <w:t>Training partitions support model fitting, validation partitions support model selection and strategy tuning, and test partitions support final reporting. The locked hybrid result is recorded as a held-out evaluation. Model comparisons must use compatible split definitions to be meaningful. Because the project archive contains multiple generations of experiments, each metric should be matched to its corresponding result file and model generation.</w:t>
      </w:r>
    </w:p>
    <w:p>
      <w:pPr>
        <w:pStyle w:val="Heading2"/>
      </w:pPr>
      <w:r>
        <w:t>4.4 Data handling considerations</w:t>
      </w:r>
    </w:p>
    <w:p>
      <w:pPr>
        <w:jc w:val="both"/>
      </w:pPr>
      <w:r>
        <w:t>The raw dataset contains identifiers and location context beyond the RSSI inputs. The deployed feature pipeline only requests WAP RSSI values and PHONEID for model selection. A production deployment should review whether PHONEID is necessary, how long measurements are retained, who can access logs, and how client identifiers are protected. The current software does not claim that federated training alone anonymizes data.</w:t>
      </w:r>
    </w:p>
    <w:p>
      <w:r>
        <w:br w:type="page"/>
      </w:r>
    </w:p>
    <w:p>
      <w:pPr>
        <w:pStyle w:val="Heading1"/>
        <w:jc w:val="center"/>
      </w:pPr>
      <w:r>
        <w:t>5 PREPROCESSING AND FEATURE ENGINEERING</w:t>
      </w:r>
    </w:p>
    <w:p>
      <w:pPr>
        <w:pStyle w:val="Heading2"/>
      </w:pPr>
      <w:r>
        <w:t>5.1 Access-point feature selection</w:t>
      </w:r>
    </w:p>
    <w:p>
      <w:pPr>
        <w:jc w:val="both"/>
      </w:pPr>
      <w:r>
        <w:t>The project begins with 520 WAP columns. Fifty-five constant WAP features are removed, leaving 465 usable access-point features. Feature names and their exact order are stored in feature_names.json. Preserving the order is essential because the scaler and neural networks expect a fixed vector shape.</w:t>
      </w:r>
    </w:p>
    <w:p>
      <w:pPr>
        <w:pStyle w:val="Heading2"/>
      </w:pPr>
      <w:r>
        <w:t>5.2 Missing signal representation</w:t>
      </w:r>
    </w:p>
    <w:p>
      <w:pPr>
        <w:jc w:val="both"/>
      </w:pPr>
      <w:r>
        <w:t>UJIIndoorLoc uses the value 100 to indicate that a WAP signal was not detected. The implementation maps this sentinel to -100 dBm. At inference, omitted WAP values also default to -100 dBm. This creates a consistent representation for unavailable observations, but assumes that the sentinel and omission have the same meaning as in the training data.</w:t>
      </w:r>
    </w:p>
    <w:p>
      <w:pPr>
        <w:pStyle w:val="Heading2"/>
      </w:pPr>
      <w:r>
        <w:t>5.3 Seven engineered features</w:t>
      </w:r>
    </w:p>
    <w:p>
      <w:pPr>
        <w:jc w:val="both"/>
      </w:pPr>
      <w:r>
        <w:t>For the 465 selected RSSI values, the pipeline computes maximum, mean, median, and standard deviation; count of detected access points; mean of the strongest three detected signals; and mean of the strongest five. When no access point is detected, top-k means fall back to -100 dBm. These summary statistics supplement the original per-access-point fingerprint with compact measures of overall signal condition.</w:t>
      </w:r>
    </w:p>
    <w:p>
      <w:pPr>
        <w:pStyle w:val="Heading2"/>
      </w:pPr>
      <w:r>
        <w:t>5.4 Scaling and inference parity</w:t>
      </w:r>
    </w:p>
    <w:p>
      <w:pPr>
        <w:jc w:val="both"/>
      </w:pPr>
      <w:r>
        <w:t>The 465 raw access-point values and seven engineered values are concatenated into a 472-element vector. A fitted MinMaxScaler transforms the vector using the saved training artifact. The same feature ordering, sentinel treatment, feature formulas, and scaler must be preserved for inference. The backend preprocessing module implements this contract and returns both scaled and raw vectors for downstream prediction and explanation.</w:t>
      </w:r>
    </w:p>
    <w:p>
      <w:r>
        <w:br w:type="page"/>
      </w:r>
    </w:p>
    <w:p>
      <w:pPr>
        <w:pStyle w:val="Heading1"/>
        <w:jc w:val="center"/>
      </w:pPr>
      <w:r>
        <w:t>6 LABELS AND EVALUATION METRICS</w:t>
      </w:r>
    </w:p>
    <w:p>
      <w:pPr>
        <w:pStyle w:val="Heading2"/>
      </w:pPr>
      <w:r>
        <w:t>6.1 RSSI thresholds</w:t>
      </w:r>
    </w:p>
    <w:p>
      <w:pPr>
        <w:jc w:val="both"/>
      </w:pPr>
      <w:r>
        <w:t>The target uses maximum RSSI, defined as the strongest selected WAP measurement. Values below -75 dBm map to Poor; values from -75 up to but excluding -65 dBm map to Fair; values from -65 up to but excluding -55 dBm map to Good; and values at or above -55 dBm map to Excellent. The threshold convention makes the class derivation deterministic.</w:t>
      </w:r>
    </w:p>
    <w:p>
      <w:pPr>
        <w:pStyle w:val="Heading2"/>
      </w:pPr>
      <w:r>
        <w:t>6.2 What the target measures</w:t>
      </w:r>
    </w:p>
    <w:p>
      <w:pPr>
        <w:jc w:val="both"/>
      </w:pPr>
      <w:r>
        <w:t>These labels summarize received Wi-Fi signal strength rather than application throughput, packet loss, latency, or a standards-defined cellular quality indicator. RSSI can correlate with link conditions but does not fully characterize channel quality. The report therefore uses the term RSSI-derived link-quality class and avoids treating the output as measured CQI.</w:t>
      </w:r>
    </w:p>
    <w:p>
      <w:pPr>
        <w:pStyle w:val="Heading2"/>
      </w:pPr>
      <w:r>
        <w:t>6.3 Metrics</w:t>
      </w:r>
    </w:p>
    <w:p>
      <w:pPr>
        <w:jc w:val="both"/>
      </w:pPr>
      <w:r>
        <w:t>Accuracy is the fraction of correct predictions. Balanced accuracy averages recall across classes, reducing the influence of class frequency. Weighted precision, recall, and F1 aggregate class-specific values using class support as weights. These metrics describe complementary aspects of the confusion matrix; they do not measure calibration, latency, robustness under distribution shift, or communication cost.</w:t>
      </w:r>
    </w:p>
    <w:p>
      <w:pPr>
        <w:pStyle w:val="Heading2"/>
      </w:pPr>
      <w:r>
        <w:t>6.4 Threshold-derived labels and interpretation</w:t>
      </w:r>
    </w:p>
    <w:p>
      <w:pPr>
        <w:jc w:val="both"/>
      </w:pPr>
      <w:r>
        <w:t>Because the class is derived from maximum RSSI thresholds, a direct rule using the same maximum RSSI is structurally aligned with the target definition. The neural model is most relevant near threshold boundaries, where measurement variation or input representation can affect class assignment. The hybrid result should thus be interpreted as the performance of this rule-plus-model decision system, not as evidence that a neural model alone achieves the same score.</w:t>
      </w:r>
    </w:p>
    <w:p>
      <w:r>
        <w:br w:type="page"/>
      </w:r>
    </w:p>
    <w:p>
      <w:pPr>
        <w:pStyle w:val="Heading1"/>
        <w:jc w:val="center"/>
      </w:pPr>
      <w:r>
        <w:t>7 FEDERATED LEARNING DESIGN</w:t>
      </w:r>
    </w:p>
    <w:p>
      <w:pPr>
        <w:pStyle w:val="Heading2"/>
      </w:pPr>
      <w:r>
        <w:t>7.1 Client-server setting</w:t>
      </w:r>
    </w:p>
    <w:p>
      <w:pPr>
        <w:jc w:val="both"/>
      </w:pPr>
      <w:r>
        <w:t>The project treats each selected PHONEID group as a client. In a federated round, a server coordinates model exchange while clients perform local updates using their own training subsets. This design provides an experimental framework for studying heterogeneity. The repository contains FedAvg baselines, FedPer histories, and final personalized client model files.</w:t>
      </w:r>
    </w:p>
    <w:p>
      <w:pPr>
        <w:pStyle w:val="Heading2"/>
      </w:pPr>
      <w:r>
        <w:t>7.2 FedAvg baseline</w:t>
      </w:r>
    </w:p>
    <w:p>
      <w:pPr>
        <w:jc w:val="both"/>
      </w:pPr>
      <w:r>
        <w:t>FedAvg provides a single global parameter set by aggregating local training contributions. Its test accuracy is 82.89% in the standardized comparison table. This baseline performs below the centralized MLP and the listed personalized FedPer model on that table. The result is consistent with the project motivation to examine personalization under client variation, while remaining specific to the recorded setup.</w:t>
      </w:r>
    </w:p>
    <w:p>
      <w:pPr>
        <w:pStyle w:val="Heading2"/>
      </w:pPr>
      <w:r>
        <w:t>7.3 FedPer personalization</w:t>
      </w:r>
    </w:p>
    <w:p>
      <w:pPr>
        <w:jc w:val="both"/>
      </w:pPr>
      <w:r>
        <w:t>FedPer divides model parameters into shared and personalized components. Shared representations can capture patterns common across clients, while private layers can adapt to local distributions. The project archive contains candidate configurations and multiple training generations; final deployment assets are associated with client identifiers. The API loads a model for a recognized client and caches it for subsequent predictions.</w:t>
      </w:r>
    </w:p>
    <w:p>
      <w:pPr>
        <w:pStyle w:val="Heading2"/>
      </w:pPr>
      <w:r>
        <w:t>7.4 Training evidence</w:t>
      </w:r>
    </w:p>
    <w:p>
      <w:pPr>
        <w:jc w:val="both"/>
      </w:pPr>
      <w:r>
        <w:t>Round histories and per-client result tables are included for reproducibility and analysis. They support inspection of validation trends and between-client variation. The report does not infer hyperparameters that are not consistently represented in the supplied artifacts. Re-running training requires the corresponding scripts, preprocessing artifacts, and software versions packaged in the project.</w:t>
      </w:r>
    </w:p>
    <w:p>
      <w:r>
        <w:br w:type="page"/>
      </w:r>
    </w:p>
    <w:p>
      <w:pPr>
        <w:pStyle w:val="Heading1"/>
        <w:jc w:val="center"/>
      </w:pPr>
      <w:r>
        <w:t>8 MODEL ARCHITECTURE AND TRAINING PIPELINE</w:t>
      </w:r>
    </w:p>
    <w:p>
      <w:pPr>
        <w:pStyle w:val="Heading2"/>
      </w:pPr>
      <w:r>
        <w:t>8.1 Neural model interface</w:t>
      </w:r>
    </w:p>
    <w:p>
      <w:pPr>
        <w:jc w:val="both"/>
      </w:pPr>
      <w:r>
        <w:t>The deployed models accept a 472-dimensional scaled input and produce probabilities over four classes. Each client model is stored as a Keras artifact. The model loader reconstructs the expected architecture and loads trained weights because the saved models include Lambda layers whose output shapes are made explicit in deployment code. No retraining is needed for inference with the included artifacts.</w:t>
      </w:r>
    </w:p>
    <w:p>
      <w:pPr>
        <w:pStyle w:val="Heading2"/>
      </w:pPr>
      <w:r>
        <w:t>8.2 Experimental baselines</w:t>
      </w:r>
    </w:p>
    <w:p>
      <w:pPr>
        <w:jc w:val="both"/>
      </w:pPr>
      <w:r>
        <w:t>The centralized MLP is the pooled-data benchmark; FedAvg is the shared federated baseline; and FedPer provides client personalization. The comparison CSV reports centralized accuracy of 93.13%, FedAvg accuracy of 82.89%, and final personalized FedPer accuracy of 89.06%. The comparison also records balanced accuracy and weighted F1 for each model.</w:t>
      </w:r>
    </w:p>
    <w:p>
      <w:pPr>
        <w:pStyle w:val="Heading2"/>
      </w:pPr>
      <w:r>
        <w:t>8.3 Training and selection</w:t>
      </w:r>
    </w:p>
    <w:p>
      <w:pPr>
        <w:jc w:val="both"/>
      </w:pPr>
      <w:r>
        <w:t>The repository includes centralized training history, federated round histories, validation tuning tables, and final model comparisons. Validation evidence is used to select model generations and hybrid strategy parameters; the final test set should remain reserved for reporting. The project metadata identifies the deployed hybrid margin as 0.25 dBm. Research artifacts and deployment artifacts should not be mixed when reproducing a final result.</w:t>
      </w:r>
    </w:p>
    <w:p>
      <w:pPr>
        <w:pStyle w:val="Heading2"/>
      </w:pPr>
      <w:r>
        <w:t>8.4 Artifact alignment</w:t>
      </w:r>
    </w:p>
    <w:p>
      <w:pPr>
        <w:jc w:val="both"/>
      </w:pPr>
      <w:r>
        <w:t>The archive contains repeated copies of model and result artifacts in app/models, models, and results. A documented artifact audit distinguishes deployment files from research and intermediate files. This distinction matters because historical experiments report different scores. The report treats PROJECT_METADATA.json and the deployed analytics code as the source for final hybrid metrics, while the standardized comparison CSV supports neural baseline comparison.</w:t>
      </w:r>
    </w:p>
    <w:p>
      <w:r>
        <w:br w:type="page"/>
      </w:r>
    </w:p>
    <w:p>
      <w:pPr>
        <w:pStyle w:val="Heading1"/>
        <w:jc w:val="center"/>
      </w:pPr>
      <w:r>
        <w:t>9 HYBRID PREDICTION STRATEGY</w:t>
      </w:r>
    </w:p>
    <w:p>
      <w:pPr>
        <w:pStyle w:val="Heading2"/>
      </w:pPr>
      <w:r>
        <w:t>9.1 Physical rule</w:t>
      </w:r>
    </w:p>
    <w:p>
      <w:pPr>
        <w:jc w:val="both"/>
      </w:pPr>
      <w:r>
        <w:t>The rule predictor maps maximum RSSI to one of the four classes using the same fixed boundaries used to define labels. For observations clearly away from a threshold, this rule gives a deterministic and interpretable result. It avoids loading a neural model for every prediction.</w:t>
      </w:r>
    </w:p>
    <w:p>
      <w:pPr>
        <w:pStyle w:val="Heading2"/>
      </w:pPr>
      <w:r>
        <w:t>9.2 Boundary-aware model invocation</w:t>
      </w:r>
    </w:p>
    <w:p>
      <w:pPr>
        <w:jc w:val="both"/>
      </w:pPr>
      <w:r>
        <w:t>The deployed margin_hybrid strategy computes distance from maximum RSSI to the nearest threshold. When a recognized PHONEID is supplied and this distance is at most 0.25 dBm, the corresponding personalized FedPer model is called. Otherwise the threshold rule provides the final class. The margin is locked in the predictor code and reported in project metadata.</w:t>
      </w:r>
    </w:p>
    <w:p>
      <w:pPr>
        <w:pStyle w:val="Heading2"/>
      </w:pPr>
      <w:r>
        <w:t>9.3 Fallback behavior</w:t>
      </w:r>
    </w:p>
    <w:p>
      <w:pPr>
        <w:jc w:val="both"/>
      </w:pPr>
      <w:r>
        <w:t>If the PHONEID is unknown, the service uses the RSSI threshold rule. If the client model cannot be loaded, it also falls back to the rule. The response identifies the chosen model, whether a neural model was used, the threshold distance, class probabilities, and a human-readable decision reason. This makes the inference path inspectable.</w:t>
      </w:r>
    </w:p>
    <w:p>
      <w:pPr>
        <w:pStyle w:val="Heading2"/>
      </w:pPr>
      <w:r>
        <w:t>9.4 Trade-offs</w:t>
      </w:r>
    </w:p>
    <w:p>
      <w:pPr>
        <w:jc w:val="both"/>
      </w:pPr>
      <w:r>
        <w:t>The hybrid design favors fast deterministic classification for most inputs and reserves neural inference for boundary cases. It relies on the target being well represented by the same maximum-RSSI thresholds. It may not transfer to other labels or wireless technologies. A margin tuned on validation data should be re-evaluated when the device mix, measurement process, or class definitions change.</w:t>
      </w:r>
    </w:p>
    <w:p>
      <w:r>
        <w:br w:type="page"/>
      </w:r>
    </w:p>
    <w:p>
      <w:pPr>
        <w:pStyle w:val="Heading1"/>
        <w:jc w:val="center"/>
      </w:pPr>
      <w:r>
        <w:t>10 SOFTWARE ARCHITECTURE</w:t>
      </w:r>
    </w:p>
    <w:p>
      <w:pPr>
        <w:pStyle w:val="Heading2"/>
      </w:pPr>
      <w:r>
        <w:t>10.1 Backend services</w:t>
      </w:r>
    </w:p>
    <w:p>
      <w:pPr>
        <w:jc w:val="both"/>
      </w:pPr>
      <w:r>
        <w:t>The application backend is organized into preprocessing, model loading, prediction, analytics, schemas, and API modules. FastAPI exposes health and project-information endpoints, prediction routes, model comparisons, client metrics, confusion matrix data, non-IID analysis, training histories, and related dashboard data. Static frontend content and graph artifacts are served by the same application.</w:t>
      </w:r>
    </w:p>
    <w:p>
      <w:pPr>
        <w:pStyle w:val="Heading2"/>
      </w:pPr>
      <w:r>
        <w:t>10.2 Prediction request flow</w:t>
      </w:r>
    </w:p>
    <w:p>
      <w:pPr>
        <w:jc w:val="both"/>
      </w:pPr>
      <w:r>
        <w:t>A request supplies a PHONEID and WAP measurements as text or a dictionary. The parser normalizes WAP identifiers and numeric values, converts the 100 sentinel to -100 dBm, and ignores invalid values. Feature construction fills missing WAPs, computes the seven summaries, applies the scaler, and passes the resulting vector through the hybrid decision logic.</w:t>
      </w:r>
    </w:p>
    <w:p>
      <w:pPr>
        <w:pStyle w:val="Heading2"/>
      </w:pPr>
      <w:r>
        <w:t>10.3 Frontend and analytics</w:t>
      </w:r>
    </w:p>
    <w:p>
      <w:pPr>
        <w:jc w:val="both"/>
      </w:pPr>
      <w:r>
        <w:t>The repository contains an HTML, CSS, and JavaScript dashboard with charts and predictor views, plus a Gradio user interface. Analytics are read from stored result files and training histories rather than generated from invented metrics. The frontend can display benchmark comparisons and client-level results alongside live predictions.</w:t>
      </w:r>
    </w:p>
    <w:p>
      <w:pPr>
        <w:pStyle w:val="Heading2"/>
      </w:pPr>
      <w:r>
        <w:t>10.4 Operational considerations</w:t>
      </w:r>
    </w:p>
    <w:p>
      <w:pPr>
        <w:jc w:val="both"/>
      </w:pPr>
      <w:r>
        <w:t>The backend warms selected models at startup and maintains a model cache. This can reduce first-request latency while using memory for loaded models. CORS is configured permissively in the supplied service; a public deployment should set allowed origins deliberately and add authentication, rate limits, request validation, logging controls, and secure transport according to its environment.</w:t>
      </w:r>
    </w:p>
    <w:p>
      <w:r>
        <w:br w:type="page"/>
      </w:r>
    </w:p>
    <w:p>
      <w:pPr>
        <w:pStyle w:val="Heading1"/>
        <w:jc w:val="center"/>
      </w:pPr>
      <w:r>
        <w:t>11 IMPLEMENTATION AND REPRODUCIBILITY</w:t>
      </w:r>
    </w:p>
    <w:p>
      <w:pPr>
        <w:pStyle w:val="Heading2"/>
      </w:pPr>
      <w:r>
        <w:t>11.1 Repository structure</w:t>
      </w:r>
    </w:p>
    <w:p>
      <w:pPr>
        <w:jc w:val="both"/>
      </w:pPr>
      <w:r>
        <w:t>The project package includes raw dataset files, preprocessing metadata and fitted scaler, model artifacts, result tables, graphs, scripts, notebooks, documentation, and a standalone app. The top-level README documents the task, label thresholds, features, clients, test results, and user-interface launch instructions. The app has its own requirements and run notes.</w:t>
      </w:r>
    </w:p>
    <w:p>
      <w:pPr>
        <w:pStyle w:val="Heading2"/>
      </w:pPr>
      <w:r>
        <w:t>11.2 Runtime setup</w:t>
      </w:r>
    </w:p>
    <w:p>
      <w:pPr>
        <w:jc w:val="both"/>
      </w:pPr>
      <w:r>
        <w:t>The documented application workflow is to enter the app directory, install dependencies from app/requirements.txt, and run app.py. The backend modules expect the repository layout and preprocessing artifacts to be available. Model loading depends on TensorFlow/Keras and the included model files. The metadata lists TensorFlow 2.20.0 and Gradio 6.26.0 for the packaged project.</w:t>
      </w:r>
    </w:p>
    <w:p>
      <w:pPr>
        <w:pStyle w:val="Heading2"/>
      </w:pPr>
      <w:r>
        <w:t>11.3 Deterministic inference</w:t>
      </w:r>
    </w:p>
    <w:p>
      <w:pPr>
        <w:jc w:val="both"/>
      </w:pPr>
      <w:r>
        <w:t>Inference depends on exact feature names and order, the scaler file, class mapping, thresholds, margin, client-ID map, model architecture, and weights. Any mismatch can silently change predictions. The backend centralizes these items in modules and metadata. A deployment checklist should verify expected feature count, valid PHONEIDs, successful model load, health response, and one request for each fallback path.</w:t>
      </w:r>
    </w:p>
    <w:p>
      <w:pPr>
        <w:pStyle w:val="Heading2"/>
      </w:pPr>
      <w:r>
        <w:t>11.4 Reproduction limits</w:t>
      </w:r>
    </w:p>
    <w:p>
      <w:pPr>
        <w:jc w:val="both"/>
      </w:pPr>
      <w:r>
        <w:t>Training requires more than the final model files: it also needs the data splits, scripts or notebook, package versions, and any random-seed settings. The report records the bundled evidence but does not claim a clean-room rerun. Version control and artifact hashes would improve long-term traceability, especially because the ZIP contains multiple model generations and duplicated files.</w:t>
      </w:r>
    </w:p>
    <w:p>
      <w:r>
        <w:br w:type="page"/>
      </w:r>
    </w:p>
    <w:p>
      <w:pPr>
        <w:pStyle w:val="Heading1"/>
        <w:jc w:val="center"/>
      </w:pPr>
      <w:r>
        <w:t>12 EXPERIMENTAL RESULTS</w:t>
      </w:r>
    </w:p>
    <w:p>
      <w:pPr>
        <w:pStyle w:val="Heading2"/>
      </w:pPr>
      <w:r>
        <w:t>12.1 Baseline comparison</w:t>
      </w:r>
    </w:p>
    <w:p>
      <w:pPr>
        <w:jc w:val="both"/>
      </w:pPr>
      <w:r>
        <w:t>The standardized comparison table reports the following held-out scores: centralized MLP accuracy 93.13%, balanced accuracy 92.91%, weighted F1 93.13%; FedAvg accuracy 82.89%, balanced accuracy 82.73%, weighted F1 82.65%; and personalized FedPer accuracy 89.06%, balanced accuracy 89.37%, weighted F1 89.02%. FedPer improves accuracy by 6.17 percentage points over FedAvg in the project summary, while remaining 4.07 points below the centralized baseline.</w:t>
      </w:r>
    </w:p>
    <w:p>
      <w:pPr>
        <w:pStyle w:val="Heading2"/>
      </w:pPr>
      <w:r>
        <w:t>12.2 Deployed hybrid metrics</w:t>
      </w:r>
    </w:p>
    <w:p>
      <w:pPr>
        <w:jc w:val="both"/>
      </w:pPr>
      <w:r>
        <w:t>Recalculation from the 2,998 rows in FINAL_HYBRID_TEST_PREDICTIONS.csv gives 2,936 correct predictions: 97.9320% accuracy, 98.4178% balanced accuracy, 97.9745% weighted precision, 97.9320% weighted recall, and 97.9398% weighted F1. The system uses the 0.25 dBm margin_hybrid policy. These figures are reported separately from the neural-only model comparison because the hybrid includes the threshold rule.</w:t>
      </w:r>
    </w:p>
    <w:p>
      <w:pPr>
        <w:pStyle w:val="Heading2"/>
      </w:pPr>
      <w:r>
        <w:t>12.3 Metric source reconciliation</w:t>
      </w:r>
    </w:p>
    <w:p>
      <w:pPr>
        <w:jc w:val="both"/>
      </w:pPr>
      <w:r>
        <w:t>The project metadata and app comment list a different accuracy of 97.5984%. The row-level prediction CSV resolves the test result: 2,936 of 2,998 predictions are correct, or 97.9320%. Recomputed class metrics from the same rows are 98.4178% balanced accuracy and 97.9398% weighted F1. The metadata and analytics summary should be updated to match the row-level evaluation artifact.</w:t>
      </w:r>
    </w:p>
    <w:p>
      <w:pPr>
        <w:pStyle w:val="Heading2"/>
      </w:pPr>
      <w:r>
        <w:t>12.4 Interpretation</w:t>
      </w:r>
    </w:p>
    <w:p>
      <w:pPr>
        <w:jc w:val="both"/>
      </w:pPr>
      <w:r>
        <w:t>The hybrid score is numerically higher than the baselines because the target is explicitly defined from RSSI threshold rules and the hybrid uses that same rule away from boundaries. This is not a like-for-like comparison of neural architectures. Its practical value is a compact decision policy with a client-specific model near boundaries; further evaluation should include latency, per-class error, calibration, and tests on external measurements.</w:t>
      </w:r>
    </w:p>
    <w:tbl>
      <w:tblPr>
        <w:tblW w:type="auto" w:w="0"/>
        <w:jc w:val="center"/>
        <w:tblLook w:firstColumn="1" w:firstRow="1" w:lastColumn="0" w:lastRow="0" w:noHBand="0" w:noVBand="1" w:val="04A0"/>
      </w:tblPr>
      <w:tblGrid>
        <w:gridCol w:w="2376"/>
        <w:gridCol w:w="2376"/>
        <w:gridCol w:w="2376"/>
        <w:gridCol w:w="2376"/>
      </w:tblGrid>
      <w:tr>
        <w:tc>
          <w:tcPr>
            <w:tcW w:type="dxa" w:w="2376"/>
            <w:vAlign w:val="center"/>
            <w:shd w:fill="D9EAF7"/>
          </w:tcPr>
          <w:p>
            <w:pPr>
              <w:spacing w:after="0"/>
            </w:pPr>
            <w:r/>
            <w:r>
              <w:rPr>
                <w:rFonts w:ascii="Times New Roman" w:hAnsi="Times New Roman"/>
                <w:b/>
                <w:sz w:val="20"/>
              </w:rPr>
              <w:t>Model</w:t>
            </w:r>
          </w:p>
        </w:tc>
        <w:tc>
          <w:tcPr>
            <w:tcW w:type="dxa" w:w="2376"/>
            <w:vAlign w:val="center"/>
            <w:shd w:fill="D9EAF7"/>
          </w:tcPr>
          <w:p>
            <w:pPr>
              <w:spacing w:after="0"/>
            </w:pPr>
            <w:r/>
            <w:r>
              <w:rPr>
                <w:rFonts w:ascii="Times New Roman" w:hAnsi="Times New Roman"/>
                <w:b/>
                <w:sz w:val="20"/>
              </w:rPr>
              <w:t>Accuracy</w:t>
            </w:r>
          </w:p>
        </w:tc>
        <w:tc>
          <w:tcPr>
            <w:tcW w:type="dxa" w:w="2376"/>
            <w:vAlign w:val="center"/>
            <w:shd w:fill="D9EAF7"/>
          </w:tcPr>
          <w:p>
            <w:pPr>
              <w:spacing w:after="0"/>
            </w:pPr>
            <w:r/>
            <w:r>
              <w:rPr>
                <w:rFonts w:ascii="Times New Roman" w:hAnsi="Times New Roman"/>
                <w:b/>
                <w:sz w:val="20"/>
              </w:rPr>
              <w:t>Balanced Acc.</w:t>
            </w:r>
          </w:p>
        </w:tc>
        <w:tc>
          <w:tcPr>
            <w:tcW w:type="dxa" w:w="2376"/>
            <w:vAlign w:val="center"/>
            <w:shd w:fill="D9EAF7"/>
          </w:tcPr>
          <w:p>
            <w:pPr>
              <w:spacing w:after="0"/>
            </w:pPr>
            <w:r/>
            <w:r>
              <w:rPr>
                <w:rFonts w:ascii="Times New Roman" w:hAnsi="Times New Roman"/>
                <w:b/>
                <w:sz w:val="20"/>
              </w:rPr>
              <w:t>Weighted F1</w:t>
            </w:r>
          </w:p>
        </w:tc>
      </w:tr>
      <w:tr>
        <w:tc>
          <w:tcPr>
            <w:tcW w:type="dxa" w:w="2376"/>
            <w:vAlign w:val="center"/>
          </w:tcPr>
          <w:p>
            <w:pPr>
              <w:spacing w:after="0"/>
            </w:pPr>
            <w:r/>
            <w:r>
              <w:rPr>
                <w:rFonts w:ascii="Times New Roman" w:hAnsi="Times New Roman"/>
                <w:b w:val="0"/>
                <w:sz w:val="20"/>
              </w:rPr>
              <w:t>Centralized MLP</w:t>
            </w:r>
          </w:p>
        </w:tc>
        <w:tc>
          <w:tcPr>
            <w:tcW w:type="dxa" w:w="2376"/>
            <w:vAlign w:val="center"/>
          </w:tcPr>
          <w:p>
            <w:pPr>
              <w:spacing w:after="0"/>
            </w:pPr>
            <w:r/>
            <w:r>
              <w:rPr>
                <w:rFonts w:ascii="Times New Roman" w:hAnsi="Times New Roman"/>
                <w:b w:val="0"/>
                <w:sz w:val="20"/>
              </w:rPr>
              <w:t>93.13%</w:t>
            </w:r>
          </w:p>
        </w:tc>
        <w:tc>
          <w:tcPr>
            <w:tcW w:type="dxa" w:w="2376"/>
            <w:vAlign w:val="center"/>
          </w:tcPr>
          <w:p>
            <w:pPr>
              <w:spacing w:after="0"/>
            </w:pPr>
            <w:r/>
            <w:r>
              <w:rPr>
                <w:rFonts w:ascii="Times New Roman" w:hAnsi="Times New Roman"/>
                <w:b w:val="0"/>
                <w:sz w:val="20"/>
              </w:rPr>
              <w:t>92.91%</w:t>
            </w:r>
          </w:p>
        </w:tc>
        <w:tc>
          <w:tcPr>
            <w:tcW w:type="dxa" w:w="2376"/>
            <w:vAlign w:val="center"/>
          </w:tcPr>
          <w:p>
            <w:pPr>
              <w:spacing w:after="0"/>
            </w:pPr>
            <w:r/>
            <w:r>
              <w:rPr>
                <w:rFonts w:ascii="Times New Roman" w:hAnsi="Times New Roman"/>
                <w:b w:val="0"/>
                <w:sz w:val="20"/>
              </w:rPr>
              <w:t>93.13%</w:t>
            </w:r>
          </w:p>
        </w:tc>
      </w:tr>
      <w:tr>
        <w:tc>
          <w:tcPr>
            <w:tcW w:type="dxa" w:w="2376"/>
            <w:vAlign w:val="center"/>
          </w:tcPr>
          <w:p>
            <w:pPr>
              <w:spacing w:after="0"/>
            </w:pPr>
            <w:r/>
            <w:r>
              <w:rPr>
                <w:rFonts w:ascii="Times New Roman" w:hAnsi="Times New Roman"/>
                <w:b w:val="0"/>
                <w:sz w:val="20"/>
              </w:rPr>
              <w:t>FedAvg</w:t>
            </w:r>
          </w:p>
        </w:tc>
        <w:tc>
          <w:tcPr>
            <w:tcW w:type="dxa" w:w="2376"/>
            <w:vAlign w:val="center"/>
          </w:tcPr>
          <w:p>
            <w:pPr>
              <w:spacing w:after="0"/>
            </w:pPr>
            <w:r/>
            <w:r>
              <w:rPr>
                <w:rFonts w:ascii="Times New Roman" w:hAnsi="Times New Roman"/>
                <w:b w:val="0"/>
                <w:sz w:val="20"/>
              </w:rPr>
              <w:t>82.89%</w:t>
            </w:r>
          </w:p>
        </w:tc>
        <w:tc>
          <w:tcPr>
            <w:tcW w:type="dxa" w:w="2376"/>
            <w:vAlign w:val="center"/>
          </w:tcPr>
          <w:p>
            <w:pPr>
              <w:spacing w:after="0"/>
            </w:pPr>
            <w:r/>
            <w:r>
              <w:rPr>
                <w:rFonts w:ascii="Times New Roman" w:hAnsi="Times New Roman"/>
                <w:b w:val="0"/>
                <w:sz w:val="20"/>
              </w:rPr>
              <w:t>82.73%</w:t>
            </w:r>
          </w:p>
        </w:tc>
        <w:tc>
          <w:tcPr>
            <w:tcW w:type="dxa" w:w="2376"/>
            <w:vAlign w:val="center"/>
          </w:tcPr>
          <w:p>
            <w:pPr>
              <w:spacing w:after="0"/>
            </w:pPr>
            <w:r/>
            <w:r>
              <w:rPr>
                <w:rFonts w:ascii="Times New Roman" w:hAnsi="Times New Roman"/>
                <w:b w:val="0"/>
                <w:sz w:val="20"/>
              </w:rPr>
              <w:t>82.65%</w:t>
            </w:r>
          </w:p>
        </w:tc>
      </w:tr>
      <w:tr>
        <w:tc>
          <w:tcPr>
            <w:tcW w:type="dxa" w:w="2376"/>
            <w:vAlign w:val="center"/>
          </w:tcPr>
          <w:p>
            <w:pPr>
              <w:spacing w:after="0"/>
            </w:pPr>
            <w:r/>
            <w:r>
              <w:rPr>
                <w:rFonts w:ascii="Times New Roman" w:hAnsi="Times New Roman"/>
                <w:b w:val="0"/>
                <w:sz w:val="20"/>
              </w:rPr>
              <w:t>Personalized FedPer</w:t>
            </w:r>
          </w:p>
        </w:tc>
        <w:tc>
          <w:tcPr>
            <w:tcW w:type="dxa" w:w="2376"/>
            <w:vAlign w:val="center"/>
          </w:tcPr>
          <w:p>
            <w:pPr>
              <w:spacing w:after="0"/>
            </w:pPr>
            <w:r/>
            <w:r>
              <w:rPr>
                <w:rFonts w:ascii="Times New Roman" w:hAnsi="Times New Roman"/>
                <w:b w:val="0"/>
                <w:sz w:val="20"/>
              </w:rPr>
              <w:t>89.06%</w:t>
            </w:r>
          </w:p>
        </w:tc>
        <w:tc>
          <w:tcPr>
            <w:tcW w:type="dxa" w:w="2376"/>
            <w:vAlign w:val="center"/>
          </w:tcPr>
          <w:p>
            <w:pPr>
              <w:spacing w:after="0"/>
            </w:pPr>
            <w:r/>
            <w:r>
              <w:rPr>
                <w:rFonts w:ascii="Times New Roman" w:hAnsi="Times New Roman"/>
                <w:b w:val="0"/>
                <w:sz w:val="20"/>
              </w:rPr>
              <w:t>89.37%</w:t>
            </w:r>
          </w:p>
        </w:tc>
        <w:tc>
          <w:tcPr>
            <w:tcW w:type="dxa" w:w="2376"/>
            <w:vAlign w:val="center"/>
          </w:tcPr>
          <w:p>
            <w:pPr>
              <w:spacing w:after="0"/>
            </w:pPr>
            <w:r/>
            <w:r>
              <w:rPr>
                <w:rFonts w:ascii="Times New Roman" w:hAnsi="Times New Roman"/>
                <w:b w:val="0"/>
                <w:sz w:val="20"/>
              </w:rPr>
              <w:t>89.02%</w:t>
            </w:r>
          </w:p>
        </w:tc>
      </w:tr>
      <w:tr>
        <w:tc>
          <w:tcPr>
            <w:tcW w:type="dxa" w:w="2376"/>
            <w:vAlign w:val="center"/>
          </w:tcPr>
          <w:p>
            <w:pPr>
              <w:spacing w:after="0"/>
            </w:pPr>
            <w:r/>
            <w:r>
              <w:rPr>
                <w:rFonts w:ascii="Times New Roman" w:hAnsi="Times New Roman"/>
                <w:b w:val="0"/>
                <w:sz w:val="20"/>
              </w:rPr>
              <w:t>Locked Hybrid*</w:t>
            </w:r>
          </w:p>
        </w:tc>
        <w:tc>
          <w:tcPr>
            <w:tcW w:type="dxa" w:w="2376"/>
            <w:vAlign w:val="center"/>
          </w:tcPr>
          <w:p>
            <w:pPr>
              <w:spacing w:after="0"/>
            </w:pPr>
            <w:r>
              <w:t>97.9320%</w:t>
            </w:r>
            <w:r>
              <w:rPr>
                <w:rFonts w:ascii="Times New Roman" w:hAnsi="Times New Roman"/>
                <w:b w:val="0"/>
                <w:sz w:val="20"/>
              </w:rPr>
            </w:r>
          </w:p>
        </w:tc>
        <w:tc>
          <w:tcPr>
            <w:tcW w:type="dxa" w:w="2376"/>
            <w:vAlign w:val="center"/>
          </w:tcPr>
          <w:p>
            <w:pPr>
              <w:spacing w:after="0"/>
            </w:pPr>
            <w:r>
              <w:t>98.4178%</w:t>
            </w:r>
            <w:r>
              <w:rPr>
                <w:rFonts w:ascii="Times New Roman" w:hAnsi="Times New Roman"/>
                <w:b w:val="0"/>
                <w:sz w:val="20"/>
              </w:rPr>
            </w:r>
          </w:p>
        </w:tc>
        <w:tc>
          <w:tcPr>
            <w:tcW w:type="dxa" w:w="2376"/>
            <w:vAlign w:val="center"/>
          </w:tcPr>
          <w:p>
            <w:pPr>
              <w:spacing w:after="0"/>
            </w:pPr>
            <w:r>
              <w:t>97.9398%</w:t>
            </w:r>
            <w:r>
              <w:rPr>
                <w:rFonts w:ascii="Times New Roman" w:hAnsi="Times New Roman"/>
                <w:b w:val="0"/>
                <w:sz w:val="20"/>
              </w:rPr>
            </w:r>
          </w:p>
        </w:tc>
      </w:tr>
    </w:tbl>
    <w:p>
      <w:pPr>
        <w:spacing w:before="60"/>
      </w:pPr>
      <w:r>
        <w:rPr>
          <w:i/>
          <w:sz w:val="18"/>
        </w:rPr>
        <w:t>* Hybrid metrics recomputed from FINAL_HYBRID_TEST_PREDICTIONS.csv (2,998 held-out rows).</w:t>
      </w:r>
    </w:p>
    <w:p>
      <w:r>
        <w:br w:type="page"/>
      </w:r>
    </w:p>
    <w:p>
      <w:pPr>
        <w:pStyle w:val="Heading1"/>
        <w:jc w:val="center"/>
      </w:pPr>
      <w:r>
        <w:t>13 ANALYSIS AND DISCUSSION</w:t>
      </w:r>
    </w:p>
    <w:p>
      <w:pPr>
        <w:pStyle w:val="Heading2"/>
      </w:pPr>
      <w:r>
        <w:t>13.1 Personalization result</w:t>
      </w:r>
    </w:p>
    <w:p>
      <w:pPr>
        <w:jc w:val="both"/>
      </w:pPr>
      <w:r>
        <w:t>FedPer exceeds FedAvg on the standardized comparison, supporting the project hypothesis that client-specific parameters can help under heterogeneous partitions. However, FedPer remains below the pooled centralized MLP in this result table. Personalization is therefore not universally superior; its value depends on the data volume, heterogeneity, client distribution, and deployment objective.</w:t>
      </w:r>
    </w:p>
    <w:p>
      <w:pPr>
        <w:pStyle w:val="Heading2"/>
      </w:pPr>
      <w:r>
        <w:t>13.2 Hybrid interpretation</w:t>
      </w:r>
    </w:p>
    <w:p>
      <w:pPr>
        <w:jc w:val="both"/>
      </w:pPr>
      <w:r>
        <w:t>A threshold rule matches the labeling function by construction, so high hybrid accuracy is expected when the input representation is complete and values are consistent. The neural branch targets a narrow region around boundaries and can make client-specific decisions there. This architecture trades general learned decision-making for a transparent rule with learned local refinement.</w:t>
      </w:r>
    </w:p>
    <w:p>
      <w:pPr>
        <w:pStyle w:val="Heading2"/>
      </w:pPr>
      <w:r>
        <w:t>13.3 Client variation</w:t>
      </w:r>
    </w:p>
    <w:p>
      <w:pPr>
        <w:jc w:val="both"/>
      </w:pPr>
      <w:r>
        <w:t>Aggregate metrics can hide uneven client performance. The repository includes per-client test results and class distributions to inspect that variation. A complete deployment assessment should report minimum and percentile client performance in addition to the mean, verify each client has sufficient examples, and examine whether PHONEID remains a reliable proxy for the operating environment.</w:t>
      </w:r>
    </w:p>
    <w:p>
      <w:pPr>
        <w:pStyle w:val="Heading2"/>
      </w:pPr>
      <w:r>
        <w:t>13.4 Evidence quality</w:t>
      </w:r>
    </w:p>
    <w:p>
      <w:pPr>
        <w:jc w:val="both"/>
      </w:pPr>
      <w:r>
        <w:t>The ZIP includes multiple experimental generations and a conflicting hybrid score in an audit file. The distinction between test metrics, validation tuning, and historic artifacts should remain visible in future releases. The delivered report uses the production metadata value and identifies the conflict instead of combining incompatible numbers.</w:t>
      </w:r>
    </w:p>
    <w:p>
      <w:r>
        <w:br w:type="page"/>
      </w:r>
    </w:p>
    <w:p>
      <w:pPr>
        <w:pStyle w:val="Heading1"/>
        <w:jc w:val="center"/>
      </w:pPr>
      <w:r>
        <w:t>14 DEPLOYMENT, TESTING, AND LIMITATIONS</w:t>
      </w:r>
    </w:p>
    <w:p>
      <w:pPr>
        <w:pStyle w:val="Heading2"/>
      </w:pPr>
      <w:r>
        <w:t>14.1 Deployment path</w:t>
      </w:r>
    </w:p>
    <w:p>
      <w:pPr>
        <w:jc w:val="both"/>
      </w:pPr>
      <w:r>
        <w:t>A client application collects WAP RSSI values and a PHONEID, posts them to the service, and receives the predicted class and explanation fields. If no registered client is present, the service still returns a deterministic threshold-rule result. The dashboard supports interactive exploration and exposes aggregate analytics.</w:t>
      </w:r>
    </w:p>
    <w:p>
      <w:pPr>
        <w:pStyle w:val="Heading2"/>
      </w:pPr>
      <w:r>
        <w:t>14.2 Verification plan</w:t>
      </w:r>
    </w:p>
    <w:p>
      <w:pPr>
        <w:jc w:val="both"/>
      </w:pPr>
      <w:r>
        <w:t>Before deployment, confirm that the app starts with the documented dependencies, the health endpoint returns all 16 clients, project-info reports 472 model features, and the scaler loads. Exercise known-client input near a boundary, known-client input away from a boundary, unknown PHONEID, malformed WAP input, and model-load failure. Compare output against a small reference set computed with the repository pipeline.</w:t>
      </w:r>
    </w:p>
    <w:p>
      <w:pPr>
        <w:pStyle w:val="Heading2"/>
      </w:pPr>
      <w:r>
        <w:t>14.3 Limitations</w:t>
      </w:r>
    </w:p>
    <w:p>
      <w:pPr>
        <w:jc w:val="both"/>
      </w:pPr>
      <w:r>
        <w:t>The data are Wi-Fi fingerprints and the classes are derived from maximum RSSI, not independently measured service quality. A fixed threshold may not transfer to different receivers or calibration conditions. The report does not establish causal benefits for network operation, privacy guarantees, robustness under adversarial inputs, or generalization to cellular RAN telemetry. The conflicting metric source also needs reconciliation.</w:t>
      </w:r>
    </w:p>
    <w:p>
      <w:pPr>
        <w:pStyle w:val="Heading2"/>
      </w:pPr>
      <w:r>
        <w:t>14.4 Future evaluation</w:t>
      </w:r>
    </w:p>
    <w:p>
      <w:pPr>
        <w:jc w:val="both"/>
      </w:pPr>
      <w:r>
        <w:t>Future work should validate on new buildings, devices, and capture periods; test cellular data with explicit CQI or link-performance labels if the goal is cellular quality prediction; quantify client fairness and confidence calibration; measure server/client communication and inference latency; and consider secure aggregation or differential privacy if formal privacy is required.</w:t>
      </w:r>
    </w:p>
    <w:p>
      <w:r>
        <w:br w:type="page"/>
      </w:r>
    </w:p>
    <w:p>
      <w:pPr>
        <w:pStyle w:val="Heading1"/>
        <w:jc w:val="center"/>
      </w:pPr>
      <w:r>
        <w:t>15 CONCLUSION AND FUTURE WORK</w:t>
      </w:r>
    </w:p>
    <w:p>
      <w:pPr>
        <w:pStyle w:val="Heading2"/>
      </w:pPr>
      <w:r>
        <w:t>15.1 Conclusion</w:t>
      </w:r>
    </w:p>
    <w:p>
      <w:pPr>
        <w:jc w:val="both"/>
      </w:pPr>
      <w:r>
        <w:t>This project implements personalized federated learning for a four-class RSSI-derived Wi-Fi link-quality task on UJIIndoorLoc. The pipeline transforms 520 WAP columns into 465 usable measurements plus seven engineered features, producing 472 model inputs. Sixteen PHONEID partitions support centralized, FedAvg, and FedPer experiments. A locked hybrid predictor applies RSSI thresholds in ordinary cases and invokes a personalized model near boundaries.</w:t>
      </w:r>
    </w:p>
    <w:p>
      <w:pPr>
        <w:pStyle w:val="Heading2"/>
      </w:pPr>
      <w:r>
        <w:t>15.2 Main findings</w:t>
      </w:r>
    </w:p>
    <w:p>
      <w:pPr>
        <w:jc w:val="both"/>
      </w:pPr>
      <w:r>
        <w:t>In the standardized neural comparison, FedPer reaches 89.06% accuracy, exceeding FedAvg at 82.89% but trailing the centralized MLP at 93.13%. The held-out prediction CSV reports 97.9320% accuracy and 98.4178% balanced accuracy (2,936 correct of 2,998). Because the rule reproduces the threshold-derived target outside a narrow margin, this hybrid metric should not be interpreted as a direct neural-model comparison. It is evidence for the specified rule-plus-personalized-model implementation on the supplied test artifacts.</w:t>
      </w:r>
    </w:p>
    <w:p>
      <w:pPr>
        <w:pStyle w:val="Heading2"/>
      </w:pPr>
      <w:r>
        <w:t>15.3 Future work</w:t>
      </w:r>
    </w:p>
    <w:p>
      <w:pPr>
        <w:jc w:val="both"/>
      </w:pPr>
      <w:r>
        <w:t>The next steps are to update metadata and dashboard summaries to match the row-level test CSV, publish exact split and training configuration hashes, run repeated-seed and external-device evaluations, report per-client fairness and confusion analyses, and measure runtime and communication costs. Extending the task to cellular quality requires an appropriate dataset and target labels.</w:t>
      </w:r>
    </w:p>
    <w:p>
      <w:pPr>
        <w:pStyle w:val="Heading2"/>
      </w:pPr>
      <w:r>
        <w:t>15.4 Closing statement</w:t>
      </w:r>
    </w:p>
    <w:p>
      <w:pPr>
        <w:jc w:val="both"/>
      </w:pPr>
      <w:r>
        <w:t>The project package provides a complete path from data transformation and client model artifacts to a deployed prediction interface. Its strongest contribution is the integrated experimental and inference pipeline. Broader claims about wireless standards, privacy, or real-world service quality require additional data and validation.</w:t>
      </w:r>
    </w:p>
    <w:p>
      <w:r>
        <w:br w:type="page"/>
      </w:r>
    </w:p>
    <w:p>
      <w:pPr>
        <w:pStyle w:val="Heading1"/>
        <w:jc w:val="center"/>
      </w:pPr>
      <w:r>
        <w:t>REFERENCES AND APPENDIX</w:t>
      </w:r>
    </w:p>
    <w:p>
      <w:pPr>
        <w:pStyle w:val="Heading2"/>
      </w:pPr>
      <w:r>
        <w:t>References</w:t>
      </w:r>
    </w:p>
    <w:p>
      <w:pPr>
        <w:jc w:val="both"/>
      </w:pPr>
      <w:r>
        <w:t>[1] J. Torres-Sospedra, R. Montoliu, A. Martínez-Usó, T. Arnau, and J. Avariento, “UJIIndoorLoc” [Dataset], UCI Machine Learning Repository, 2014, doi: 10.24432/C5MS59. [2] B. McMahan, E. Moore, D. Ramage, S. Hampson, and B. A. y Arcas, “Communication-Efficient Learning of Deep Networks from Decentralized Data,” AISTATS, PMLR 54, pp. 1273–1282, 2017. [3] M. G. Arivazhagan, V. Aggarwal, A. K. Singh, and S. Choudhary, “Federated Learning with Personalization Layers,” arXiv:1912.00818, 2019. [4] Project source package: README.md, documentation/PROJECT_METADATA.json, documentation/ARTIFACT_AUDIT.md, results/FINAL_RESULTS_COMPARISON.csv, and app/backend modules. Source links: archive.ics.uci.edu/dataset/310/ujiindoorloc; proceedings.mlr.press/v54/mcmahan17a.html; arxiv.org/abs/1912.00818.</w:t>
      </w:r>
    </w:p>
    <w:p>
      <w:pPr>
        <w:pStyle w:val="Heading2"/>
      </w:pPr>
      <w:r>
        <w:t>Appendix A Key implementation constants</w:t>
      </w:r>
    </w:p>
    <w:p>
      <w:pPr>
        <w:jc w:val="both"/>
      </w:pPr>
      <w:r>
        <w:t>Input dimension: 472. WAP values retained: 465. Engineered features: 7. Clients: 16 PHONEIDs as listed in Chapter 4. RSSI thresholds: -75, -65, and -55 dBm. Hybrid margin: 0.25 dBm. Classes: Poor, Fair, Good, Excellent. Missing WAP representation: -100 dBm. The class thresholds are inclusive at the lower boundary for Fair, Good, and Excellent.</w:t>
      </w:r>
    </w:p>
    <w:p>
      <w:pPr>
        <w:pStyle w:val="Heading2"/>
      </w:pPr>
      <w:r>
        <w:t>Appendix B Key files</w:t>
      </w:r>
    </w:p>
    <w:p>
      <w:pPr>
        <w:jc w:val="both"/>
      </w:pPr>
      <w:r>
        <w:t>app/backend/preprocessing.py implements parsing and feature construction. app/backend/predictor.py implements the margin_hybrid decision. app/backend/model_loader.py loads client weights. app/backend/main.py provides API routes. app/backend/analytics.py reads benchmark and client results. preprocessing/feature_names.json and centralized_wireless_scaler.pkl define inference preprocessing. results/FINAL_RESULTS_COMPARISON.csv stores the standardized neural baseline scores.</w:t>
      </w:r>
    </w:p>
    <w:p>
      <w:pPr>
        <w:pStyle w:val="Heading2"/>
      </w:pPr>
      <w:r>
        <w:t>Appendix C Abbreviations</w:t>
      </w:r>
    </w:p>
    <w:p>
      <w:pPr>
        <w:jc w:val="both"/>
      </w:pPr>
      <w:r>
        <w:t>AP: Access Point. API: Application Programming Interface. FedAvg: Federated Averaging. FedPer: Federated learning with personalization layers. MLP: Multilayer Perceptron. Non-IID: Non-Independent and Identically Distributed. RSSI: Received Signal Strength Indicator. WAP: Wireless Access Point. PHONEID: Phone/device identifier recorded in UJIIndoorLoc.</w:t>
      </w:r>
    </w:p>
    <w:p>
      <w:pPr>
        <w:spacing w:before="160"/>
      </w:pPr>
      <w:r>
        <w:t>Software requirements: Python, TensorFlow/Keras, FastAPI, Gradio, NumPy, pandas, and scikit-learn. Consult app/requirements.txt for the packaged application dependencies.</w:t>
      </w:r>
    </w:p>
    <w:sectPr w:rsidR="00F93B67" w:rsidRPr="008633ED" w:rsidSect="008633ED">
      <w:footerReference w:type="default" r:id="rId9"/>
      <w:pgSz w:w="12240" w:h="15840"/>
      <w:pgMar w:top="1080" w:right="1368" w:bottom="936" w:left="136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E1642F"/>
    <w:multiLevelType w:val="hybridMultilevel"/>
    <w:tmpl w:val="0A1AC33E"/>
    <w:lvl w:ilvl="0" w:tplc="93C688A0">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 w15:restartNumberingAfterBreak="0">
    <w:nsid w:val="3B30500D"/>
    <w:multiLevelType w:val="hybridMultilevel"/>
    <w:tmpl w:val="FDE4D36A"/>
    <w:lvl w:ilvl="0" w:tplc="4009000F">
      <w:start w:val="1"/>
      <w:numFmt w:val="decimal"/>
      <w:lvlText w:val="%1."/>
      <w:lvlJc w:val="left"/>
      <w:pPr>
        <w:ind w:left="720" w:hanging="360"/>
      </w:pPr>
    </w:lvl>
    <w:lvl w:ilvl="1" w:tplc="4009001B">
      <w:start w:val="1"/>
      <w:numFmt w:val="lowerRoman"/>
      <w:lvlText w:val="%2."/>
      <w:lvlJc w:val="righ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32C3AEB"/>
    <w:multiLevelType w:val="hybridMultilevel"/>
    <w:tmpl w:val="661A59E6"/>
    <w:lvl w:ilvl="0" w:tplc="4796B14C">
      <w:start w:val="1"/>
      <w:numFmt w:val="decimal"/>
      <w:lvlText w:val="%1."/>
      <w:lvlJc w:val="left"/>
      <w:pPr>
        <w:ind w:left="409" w:hanging="360"/>
      </w:pPr>
      <w:rPr>
        <w:rFonts w:hint="default"/>
      </w:rPr>
    </w:lvl>
    <w:lvl w:ilvl="1" w:tplc="40090019" w:tentative="1">
      <w:start w:val="1"/>
      <w:numFmt w:val="lowerLetter"/>
      <w:lvlText w:val="%2."/>
      <w:lvlJc w:val="left"/>
      <w:pPr>
        <w:ind w:left="1129" w:hanging="360"/>
      </w:pPr>
    </w:lvl>
    <w:lvl w:ilvl="2" w:tplc="4009001B" w:tentative="1">
      <w:start w:val="1"/>
      <w:numFmt w:val="lowerRoman"/>
      <w:lvlText w:val="%3."/>
      <w:lvlJc w:val="right"/>
      <w:pPr>
        <w:ind w:left="1849" w:hanging="180"/>
      </w:pPr>
    </w:lvl>
    <w:lvl w:ilvl="3" w:tplc="4009000F" w:tentative="1">
      <w:start w:val="1"/>
      <w:numFmt w:val="decimal"/>
      <w:lvlText w:val="%4."/>
      <w:lvlJc w:val="left"/>
      <w:pPr>
        <w:ind w:left="2569" w:hanging="360"/>
      </w:pPr>
    </w:lvl>
    <w:lvl w:ilvl="4" w:tplc="40090019" w:tentative="1">
      <w:start w:val="1"/>
      <w:numFmt w:val="lowerLetter"/>
      <w:lvlText w:val="%5."/>
      <w:lvlJc w:val="left"/>
      <w:pPr>
        <w:ind w:left="3289" w:hanging="360"/>
      </w:pPr>
    </w:lvl>
    <w:lvl w:ilvl="5" w:tplc="4009001B" w:tentative="1">
      <w:start w:val="1"/>
      <w:numFmt w:val="lowerRoman"/>
      <w:lvlText w:val="%6."/>
      <w:lvlJc w:val="right"/>
      <w:pPr>
        <w:ind w:left="4009" w:hanging="180"/>
      </w:pPr>
    </w:lvl>
    <w:lvl w:ilvl="6" w:tplc="4009000F" w:tentative="1">
      <w:start w:val="1"/>
      <w:numFmt w:val="decimal"/>
      <w:lvlText w:val="%7."/>
      <w:lvlJc w:val="left"/>
      <w:pPr>
        <w:ind w:left="4729" w:hanging="360"/>
      </w:pPr>
    </w:lvl>
    <w:lvl w:ilvl="7" w:tplc="40090019" w:tentative="1">
      <w:start w:val="1"/>
      <w:numFmt w:val="lowerLetter"/>
      <w:lvlText w:val="%8."/>
      <w:lvlJc w:val="left"/>
      <w:pPr>
        <w:ind w:left="5449" w:hanging="360"/>
      </w:pPr>
    </w:lvl>
    <w:lvl w:ilvl="8" w:tplc="4009001B" w:tentative="1">
      <w:start w:val="1"/>
      <w:numFmt w:val="lowerRoman"/>
      <w:lvlText w:val="%9."/>
      <w:lvlJc w:val="right"/>
      <w:pPr>
        <w:ind w:left="6169" w:hanging="180"/>
      </w:pPr>
    </w:lvl>
  </w:abstractNum>
  <w:num w:numId="1" w16cid:durableId="1086272462">
    <w:abstractNumId w:val="2"/>
  </w:num>
  <w:num w:numId="2" w16cid:durableId="343214765">
    <w:abstractNumId w:val="1"/>
  </w:num>
  <w:num w:numId="3" w16cid:durableId="13425900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2"/>
    <w:compatSetting w:name="useWord2013TrackBottomHyphenation" w:uri="http://schemas.microsoft.com/office/word" w:val="1"/>
  </w:compat>
  <w:rsids>
    <w:rsidRoot w:val="00F2424B"/>
    <w:rsid w:val="000B43AD"/>
    <w:rsid w:val="002A5082"/>
    <w:rsid w:val="003A3929"/>
    <w:rsid w:val="003F3E67"/>
    <w:rsid w:val="00431AC0"/>
    <w:rsid w:val="00445574"/>
    <w:rsid w:val="00501FD9"/>
    <w:rsid w:val="0065081C"/>
    <w:rsid w:val="0071708C"/>
    <w:rsid w:val="007C2563"/>
    <w:rsid w:val="008633ED"/>
    <w:rsid w:val="00972E04"/>
    <w:rsid w:val="00CA32B6"/>
    <w:rsid w:val="00F2424B"/>
    <w:rsid w:val="00F50F4B"/>
    <w:rsid w:val="00F93B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668504"/>
  <w15:docId w15:val="{0792ACA9-ADB8-4AC0-BB5B-5EE13C47F6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102B"/>
    <w:pPr>
      <w:spacing w:line="269" w:lineRule="auto" w:after="100"/>
    </w:pPr>
    <w:rPr>
      <w:rFonts w:ascii="Times New Roman" w:hAnsi="Times New Roman"/>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633ED"/>
    <w:pPr>
      <w:ind w:left="720"/>
      <w:contextualSpacing/>
    </w:pPr>
  </w:style>
  <w:style w:type="paragraph" w:customStyle="1" w:styleId="Heading1">
    <w:name w:val="heading 1"/>
    <w:pPr>
      <w:keepNext/>
      <w:spacing w:before="160" w:after="80"/>
    </w:pPr>
    <w:rPr>
      <w:rFonts w:ascii="Times New Roman" w:hAnsi="Times New Roman"/>
      <w:b/>
      <w:color w:val="1F4E79"/>
      <w:sz w:val="30"/>
    </w:rPr>
  </w:style>
  <w:style w:type="paragraph" w:customStyle="1" w:styleId="Heading2">
    <w:name w:val="heading 2"/>
    <w:pPr>
      <w:keepNext/>
      <w:spacing w:before="160" w:after="80"/>
    </w:pPr>
    <w:rPr>
      <w:rFonts w:ascii="Times New Roman" w:hAnsi="Times New Roman"/>
      <w:b/>
      <w:color w:val="1F4E79"/>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TotalTime>
  <Pages>4</Pages>
  <Words>114</Words>
  <Characters>650</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Microsoft Word - Project_Abstract_Template</vt:lpstr>
    </vt:vector>
  </TitlesOfParts>
  <Company/>
  <LinksUpToDate>false</LinksUpToDate>
  <CharactersWithSpaces>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Project_Abstract_Template</dc:title>
  <dc:creator>ATAL_LB_IT_012 Lakshmi Prasanna Yeluri</dc:creator>
  <cp:lastModifiedBy>Nelapati Lava Prasad</cp:lastModifiedBy>
  <cp:revision>17</cp:revision>
  <dcterms:created xsi:type="dcterms:W3CDTF">2026-08-18T12:23:00Z</dcterms:created>
  <dcterms:modified xsi:type="dcterms:W3CDTF">2026-10-14T04:01:00Z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2026-07-29T00:00:00Z</vt:filetime>
  </property>
  <property fmtid="{D5CDD505-2E9C-101B-9397-08002B2CF9AE}" pid="3" name="LastSaved">
    <vt:filetime>2026-08-18T00:00:00Z</vt:filetime>
  </property>
</Properties>
</file>