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C6FD" w14:textId="18F43C3D" w:rsidR="009F4579" w:rsidRDefault="009F4579">
      <w:pPr>
        <w:spacing w:after="80"/>
        <w:jc w:val="center"/>
        <w:rPr>
          <w:b/>
          <w:bCs/>
          <w:sz w:val="30"/>
          <w:szCs w:val="30"/>
        </w:rPr>
      </w:pPr>
      <w:r w:rsidRPr="009F4579">
        <w:rPr>
          <w:b/>
          <w:bCs/>
          <w:sz w:val="30"/>
          <w:szCs w:val="30"/>
        </w:rPr>
        <w:t>Green Bonds</w:t>
      </w:r>
      <w:r w:rsidR="00503B03">
        <w:rPr>
          <w:b/>
          <w:bCs/>
          <w:sz w:val="30"/>
          <w:szCs w:val="30"/>
        </w:rPr>
        <w:t xml:space="preserve"> </w:t>
      </w:r>
      <w:r w:rsidRPr="009F4579">
        <w:rPr>
          <w:b/>
          <w:bCs/>
          <w:sz w:val="30"/>
          <w:szCs w:val="30"/>
        </w:rPr>
        <w:t>Trend Analys</w:t>
      </w:r>
      <w:r>
        <w:rPr>
          <w:b/>
          <w:bCs/>
          <w:sz w:val="30"/>
          <w:szCs w:val="30"/>
        </w:rPr>
        <w:t>is</w:t>
      </w:r>
    </w:p>
    <w:p w14:paraId="6B05FE7E" w14:textId="06F95BBB" w:rsidR="00790A7E" w:rsidRDefault="00000000">
      <w:pPr>
        <w:spacing w:after="80"/>
        <w:jc w:val="center"/>
      </w:pPr>
      <w:r>
        <w:rPr>
          <w:i/>
          <w:iCs/>
          <w:sz w:val="22"/>
          <w:szCs w:val="22"/>
        </w:rPr>
        <w:t>Research Paper 1 of 2 — Topic-Related Research</w:t>
      </w:r>
    </w:p>
    <w:p w14:paraId="60011E4F" w14:textId="77777777" w:rsidR="00790A7E" w:rsidRDefault="00000000">
      <w:pPr>
        <w:spacing w:after="80"/>
        <w:jc w:val="center"/>
      </w:pPr>
      <w:r>
        <w:t>Project: India Green Bond Trend Analysis</w:t>
      </w:r>
    </w:p>
    <w:p w14:paraId="25F4A454" w14:textId="77777777" w:rsidR="00790A7E" w:rsidRDefault="00000000">
      <w:pPr>
        <w:spacing w:after="300"/>
        <w:jc w:val="center"/>
      </w:pPr>
      <w:r>
        <w:rPr>
          <w:i/>
          <w:iCs/>
        </w:rPr>
        <w:t xml:space="preserve">Author: [Your </w:t>
      </w:r>
      <w:proofErr w:type="gramStart"/>
      <w:r>
        <w:rPr>
          <w:i/>
          <w:iCs/>
        </w:rPr>
        <w:t xml:space="preserve">Name]   </w:t>
      </w:r>
      <w:proofErr w:type="gramEnd"/>
      <w:r>
        <w:rPr>
          <w:i/>
          <w:iCs/>
        </w:rPr>
        <w:t xml:space="preserve"> |    Date: [Submission Date]</w:t>
      </w:r>
    </w:p>
    <w:p w14:paraId="3550E602" w14:textId="77777777" w:rsidR="00790A7E" w:rsidRDefault="00000000">
      <w:pPr>
        <w:pStyle w:val="Heading1"/>
        <w:spacing w:before="240" w:after="120"/>
      </w:pPr>
      <w:r>
        <w:rPr>
          <w:b/>
          <w:bCs/>
          <w:color w:val="1F3864"/>
          <w:sz w:val="26"/>
          <w:szCs w:val="26"/>
        </w:rPr>
        <w:t>Abstract</w:t>
      </w:r>
    </w:p>
    <w:p w14:paraId="7B94BD1B" w14:textId="77777777" w:rsidR="00790A7E" w:rsidRDefault="00000000">
      <w:pPr>
        <w:spacing w:after="160" w:line="264" w:lineRule="auto"/>
        <w:jc w:val="both"/>
      </w:pPr>
      <w:r>
        <w:rPr>
          <w:sz w:val="22"/>
          <w:szCs w:val="22"/>
        </w:rPr>
        <w:t>This paper examines the development of India's green bond market -- currently a small but rapidly maturing segment of the country's debt capital markets. It reviews recent regulatory history and industry research on this market and relates those findings to the issuance-level analysis carried out in the accompanying project, "India Green Bond Trend Analysis." The paper concludes that India's green bond market is not simply scaling up uniformly, but maturing unevenly -- growing fast in total volume while remaining concentrated among a small number of large issuers.</w:t>
      </w:r>
    </w:p>
    <w:p w14:paraId="1427A19C" w14:textId="77777777" w:rsidR="00790A7E" w:rsidRDefault="00000000">
      <w:pPr>
        <w:pStyle w:val="Heading1"/>
        <w:spacing w:before="240" w:after="120"/>
      </w:pPr>
      <w:r>
        <w:rPr>
          <w:b/>
          <w:bCs/>
          <w:color w:val="1F3864"/>
          <w:sz w:val="26"/>
          <w:szCs w:val="26"/>
        </w:rPr>
        <w:t>1. Introduction</w:t>
      </w:r>
    </w:p>
    <w:p w14:paraId="4F6F8742" w14:textId="529747F8" w:rsidR="00790A7E" w:rsidRDefault="00000000">
      <w:pPr>
        <w:spacing w:after="160" w:line="264" w:lineRule="auto"/>
        <w:jc w:val="both"/>
      </w:pPr>
      <w:r>
        <w:rPr>
          <w:sz w:val="22"/>
          <w:szCs w:val="22"/>
        </w:rPr>
        <w:t>For most of the last decade, green bonds in India were issued sporadically, largely by a handful of renewable-energy financiers and development agencies. That picture has changed. Tightened SEBI disclosure rules, the launch of a Sovereign Green Bond program, and growing investor demand for sustainability-labelled debt have made green bonds an increasingly visible part of India's capital markets. Understanding how this market has actually evolved -- who issues these bonds, how pricing has moved, and how quickly the market processes new issuances -- is essential for interpreting any dataset built from it. This paper provides the background research behind the accompanying data analysis project, which studies exactly this question using a real dataset of SEBI-registered green bond issuances.</w:t>
      </w:r>
    </w:p>
    <w:p w14:paraId="04A4C18D" w14:textId="77777777" w:rsidR="00790A7E" w:rsidRDefault="00000000">
      <w:pPr>
        <w:pStyle w:val="Heading1"/>
        <w:spacing w:before="240" w:after="120"/>
      </w:pPr>
      <w:r>
        <w:rPr>
          <w:b/>
          <w:bCs/>
          <w:color w:val="1F3864"/>
          <w:sz w:val="26"/>
          <w:szCs w:val="26"/>
        </w:rPr>
        <w:t>2. Background and Existing Regulatory and Industry Research</w:t>
      </w:r>
    </w:p>
    <w:p w14:paraId="3FA1F824" w14:textId="77777777" w:rsidR="00790A7E" w:rsidRDefault="00000000">
      <w:pPr>
        <w:spacing w:after="160" w:line="264" w:lineRule="auto"/>
        <w:jc w:val="both"/>
      </w:pPr>
      <w:r>
        <w:rPr>
          <w:sz w:val="22"/>
          <w:szCs w:val="22"/>
        </w:rPr>
        <w:t>Multiple sources confirm that the global green bond market has grown rapidly while India's own contribution remains comparatively small. Climate Bonds Initiative and LSEG market intelligence report that cumulative global green bond issuance crossed USD 1 trillion by 2020 and surpassed USD 3 trillion outstanding by late 2025. Against this backdrop, India's cumulative issuance of roughly USD 21 billion by 2023 represents only about 2% of that year's global total, despite the country's large economy and substantial renewable energy ambitions.</w:t>
      </w:r>
    </w:p>
    <w:p w14:paraId="43B96694" w14:textId="026E363A" w:rsidR="00790A7E" w:rsidRDefault="00000000">
      <w:pPr>
        <w:spacing w:after="160" w:line="264" w:lineRule="auto"/>
        <w:jc w:val="both"/>
      </w:pPr>
      <w:r>
        <w:rPr>
          <w:sz w:val="22"/>
          <w:szCs w:val="22"/>
        </w:rPr>
        <w:t xml:space="preserve">India's regulatory framework has evolved in stages. SEBI first defined "green debt securities" in a 2017 circular. In December 2022, SEBI's board approved a revised framework aligned with the updated Green Bond Principles </w:t>
      </w:r>
      <w:proofErr w:type="spellStart"/>
      <w:r>
        <w:rPr>
          <w:sz w:val="22"/>
          <w:szCs w:val="22"/>
        </w:rPr>
        <w:t>recognised</w:t>
      </w:r>
      <w:proofErr w:type="spellEnd"/>
      <w:r>
        <w:rPr>
          <w:sz w:val="22"/>
          <w:szCs w:val="22"/>
        </w:rPr>
        <w:t xml:space="preserve"> by IOSCO; the resulting 2023 amendments widened the definition of green debt securities, added anti-greenwashing guidance, and mandated third-party review both before and after issuance. A major milestone came with the government's Sovereign Green Bond Framework, launched in November 2022, with the first auction in January 2023 raising a combined Rs 16,000 crore. Early reporting suggested the five-year tranche priced slightly below comparable conventional government securities a possible early Indian "</w:t>
      </w:r>
      <w:proofErr w:type="spellStart"/>
      <w:r>
        <w:rPr>
          <w:sz w:val="22"/>
          <w:szCs w:val="22"/>
        </w:rPr>
        <w:t>greenium</w:t>
      </w:r>
      <w:proofErr w:type="spellEnd"/>
      <w:r>
        <w:rPr>
          <w:sz w:val="22"/>
          <w:szCs w:val="22"/>
        </w:rPr>
        <w:t>"</w:t>
      </w:r>
      <w:r w:rsidR="00184149">
        <w:rPr>
          <w:sz w:val="22"/>
          <w:szCs w:val="22"/>
        </w:rPr>
        <w:t xml:space="preserve"> </w:t>
      </w:r>
      <w:r>
        <w:rPr>
          <w:sz w:val="22"/>
          <w:szCs w:val="22"/>
        </w:rPr>
        <w:t>though at least one later RBI auction was cancelled when the resulting premium was judged insufficient, suggesting pricing dynamics in this market remain unsettled.</w:t>
      </w:r>
    </w:p>
    <w:p w14:paraId="3AA10C04" w14:textId="77777777" w:rsidR="00790A7E" w:rsidRDefault="00000000">
      <w:pPr>
        <w:spacing w:after="160" w:line="264" w:lineRule="auto"/>
        <w:jc w:val="both"/>
      </w:pPr>
      <w:r>
        <w:rPr>
          <w:sz w:val="22"/>
          <w:szCs w:val="22"/>
        </w:rPr>
        <w:t>Taken together, this research points to two conclusions relevant to this project: first, India's green bond market is genuinely growing, not stagnant; second, that growth appears to depend heavily on a small number of large issuers and policy-driven milestones, rather than broad-based participation across the market -- a pattern that industry-level statistics alone do not fully capture.</w:t>
      </w:r>
    </w:p>
    <w:p w14:paraId="70055858" w14:textId="77777777" w:rsidR="00E02F02" w:rsidRDefault="00E02F02">
      <w:pPr>
        <w:pStyle w:val="Heading1"/>
        <w:spacing w:before="240" w:after="120"/>
        <w:rPr>
          <w:b/>
          <w:bCs/>
          <w:color w:val="1F3864"/>
          <w:sz w:val="26"/>
          <w:szCs w:val="26"/>
        </w:rPr>
      </w:pPr>
    </w:p>
    <w:p w14:paraId="4F56BD89" w14:textId="54B2F246" w:rsidR="00790A7E" w:rsidRDefault="00000000">
      <w:pPr>
        <w:pStyle w:val="Heading1"/>
        <w:spacing w:before="240" w:after="120"/>
      </w:pPr>
      <w:r>
        <w:rPr>
          <w:b/>
          <w:bCs/>
          <w:color w:val="1F3864"/>
          <w:sz w:val="26"/>
          <w:szCs w:val="26"/>
        </w:rPr>
        <w:lastRenderedPageBreak/>
        <w:t>3. How This Project's Analysis Fits In</w:t>
      </w:r>
    </w:p>
    <w:p w14:paraId="4DB20091" w14:textId="77777777" w:rsidR="00790A7E" w:rsidRDefault="00000000">
      <w:pPr>
        <w:spacing w:after="160" w:line="264" w:lineRule="auto"/>
        <w:jc w:val="both"/>
      </w:pPr>
      <w:r>
        <w:rPr>
          <w:sz w:val="22"/>
          <w:szCs w:val="22"/>
        </w:rPr>
        <w:t>The accompanying analysis tests these broader patterns against a real, issuance-level dataset of 60 SEBI-registered green bond records (33 unique issuances after removing double-counted maturity tranches), spanning 2017 to 2026. Several findings align closely with the regulatory and industry research above, and add more specific, issuance-level detail:</w:t>
      </w:r>
    </w:p>
    <w:p w14:paraId="40CCA5AC" w14:textId="77777777" w:rsidR="00790A7E" w:rsidRDefault="00000000">
      <w:pPr>
        <w:pStyle w:val="ListParagraph"/>
        <w:numPr>
          <w:ilvl w:val="0"/>
          <w:numId w:val="1"/>
        </w:numPr>
        <w:spacing w:after="120" w:line="264" w:lineRule="auto"/>
      </w:pPr>
      <w:r>
        <w:rPr>
          <w:sz w:val="22"/>
          <w:szCs w:val="22"/>
        </w:rPr>
        <w:t>Total volume raised across the dataset is Rs 21,578.59 Cr, but the top 5 issuers alone account for 66.3% of that volume -- consistent with the industry-wide pattern of growth concentrated among a small number of large issuers rather than broad-based participation.</w:t>
      </w:r>
    </w:p>
    <w:p w14:paraId="05FCA003" w14:textId="77777777" w:rsidR="00790A7E" w:rsidRDefault="00000000">
      <w:pPr>
        <w:pStyle w:val="ListParagraph"/>
        <w:numPr>
          <w:ilvl w:val="0"/>
          <w:numId w:val="1"/>
        </w:numPr>
        <w:spacing w:after="120" w:line="264" w:lineRule="auto"/>
      </w:pPr>
      <w:r>
        <w:rPr>
          <w:sz w:val="22"/>
          <w:szCs w:val="22"/>
        </w:rPr>
        <w:t>Issuance volume accelerated sharply in 2025-2026, but a large share of that spike is attributable to a single Rs 10,000 Cr issuance by one bank -- a granular, issuance-level confirmation of the concentration risk that aggregate industry statistics only hint at.</w:t>
      </w:r>
    </w:p>
    <w:p w14:paraId="4793557A" w14:textId="77777777" w:rsidR="00790A7E" w:rsidRDefault="00000000">
      <w:pPr>
        <w:pStyle w:val="ListParagraph"/>
        <w:numPr>
          <w:ilvl w:val="0"/>
          <w:numId w:val="1"/>
        </w:numPr>
        <w:spacing w:after="120" w:line="264" w:lineRule="auto"/>
      </w:pPr>
      <w:r>
        <w:rPr>
          <w:sz w:val="22"/>
          <w:szCs w:val="22"/>
        </w:rPr>
        <w:t>Average coupon rates tracked India's prevailing interest-rate cycle (dipping during the low-rate environment of 2021-2022) more closely than any green-bond-specific factor, suggesting that -- consistent with the mixed international "</w:t>
      </w:r>
      <w:proofErr w:type="spellStart"/>
      <w:r>
        <w:rPr>
          <w:sz w:val="22"/>
          <w:szCs w:val="22"/>
        </w:rPr>
        <w:t>greenium</w:t>
      </w:r>
      <w:proofErr w:type="spellEnd"/>
      <w:r>
        <w:rPr>
          <w:sz w:val="22"/>
          <w:szCs w:val="22"/>
        </w:rPr>
        <w:t>" literature -- environmental labelling has not been the dominant driver of pricing in this market.</w:t>
      </w:r>
    </w:p>
    <w:p w14:paraId="7A43009C" w14:textId="77777777" w:rsidR="00790A7E" w:rsidRDefault="00000000">
      <w:pPr>
        <w:pStyle w:val="ListParagraph"/>
        <w:numPr>
          <w:ilvl w:val="0"/>
          <w:numId w:val="1"/>
        </w:numPr>
        <w:spacing w:after="120" w:line="264" w:lineRule="auto"/>
      </w:pPr>
      <w:r>
        <w:rPr>
          <w:sz w:val="22"/>
          <w:szCs w:val="22"/>
        </w:rPr>
        <w:t>The average gap between issuance and stock-exchange listing fell from roughly 16 days in 2019 to just 1-3 days by 2024-2026 -- a concrete, quantifiable signal that the market's processing efficiency has improved, plausibly coinciding with SEBI's tightened 2023 disclosure requirements.</w:t>
      </w:r>
    </w:p>
    <w:p w14:paraId="777B51F6" w14:textId="77777777" w:rsidR="00790A7E" w:rsidRDefault="00000000">
      <w:pPr>
        <w:pStyle w:val="Heading1"/>
        <w:spacing w:before="240" w:after="120"/>
      </w:pPr>
      <w:r>
        <w:rPr>
          <w:b/>
          <w:bCs/>
          <w:color w:val="1F3864"/>
          <w:sz w:val="26"/>
          <w:szCs w:val="26"/>
        </w:rPr>
        <w:t>4. Conclusion</w:t>
      </w:r>
    </w:p>
    <w:p w14:paraId="51043CC8" w14:textId="77777777" w:rsidR="00790A7E" w:rsidRDefault="00000000">
      <w:pPr>
        <w:spacing w:after="160" w:line="264" w:lineRule="auto"/>
        <w:jc w:val="both"/>
      </w:pPr>
      <w:r>
        <w:rPr>
          <w:sz w:val="22"/>
          <w:szCs w:val="22"/>
        </w:rPr>
        <w:t>Regulatory and industry research consistently shows that India's green bond market has matured substantially since 2017, particularly following the 2023 SEBI amendments and the 2022-2023 sovereign green bond launch. The data analysis in this project supports that conclusion while adding issuance-level nuance: this market is not scaling up uniformly across a broad and growing issuer base, but rather growing in total volume while remaining concentrated among a small number of large issuers and large individual deals. For policymakers and investors, this suggests that continued diversification of the issuer base -- not just continued volume growth -- is the more meaningful indicator of this market's long-term health.</w:t>
      </w:r>
    </w:p>
    <w:p w14:paraId="2A9CAC95" w14:textId="77777777" w:rsidR="00790A7E" w:rsidRDefault="00000000">
      <w:pPr>
        <w:pStyle w:val="Heading1"/>
        <w:spacing w:before="240" w:after="120"/>
      </w:pPr>
      <w:r>
        <w:rPr>
          <w:b/>
          <w:bCs/>
          <w:color w:val="1F3864"/>
          <w:sz w:val="26"/>
          <w:szCs w:val="26"/>
        </w:rPr>
        <w:t>References</w:t>
      </w:r>
    </w:p>
    <w:p w14:paraId="5795A77F" w14:textId="77777777" w:rsidR="00790A7E" w:rsidRDefault="00000000">
      <w:pPr>
        <w:spacing w:after="140"/>
      </w:pPr>
      <w:r>
        <w:t>1. Climate Bonds Initiative, "Climate Bonds calls for $5 trillion green bond issuance per year by 2025," 2022.</w:t>
      </w:r>
    </w:p>
    <w:p w14:paraId="23478509" w14:textId="77777777" w:rsidR="00790A7E" w:rsidRDefault="00000000">
      <w:pPr>
        <w:spacing w:after="140"/>
      </w:pPr>
      <w:r>
        <w:t>2. LSEG, "Green debt market passes $3 trillion milestone," London Stock Exchange Group Insights, 2025.</w:t>
      </w:r>
    </w:p>
    <w:p w14:paraId="09C77234" w14:textId="77777777" w:rsidR="00790A7E" w:rsidRDefault="00000000">
      <w:pPr>
        <w:spacing w:after="140"/>
      </w:pPr>
      <w:r>
        <w:t>3. Securities and Exchange Board of India, Framework for green debt securities under the SEBI (Issue and Listing of Non-Convertible Securities) Regulations, 2017 and 2023.</w:t>
      </w:r>
    </w:p>
    <w:p w14:paraId="4374F6C1" w14:textId="77777777" w:rsidR="00790A7E" w:rsidRDefault="00000000">
      <w:pPr>
        <w:spacing w:after="140"/>
      </w:pPr>
      <w:r>
        <w:t>4. IEEFA, "Indian capital market regulator's updated green debt guidelines," Institute for Energy Economics and Financial Analysis, 2024.</w:t>
      </w:r>
    </w:p>
    <w:p w14:paraId="792B16FD" w14:textId="77777777" w:rsidR="00790A7E" w:rsidRDefault="00000000">
      <w:pPr>
        <w:spacing w:after="140"/>
      </w:pPr>
      <w:r>
        <w:t>5. Reed Smith LLP, "India raises $2bn in first Sovereign Green Bond issuances," 2023.</w:t>
      </w:r>
    </w:p>
    <w:p w14:paraId="051DCFB1" w14:textId="77777777" w:rsidR="00790A7E" w:rsidRDefault="00000000">
      <w:pPr>
        <w:spacing w:after="140"/>
      </w:pPr>
      <w:r>
        <w:t>6. Vinod Kothari Consultants, "SEBI revises framework for green debt securities," 2023.</w:t>
      </w:r>
    </w:p>
    <w:p w14:paraId="63B55C71" w14:textId="77777777" w:rsidR="00790A7E" w:rsidRDefault="00000000">
      <w:pPr>
        <w:spacing w:after="140"/>
      </w:pPr>
      <w:r>
        <w:t xml:space="preserve">7. Project dataset: SEBI_Green_Bonds_ESG_Dataset.csv (60 records, 33 unique issuances) and accompanying analysis notebook, </w:t>
      </w:r>
      <w:proofErr w:type="spellStart"/>
      <w:r>
        <w:t>green_bond_</w:t>
      </w:r>
      <w:proofErr w:type="gramStart"/>
      <w:r>
        <w:t>analysis.ipynb</w:t>
      </w:r>
      <w:proofErr w:type="spellEnd"/>
      <w:proofErr w:type="gramEnd"/>
      <w:r>
        <w:t>.</w:t>
      </w:r>
    </w:p>
    <w:sectPr w:rsidR="00790A7E">
      <w:pgSz w:w="12240" w:h="15840"/>
      <w:pgMar w:top="1080" w:right="1350" w:bottom="108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E4DC3"/>
    <w:multiLevelType w:val="hybridMultilevel"/>
    <w:tmpl w:val="D35E3EBA"/>
    <w:lvl w:ilvl="0" w:tplc="DDD6F350">
      <w:start w:val="1"/>
      <w:numFmt w:val="bullet"/>
      <w:lvlText w:val="●"/>
      <w:lvlJc w:val="left"/>
      <w:pPr>
        <w:ind w:left="720" w:hanging="360"/>
      </w:pPr>
    </w:lvl>
    <w:lvl w:ilvl="1" w:tplc="F27AC55E">
      <w:start w:val="1"/>
      <w:numFmt w:val="bullet"/>
      <w:lvlText w:val="○"/>
      <w:lvlJc w:val="left"/>
      <w:pPr>
        <w:ind w:left="1440" w:hanging="360"/>
      </w:pPr>
    </w:lvl>
    <w:lvl w:ilvl="2" w:tplc="4C0E2136">
      <w:start w:val="1"/>
      <w:numFmt w:val="bullet"/>
      <w:lvlText w:val="■"/>
      <w:lvlJc w:val="left"/>
      <w:pPr>
        <w:ind w:left="2160" w:hanging="360"/>
      </w:pPr>
    </w:lvl>
    <w:lvl w:ilvl="3" w:tplc="8C62FB78">
      <w:start w:val="1"/>
      <w:numFmt w:val="bullet"/>
      <w:lvlText w:val="●"/>
      <w:lvlJc w:val="left"/>
      <w:pPr>
        <w:ind w:left="2880" w:hanging="360"/>
      </w:pPr>
    </w:lvl>
    <w:lvl w:ilvl="4" w:tplc="C62AB7EA">
      <w:start w:val="1"/>
      <w:numFmt w:val="bullet"/>
      <w:lvlText w:val="○"/>
      <w:lvlJc w:val="left"/>
      <w:pPr>
        <w:ind w:left="3600" w:hanging="360"/>
      </w:pPr>
    </w:lvl>
    <w:lvl w:ilvl="5" w:tplc="3578BB84">
      <w:start w:val="1"/>
      <w:numFmt w:val="bullet"/>
      <w:lvlText w:val="■"/>
      <w:lvlJc w:val="left"/>
      <w:pPr>
        <w:ind w:left="4320" w:hanging="360"/>
      </w:pPr>
    </w:lvl>
    <w:lvl w:ilvl="6" w:tplc="2AA669A8">
      <w:start w:val="1"/>
      <w:numFmt w:val="bullet"/>
      <w:lvlText w:val="●"/>
      <w:lvlJc w:val="left"/>
      <w:pPr>
        <w:ind w:left="5040" w:hanging="360"/>
      </w:pPr>
    </w:lvl>
    <w:lvl w:ilvl="7" w:tplc="DCB82520">
      <w:start w:val="1"/>
      <w:numFmt w:val="bullet"/>
      <w:lvlText w:val="●"/>
      <w:lvlJc w:val="left"/>
      <w:pPr>
        <w:ind w:left="5760" w:hanging="360"/>
      </w:pPr>
    </w:lvl>
    <w:lvl w:ilvl="8" w:tplc="C81A4044">
      <w:start w:val="1"/>
      <w:numFmt w:val="bullet"/>
      <w:lvlText w:val="●"/>
      <w:lvlJc w:val="left"/>
      <w:pPr>
        <w:ind w:left="6480" w:hanging="360"/>
      </w:pPr>
    </w:lvl>
  </w:abstractNum>
  <w:num w:numId="1" w16cid:durableId="2134981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A7E"/>
    <w:rsid w:val="00184149"/>
    <w:rsid w:val="00503B03"/>
    <w:rsid w:val="00790A7E"/>
    <w:rsid w:val="009F4579"/>
    <w:rsid w:val="00C55081"/>
    <w:rsid w:val="00E02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B603"/>
  <w15:docId w15:val="{B0EF8B38-9D5E-4AE3-B570-86DEBC56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988</Words>
  <Characters>5632</Characters>
  <Application>Microsoft Office Word</Application>
  <DocSecurity>0</DocSecurity>
  <Lines>46</Lines>
  <Paragraphs>13</Paragraphs>
  <ScaleCrop>false</ScaleCrop>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Siddhant Selkar</cp:lastModifiedBy>
  <cp:revision>10</cp:revision>
  <dcterms:created xsi:type="dcterms:W3CDTF">2026-09-25T05:34:00Z</dcterms:created>
  <dcterms:modified xsi:type="dcterms:W3CDTF">2026-09-25T05:46:00Z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385f4459-5173-4d4a-8653-ebd13d41f51a</vt:lpwstr>
  </property>
</Properties>
</file>