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43CC5" w14:textId="3E9131B6" w:rsidR="00D95887" w:rsidRDefault="00D95887">
      <w:pPr>
        <w:spacing w:after="80"/>
        <w:jc w:val="center"/>
        <w:rPr>
          <w:b/>
          <w:bCs/>
          <w:sz w:val="30"/>
          <w:szCs w:val="30"/>
        </w:rPr>
      </w:pPr>
      <w:r w:rsidRPr="00D95887">
        <w:rPr>
          <w:b/>
          <w:bCs/>
          <w:sz w:val="30"/>
          <w:szCs w:val="30"/>
        </w:rPr>
        <w:t>Green Bonds</w:t>
      </w:r>
      <w:r>
        <w:rPr>
          <w:b/>
          <w:bCs/>
          <w:sz w:val="30"/>
          <w:szCs w:val="30"/>
        </w:rPr>
        <w:t xml:space="preserve"> </w:t>
      </w:r>
      <w:r w:rsidRPr="00D95887">
        <w:rPr>
          <w:b/>
          <w:bCs/>
          <w:sz w:val="30"/>
          <w:szCs w:val="30"/>
        </w:rPr>
        <w:t>Investment Trend Analysis</w:t>
      </w:r>
    </w:p>
    <w:p w14:paraId="7440E3E0" w14:textId="4F236F5E" w:rsidR="00164CC0" w:rsidRDefault="00000000">
      <w:pPr>
        <w:spacing w:after="80"/>
        <w:jc w:val="center"/>
      </w:pPr>
      <w:r>
        <w:rPr>
          <w:i/>
          <w:iCs/>
          <w:sz w:val="22"/>
          <w:szCs w:val="22"/>
        </w:rPr>
        <w:t>Research Paper 2 of 2 — Technology-Related Research</w:t>
      </w:r>
    </w:p>
    <w:p w14:paraId="7872FD56" w14:textId="77777777" w:rsidR="00164CC0" w:rsidRDefault="00000000">
      <w:pPr>
        <w:spacing w:after="80"/>
        <w:jc w:val="center"/>
      </w:pPr>
      <w:r>
        <w:t>Project: India Green Bond Trend Analysis</w:t>
      </w:r>
    </w:p>
    <w:p w14:paraId="6E6DBAE9" w14:textId="77777777" w:rsidR="00164CC0" w:rsidRDefault="00000000">
      <w:pPr>
        <w:spacing w:after="300"/>
        <w:jc w:val="center"/>
      </w:pPr>
      <w:r>
        <w:rPr>
          <w:i/>
          <w:iCs/>
        </w:rPr>
        <w:t xml:space="preserve">Author: [Your </w:t>
      </w:r>
      <w:proofErr w:type="gramStart"/>
      <w:r>
        <w:rPr>
          <w:i/>
          <w:iCs/>
        </w:rPr>
        <w:t xml:space="preserve">Name]   </w:t>
      </w:r>
      <w:proofErr w:type="gramEnd"/>
      <w:r>
        <w:rPr>
          <w:i/>
          <w:iCs/>
        </w:rPr>
        <w:t xml:space="preserve"> |    Date: [Submission Date]</w:t>
      </w:r>
    </w:p>
    <w:p w14:paraId="02A8616D" w14:textId="77777777" w:rsidR="00164CC0" w:rsidRDefault="00000000">
      <w:pPr>
        <w:pStyle w:val="Heading1"/>
        <w:spacing w:before="240" w:after="120"/>
      </w:pPr>
      <w:r>
        <w:rPr>
          <w:b/>
          <w:bCs/>
          <w:color w:val="1F3864"/>
          <w:sz w:val="26"/>
          <w:szCs w:val="26"/>
        </w:rPr>
        <w:t>Abstract</w:t>
      </w:r>
    </w:p>
    <w:p w14:paraId="10AE51EA" w14:textId="079A8DFE" w:rsidR="00164CC0" w:rsidRDefault="00000000">
      <w:pPr>
        <w:spacing w:after="160" w:line="264" w:lineRule="auto"/>
        <w:jc w:val="both"/>
      </w:pPr>
      <w:r>
        <w:rPr>
          <w:sz w:val="22"/>
          <w:szCs w:val="22"/>
        </w:rPr>
        <w:t>This paper explains the core technologies used to build the accompanying "India Green Bond Trend Analysis" project</w:t>
      </w:r>
      <w:r w:rsidR="0022204B">
        <w:rPr>
          <w:sz w:val="22"/>
          <w:szCs w:val="22"/>
        </w:rPr>
        <w:t xml:space="preserve">, SQL (via MySQL), Python (Pandas, NumPy, Matplotlib, Seaborn, and </w:t>
      </w:r>
      <w:proofErr w:type="spellStart"/>
      <w:r w:rsidR="0022204B">
        <w:rPr>
          <w:sz w:val="22"/>
          <w:szCs w:val="22"/>
        </w:rPr>
        <w:t>ReportLab</w:t>
      </w:r>
      <w:proofErr w:type="spellEnd"/>
      <w:r w:rsidR="0022204B">
        <w:rPr>
          <w:sz w:val="22"/>
          <w:szCs w:val="22"/>
        </w:rPr>
        <w:t>), and Power BI,</w:t>
      </w:r>
      <w:r>
        <w:rPr>
          <w:sz w:val="22"/>
          <w:szCs w:val="22"/>
        </w:rPr>
        <w:t xml:space="preserve"> and why each was chosen for its specific stage of the analysis. Rather than describing these tools abstractly, this paper explains them through their actual role in this project's data pipeline: storage, cleaning and analysis, automated reporting, and business-facing visualization.</w:t>
      </w:r>
    </w:p>
    <w:p w14:paraId="0A894426" w14:textId="77777777" w:rsidR="00164CC0" w:rsidRDefault="00000000">
      <w:pPr>
        <w:pStyle w:val="Heading1"/>
        <w:spacing w:before="240" w:after="120"/>
      </w:pPr>
      <w:r>
        <w:rPr>
          <w:b/>
          <w:bCs/>
          <w:color w:val="1F3864"/>
          <w:sz w:val="26"/>
          <w:szCs w:val="26"/>
        </w:rPr>
        <w:t>1. Introduction</w:t>
      </w:r>
    </w:p>
    <w:p w14:paraId="4F080A85" w14:textId="6BD2C5BB" w:rsidR="00164CC0" w:rsidRDefault="00000000">
      <w:pPr>
        <w:spacing w:after="160" w:line="264" w:lineRule="auto"/>
        <w:jc w:val="both"/>
      </w:pPr>
      <w:r>
        <w:rPr>
          <w:sz w:val="22"/>
          <w:szCs w:val="22"/>
        </w:rPr>
        <w:t xml:space="preserve">A typical data analytics workflow rarely uses </w:t>
      </w:r>
      <w:r w:rsidR="0022204B">
        <w:rPr>
          <w:sz w:val="22"/>
          <w:szCs w:val="22"/>
        </w:rPr>
        <w:t>a single tool end to end</w:t>
      </w:r>
      <w:r>
        <w:rPr>
          <w:sz w:val="22"/>
          <w:szCs w:val="22"/>
        </w:rPr>
        <w:t>. Different tools are strong at different stages: storing and querying structured data, performing detailed cleaning and statistical analysis, automating repeatable reports, and finally presenting results to non-technical stakeholders. This project follows that same structure, using MySQL for storage, Python for analysis and automated reporting, and Power BI for the final dashboard.</w:t>
      </w:r>
    </w:p>
    <w:p w14:paraId="02886A4F" w14:textId="77777777" w:rsidR="00164CC0" w:rsidRDefault="00000000">
      <w:pPr>
        <w:pStyle w:val="Heading1"/>
        <w:spacing w:before="240" w:after="120"/>
      </w:pPr>
      <w:r>
        <w:rPr>
          <w:b/>
          <w:bCs/>
          <w:color w:val="1F3864"/>
          <w:sz w:val="26"/>
          <w:szCs w:val="26"/>
        </w:rPr>
        <w:t>2. SQL and MySQL — Data Storage and Extraction</w:t>
      </w:r>
    </w:p>
    <w:p w14:paraId="466311F2" w14:textId="161A4D68" w:rsidR="00164CC0" w:rsidRDefault="00000000">
      <w:pPr>
        <w:spacing w:after="160" w:line="264" w:lineRule="auto"/>
        <w:jc w:val="both"/>
      </w:pPr>
      <w:r>
        <w:rPr>
          <w:sz w:val="22"/>
          <w:szCs w:val="22"/>
        </w:rPr>
        <w:t xml:space="preserve">SQL (Structured Query Language) is the standard language for creating, storing, and querying data held in a relational database. MySQL, one of the most widely used open-source relational database systems, was chosen here because it is free, </w:t>
      </w:r>
      <w:r w:rsidR="0022204B">
        <w:rPr>
          <w:sz w:val="22"/>
          <w:szCs w:val="22"/>
        </w:rPr>
        <w:t>well-documented</w:t>
      </w:r>
      <w:r>
        <w:rPr>
          <w:sz w:val="22"/>
          <w:szCs w:val="22"/>
        </w:rPr>
        <w:t>, and the database most commonly taught and used in entry-level Data Analyst roles. In this project, MySQL stores the cleaned bond data in one main table (</w:t>
      </w:r>
      <w:proofErr w:type="spellStart"/>
      <w:r>
        <w:rPr>
          <w:sz w:val="22"/>
          <w:szCs w:val="22"/>
        </w:rPr>
        <w:t>green_bond_trend_analysis</w:t>
      </w:r>
      <w:proofErr w:type="spellEnd"/>
      <w:r>
        <w:rPr>
          <w:sz w:val="22"/>
          <w:szCs w:val="22"/>
        </w:rPr>
        <w:t>), plus a small reference table (</w:t>
      </w:r>
      <w:proofErr w:type="spellStart"/>
      <w:r>
        <w:rPr>
          <w:sz w:val="22"/>
          <w:szCs w:val="22"/>
        </w:rPr>
        <w:t>issuer_type_reference</w:t>
      </w:r>
      <w:proofErr w:type="spellEnd"/>
      <w:r>
        <w:rPr>
          <w:sz w:val="22"/>
          <w:szCs w:val="22"/>
        </w:rPr>
        <w:t xml:space="preserve">) that maps each issuer type to a risk-profile label, enabling join-based queries. The queries in </w:t>
      </w:r>
      <w:proofErr w:type="spellStart"/>
      <w:r>
        <w:rPr>
          <w:sz w:val="22"/>
          <w:szCs w:val="22"/>
        </w:rPr>
        <w:t>Green_bond_SQL_queries.sql</w:t>
      </w:r>
      <w:proofErr w:type="spellEnd"/>
      <w:r>
        <w:rPr>
          <w:sz w:val="22"/>
          <w:szCs w:val="22"/>
        </w:rPr>
        <w:t xml:space="preserve"> handle table creation, followed by extraction and aggregation tasks such as computing total volume raised per year, joining the two tables together, grouping issuances by issuer type, and identifying serial (multi-tranche) bonds using a self-referencing GROUP BY. SQL suits this stage well because relational databases enforce structure and </w:t>
      </w:r>
      <w:r w:rsidR="0022204B">
        <w:rPr>
          <w:sz w:val="22"/>
          <w:szCs w:val="22"/>
        </w:rPr>
        <w:t>efficiently aggregate large tables,</w:t>
      </w:r>
      <w:r>
        <w:rPr>
          <w:sz w:val="22"/>
          <w:szCs w:val="22"/>
        </w:rPr>
        <w:t xml:space="preserve"> exactly what is needed before deeper analysis begins.</w:t>
      </w:r>
    </w:p>
    <w:p w14:paraId="61B44210" w14:textId="77777777" w:rsidR="00164CC0" w:rsidRDefault="00000000">
      <w:pPr>
        <w:pStyle w:val="Heading1"/>
        <w:spacing w:before="240" w:after="120"/>
      </w:pPr>
      <w:r>
        <w:rPr>
          <w:b/>
          <w:bCs/>
          <w:color w:val="1F3864"/>
          <w:sz w:val="26"/>
          <w:szCs w:val="26"/>
        </w:rPr>
        <w:t xml:space="preserve">3. Python (Pandas, NumPy, and </w:t>
      </w:r>
      <w:proofErr w:type="spellStart"/>
      <w:r>
        <w:rPr>
          <w:b/>
          <w:bCs/>
          <w:color w:val="1F3864"/>
          <w:sz w:val="26"/>
          <w:szCs w:val="26"/>
        </w:rPr>
        <w:t>ReportLab</w:t>
      </w:r>
      <w:proofErr w:type="spellEnd"/>
      <w:r>
        <w:rPr>
          <w:b/>
          <w:bCs/>
          <w:color w:val="1F3864"/>
          <w:sz w:val="26"/>
          <w:szCs w:val="26"/>
        </w:rPr>
        <w:t>) — Cleaning, Analysis, and Automated Reporting</w:t>
      </w:r>
    </w:p>
    <w:p w14:paraId="5B5745CA" w14:textId="77777777" w:rsidR="00164CC0" w:rsidRDefault="00000000">
      <w:pPr>
        <w:spacing w:after="160" w:line="264" w:lineRule="auto"/>
        <w:jc w:val="both"/>
        <w:rPr>
          <w:sz w:val="22"/>
          <w:szCs w:val="22"/>
        </w:rPr>
      </w:pPr>
      <w:r>
        <w:rPr>
          <w:sz w:val="22"/>
          <w:szCs w:val="22"/>
        </w:rPr>
        <w:t xml:space="preserve">Python was chosen for the cleaning, analysis, and reporting stage because of its widely used data libraries: Pandas, NumPy, and </w:t>
      </w:r>
      <w:proofErr w:type="spellStart"/>
      <w:r>
        <w:rPr>
          <w:sz w:val="22"/>
          <w:szCs w:val="22"/>
        </w:rPr>
        <w:t>ReportLab</w:t>
      </w:r>
      <w:proofErr w:type="spellEnd"/>
      <w:r>
        <w:rPr>
          <w:sz w:val="22"/>
          <w:szCs w:val="22"/>
        </w:rPr>
        <w:t xml:space="preserve">. Pandas provides the </w:t>
      </w:r>
      <w:proofErr w:type="spellStart"/>
      <w:r>
        <w:rPr>
          <w:sz w:val="22"/>
          <w:szCs w:val="22"/>
        </w:rPr>
        <w:t>DataFrame</w:t>
      </w:r>
      <w:proofErr w:type="spellEnd"/>
      <w:r>
        <w:rPr>
          <w:sz w:val="22"/>
          <w:szCs w:val="22"/>
        </w:rPr>
        <w:t>, a table-like structure that makes it straightforward to inspect, filter, group, and reshape data using a small set of readable commands -- for example</w:t>
      </w:r>
      <w:proofErr w:type="gramStart"/>
      <w:r>
        <w:rPr>
          <w:sz w:val="22"/>
          <w:szCs w:val="22"/>
        </w:rPr>
        <w:t>, .</w:t>
      </w:r>
      <w:proofErr w:type="spellStart"/>
      <w:r>
        <w:rPr>
          <w:sz w:val="22"/>
          <w:szCs w:val="22"/>
        </w:rPr>
        <w:t>isnull</w:t>
      </w:r>
      <w:proofErr w:type="spellEnd"/>
      <w:proofErr w:type="gramEnd"/>
      <w:r>
        <w:rPr>
          <w:sz w:val="22"/>
          <w:szCs w:val="22"/>
        </w:rPr>
        <w:t>(</w:t>
      </w:r>
      <w:proofErr w:type="gramStart"/>
      <w:r>
        <w:rPr>
          <w:sz w:val="22"/>
          <w:szCs w:val="22"/>
        </w:rPr>
        <w:t>).sum</w:t>
      </w:r>
      <w:proofErr w:type="gramEnd"/>
      <w:r>
        <w:rPr>
          <w:sz w:val="22"/>
          <w:szCs w:val="22"/>
        </w:rPr>
        <w:t xml:space="preserve">() to count missing values, </w:t>
      </w:r>
      <w:proofErr w:type="gramStart"/>
      <w:r>
        <w:rPr>
          <w:sz w:val="22"/>
          <w:szCs w:val="22"/>
        </w:rPr>
        <w:t>or .</w:t>
      </w:r>
      <w:proofErr w:type="spellStart"/>
      <w:r>
        <w:rPr>
          <w:sz w:val="22"/>
          <w:szCs w:val="22"/>
        </w:rPr>
        <w:t>groupby</w:t>
      </w:r>
      <w:proofErr w:type="spellEnd"/>
      <w:proofErr w:type="gramEnd"/>
      <w:r>
        <w:rPr>
          <w:sz w:val="22"/>
          <w:szCs w:val="22"/>
        </w:rPr>
        <w:t>() to compare issuer types. NumPy underlies many of Pandas' numerical operations and is used here indirectly for calculations such as averages and medians. In this project, Python (via the db_connection.py script) retrieves the data that MySQL stores, and the Jupyter Notebook (</w:t>
      </w:r>
      <w:proofErr w:type="spellStart"/>
      <w:r>
        <w:rPr>
          <w:sz w:val="22"/>
          <w:szCs w:val="22"/>
        </w:rPr>
        <w:t>green_bond_</w:t>
      </w:r>
      <w:proofErr w:type="gramStart"/>
      <w:r>
        <w:rPr>
          <w:sz w:val="22"/>
          <w:szCs w:val="22"/>
        </w:rPr>
        <w:t>analysis.ipynb</w:t>
      </w:r>
      <w:proofErr w:type="spellEnd"/>
      <w:proofErr w:type="gramEnd"/>
      <w:r>
        <w:rPr>
          <w:sz w:val="22"/>
          <w:szCs w:val="22"/>
        </w:rPr>
        <w:t xml:space="preserve">) then handles all cleaning -- converting MySQL's text-based 'True'/'False' columns back into real </w:t>
      </w:r>
      <w:proofErr w:type="spellStart"/>
      <w:r>
        <w:rPr>
          <w:sz w:val="22"/>
          <w:szCs w:val="22"/>
        </w:rPr>
        <w:t>booleans</w:t>
      </w:r>
      <w:proofErr w:type="spellEnd"/>
      <w:r>
        <w:rPr>
          <w:sz w:val="22"/>
          <w:szCs w:val="22"/>
        </w:rPr>
        <w:t xml:space="preserve">, parsing date columns, and filling missing coupon values with the column median -- before moving into exploratory analysis. </w:t>
      </w:r>
      <w:proofErr w:type="spellStart"/>
      <w:r>
        <w:rPr>
          <w:sz w:val="22"/>
          <w:szCs w:val="22"/>
        </w:rPr>
        <w:t>ReportLab</w:t>
      </w:r>
      <w:proofErr w:type="spellEnd"/>
      <w:r>
        <w:rPr>
          <w:sz w:val="22"/>
          <w:szCs w:val="22"/>
        </w:rPr>
        <w:t>, a separate PDF-generation library, was used to automatically turn the notebook's computed business insights into a formatted PDF report (</w:t>
      </w:r>
      <w:proofErr w:type="spellStart"/>
      <w:r>
        <w:rPr>
          <w:sz w:val="22"/>
          <w:szCs w:val="22"/>
        </w:rPr>
        <w:t>create_</w:t>
      </w:r>
      <w:proofErr w:type="gramStart"/>
      <w:r>
        <w:rPr>
          <w:sz w:val="22"/>
          <w:szCs w:val="22"/>
        </w:rPr>
        <w:t>report</w:t>
      </w:r>
      <w:proofErr w:type="spellEnd"/>
      <w:r>
        <w:rPr>
          <w:sz w:val="22"/>
          <w:szCs w:val="22"/>
        </w:rPr>
        <w:t>(</w:t>
      </w:r>
      <w:proofErr w:type="gramEnd"/>
      <w:r>
        <w:rPr>
          <w:sz w:val="22"/>
          <w:szCs w:val="22"/>
        </w:rPr>
        <w:t>)), so the report can be regenerated on demand without any manual formatting step.</w:t>
      </w:r>
    </w:p>
    <w:p w14:paraId="143976C2" w14:textId="77777777" w:rsidR="0022204B" w:rsidRDefault="0022204B">
      <w:pPr>
        <w:spacing w:after="160" w:line="264" w:lineRule="auto"/>
        <w:jc w:val="both"/>
      </w:pPr>
    </w:p>
    <w:p w14:paraId="3E1D3864" w14:textId="77777777" w:rsidR="00164CC0" w:rsidRDefault="00000000">
      <w:pPr>
        <w:pStyle w:val="Heading1"/>
        <w:spacing w:before="240" w:after="120"/>
      </w:pPr>
      <w:r>
        <w:rPr>
          <w:b/>
          <w:bCs/>
          <w:color w:val="1F3864"/>
          <w:sz w:val="26"/>
          <w:szCs w:val="26"/>
        </w:rPr>
        <w:lastRenderedPageBreak/>
        <w:t>4. Matplotlib and Seaborn — Data Visualization</w:t>
      </w:r>
    </w:p>
    <w:p w14:paraId="02091E49" w14:textId="77777777" w:rsidR="00164CC0" w:rsidRDefault="00000000">
      <w:pPr>
        <w:spacing w:after="160" w:line="264" w:lineRule="auto"/>
        <w:jc w:val="both"/>
      </w:pPr>
      <w:r>
        <w:rPr>
          <w:sz w:val="22"/>
          <w:szCs w:val="22"/>
        </w:rPr>
        <w:t>Matplotlib is Python's foundational plotting library, and Seaborn is built on top of it to make statistical charts -- bar charts, count plots, heatmaps -- easier to produce with less code. Both were used in the notebook to visually compare issuance patterns across issuer types and years, such as volume raised, coupon category distribution, and the correlation between tenure and coupon rate, because a chart communicates a pattern like "issuance volume is concentrated among a handful of large issuers" far faster than a table of numbers can.</w:t>
      </w:r>
    </w:p>
    <w:p w14:paraId="32DB94B6" w14:textId="77777777" w:rsidR="00164CC0" w:rsidRDefault="00000000">
      <w:pPr>
        <w:pStyle w:val="Heading1"/>
        <w:spacing w:before="240" w:after="120"/>
      </w:pPr>
      <w:r>
        <w:rPr>
          <w:b/>
          <w:bCs/>
          <w:color w:val="1F3864"/>
          <w:sz w:val="26"/>
          <w:szCs w:val="26"/>
        </w:rPr>
        <w:t>5. Power BI and DAX — Dashboarding and Business Reporting</w:t>
      </w:r>
    </w:p>
    <w:p w14:paraId="2CE4DAD2" w14:textId="77777777" w:rsidR="00164CC0" w:rsidRDefault="00000000">
      <w:pPr>
        <w:spacing w:after="160" w:line="264" w:lineRule="auto"/>
        <w:jc w:val="both"/>
      </w:pPr>
      <w:r>
        <w:rPr>
          <w:sz w:val="22"/>
          <w:szCs w:val="22"/>
        </w:rPr>
        <w:t xml:space="preserve">Power BI is a business intelligence tool built for creating interactive dashboards that non-technical users -- analysts, reviewers, stakeholders -- can explore themselves, without needing to read code. It was chosen as the final stage of this project because a Jupyter Notebook, while excellent for deep analysis, is not a practical tool for daily business reporting. Power BI uses DAX (Data Analysis Expressions), a formula language for creating calculated measures -- such as "Total Amount Raised" or "Average Coupon Rate" -- that automatically recalculate as a user clicks filters or slicers. In this project, Power BI imports the already-cleaned data exported from Python and pairs DAX measures (each filtered to </w:t>
      </w:r>
      <w:proofErr w:type="spellStart"/>
      <w:r>
        <w:rPr>
          <w:sz w:val="22"/>
          <w:szCs w:val="22"/>
        </w:rPr>
        <w:t>Unique_Issuance_Row</w:t>
      </w:r>
      <w:proofErr w:type="spellEnd"/>
      <w:r>
        <w:rPr>
          <w:sz w:val="22"/>
          <w:szCs w:val="22"/>
        </w:rPr>
        <w:t xml:space="preserve"> = TRUE, to avoid double-counting serial-tranche bonds) with issuer-type and ESG-category visuals, so anyone viewing the dashboard can instantly filter the whole report down to a specific issuer type or year.</w:t>
      </w:r>
    </w:p>
    <w:p w14:paraId="62AB6674" w14:textId="77777777" w:rsidR="00164CC0" w:rsidRDefault="00000000">
      <w:pPr>
        <w:pStyle w:val="Heading1"/>
        <w:spacing w:before="240" w:after="120"/>
      </w:pPr>
      <w:r>
        <w:rPr>
          <w:b/>
          <w:bCs/>
          <w:color w:val="1F3864"/>
          <w:sz w:val="26"/>
          <w:szCs w:val="26"/>
        </w:rPr>
        <w:t>6. How These Tools Worked Together</w:t>
      </w:r>
    </w:p>
    <w:p w14:paraId="64866ADF" w14:textId="77777777" w:rsidR="00164CC0" w:rsidRDefault="00000000">
      <w:pPr>
        <w:spacing w:after="160" w:line="264" w:lineRule="auto"/>
        <w:jc w:val="both"/>
      </w:pPr>
      <w:r>
        <w:rPr>
          <w:sz w:val="22"/>
          <w:szCs w:val="22"/>
        </w:rPr>
        <w:t>Across this project, each tool was used for the stage it is best suited to: MySQL for structured storage and first-pass querying, Python for thorough cleaning, exploratory analysis, and automated reporting, and Power BI for interactive, business-facing presentation. This mirrors how these tools are typically combined in real Data Analyst roles, where raw data rarely arrives clean, deep analysis is usually done in a notebook environment, recurring reports are automated rather than rebuilt by hand, and final results are almost always handed off through a dashboard rather than raw code.</w:t>
      </w:r>
    </w:p>
    <w:p w14:paraId="13BEDB16" w14:textId="77777777" w:rsidR="00164CC0" w:rsidRDefault="00000000">
      <w:pPr>
        <w:pStyle w:val="Heading1"/>
        <w:spacing w:before="240" w:after="120"/>
      </w:pPr>
      <w:r>
        <w:rPr>
          <w:b/>
          <w:bCs/>
          <w:color w:val="1F3864"/>
          <w:sz w:val="26"/>
          <w:szCs w:val="26"/>
        </w:rPr>
        <w:t>7. Conclusion</w:t>
      </w:r>
    </w:p>
    <w:p w14:paraId="1BE787F4" w14:textId="77777777" w:rsidR="00164CC0" w:rsidRDefault="00000000">
      <w:pPr>
        <w:spacing w:after="160" w:line="264" w:lineRule="auto"/>
        <w:jc w:val="both"/>
      </w:pPr>
      <w:r>
        <w:rPr>
          <w:sz w:val="22"/>
          <w:szCs w:val="22"/>
        </w:rPr>
        <w:t>No single tool in this stack could have completed this project alone: SQL cannot easily produce charts, automated PDF reports, or interactive dashboards; Python is not the tool business stakeholders typically use day-to-day; and Power BI cannot perform the detailed, row-by-row cleaning and feature engineering this dataset required. Using all three together, in the order presented here, reflects standard industry practice for a real-world Data Analyst workflow.</w:t>
      </w:r>
    </w:p>
    <w:sectPr w:rsidR="00164CC0">
      <w:pgSz w:w="12240" w:h="15840"/>
      <w:pgMar w:top="1080" w:right="1350" w:bottom="108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3C3365"/>
    <w:multiLevelType w:val="hybridMultilevel"/>
    <w:tmpl w:val="B6CC5C6E"/>
    <w:lvl w:ilvl="0" w:tplc="78A036A6">
      <w:start w:val="1"/>
      <w:numFmt w:val="bullet"/>
      <w:lvlText w:val="●"/>
      <w:lvlJc w:val="left"/>
      <w:pPr>
        <w:ind w:left="720" w:hanging="360"/>
      </w:pPr>
    </w:lvl>
    <w:lvl w:ilvl="1" w:tplc="0BF2B672">
      <w:start w:val="1"/>
      <w:numFmt w:val="bullet"/>
      <w:lvlText w:val="○"/>
      <w:lvlJc w:val="left"/>
      <w:pPr>
        <w:ind w:left="1440" w:hanging="360"/>
      </w:pPr>
    </w:lvl>
    <w:lvl w:ilvl="2" w:tplc="B2A63A7E">
      <w:start w:val="1"/>
      <w:numFmt w:val="bullet"/>
      <w:lvlText w:val="■"/>
      <w:lvlJc w:val="left"/>
      <w:pPr>
        <w:ind w:left="2160" w:hanging="360"/>
      </w:pPr>
    </w:lvl>
    <w:lvl w:ilvl="3" w:tplc="7C4A7FBA">
      <w:start w:val="1"/>
      <w:numFmt w:val="bullet"/>
      <w:lvlText w:val="●"/>
      <w:lvlJc w:val="left"/>
      <w:pPr>
        <w:ind w:left="2880" w:hanging="360"/>
      </w:pPr>
    </w:lvl>
    <w:lvl w:ilvl="4" w:tplc="960247FA">
      <w:start w:val="1"/>
      <w:numFmt w:val="bullet"/>
      <w:lvlText w:val="○"/>
      <w:lvlJc w:val="left"/>
      <w:pPr>
        <w:ind w:left="3600" w:hanging="360"/>
      </w:pPr>
    </w:lvl>
    <w:lvl w:ilvl="5" w:tplc="8EA6ECA0">
      <w:start w:val="1"/>
      <w:numFmt w:val="bullet"/>
      <w:lvlText w:val="■"/>
      <w:lvlJc w:val="left"/>
      <w:pPr>
        <w:ind w:left="4320" w:hanging="360"/>
      </w:pPr>
    </w:lvl>
    <w:lvl w:ilvl="6" w:tplc="724EA03A">
      <w:start w:val="1"/>
      <w:numFmt w:val="bullet"/>
      <w:lvlText w:val="●"/>
      <w:lvlJc w:val="left"/>
      <w:pPr>
        <w:ind w:left="5040" w:hanging="360"/>
      </w:pPr>
    </w:lvl>
    <w:lvl w:ilvl="7" w:tplc="7D0CC174">
      <w:start w:val="1"/>
      <w:numFmt w:val="bullet"/>
      <w:lvlText w:val="●"/>
      <w:lvlJc w:val="left"/>
      <w:pPr>
        <w:ind w:left="5760" w:hanging="360"/>
      </w:pPr>
    </w:lvl>
    <w:lvl w:ilvl="8" w:tplc="141028BE">
      <w:start w:val="1"/>
      <w:numFmt w:val="bullet"/>
      <w:lvlText w:val="●"/>
      <w:lvlJc w:val="left"/>
      <w:pPr>
        <w:ind w:left="6480" w:hanging="360"/>
      </w:pPr>
    </w:lvl>
  </w:abstractNum>
  <w:num w:numId="1" w16cid:durableId="493570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CC0"/>
    <w:rsid w:val="00164CC0"/>
    <w:rsid w:val="0022204B"/>
    <w:rsid w:val="00C55081"/>
    <w:rsid w:val="00D95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C2486"/>
  <w15:docId w15:val="{B0EF8B38-9D5E-4AE3-B570-86DEBC56B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923</Words>
  <Characters>5266</Characters>
  <Application>Microsoft Office Word</Application>
  <DocSecurity>0</DocSecurity>
  <Lines>43</Lines>
  <Paragraphs>12</Paragraphs>
  <ScaleCrop>false</ScaleCrop>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Siddhant Selkar</cp:lastModifiedBy>
  <cp:revision>3</cp:revision>
  <dcterms:created xsi:type="dcterms:W3CDTF">2026-09-25T05:34:00Z</dcterms:created>
  <dcterms:modified xsi:type="dcterms:W3CDTF">2026-09-25T05:45:00Z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1fe8e718-a241-4710-89f6-d4ab5c3f6af1</vt:lpwstr>
  </property>
</Properties>
</file>