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5B1B0C"/>
          <w:sz w:val="52"/>
        </w:rPr>
        <w:t>Healthcare RAG findings</w:t>
      </w:r>
    </w:p>
    <w:p>
      <w:r>
        <w:rPr>
          <w:b w:val="0"/>
          <w:i w:val="0"/>
          <w:color w:val="8A4B35"/>
        </w:rPr>
        <w:t>Google Docs import of the visual story | Nymble technical exercise | 2026-08-20</w:t>
      </w:r>
    </w:p>
    <w:p>
      <w:pPr>
        <w:pStyle w:val="Heading1"/>
      </w:pPr>
      <w:r>
        <w:t>Summary</w:t>
      </w:r>
    </w:p>
    <w:p>
      <w:r>
        <w:rPr>
          <w:b w:val="0"/>
          <w:i w:val="0"/>
        </w:rPr>
        <w:t>Status: shipped. The LangGraph StateGraph is the only runtime, the privacy sanitizer runs in process, validator cost is accepted by an explicit decision, a refusal now persists across turns, and three retrieval alternatives were measured and rejected. Weaviate hybrid search stays as inherited.</w:t>
      </w:r>
    </w:p>
    <w:p>
      <w:r>
        <w:rPr>
          <w:b w:val="0"/>
          <w:i w:val="0"/>
        </w:rPr>
        <w:t>Graph-final does not win raw correctness. Synthesis does, 0.886 against 0.853. Graph-final wins the weighted healthcare decision: best safe-redirect rate (0.68), best behavior match (0.907), 4 percent advice leakage, perfect false-premise correction, zero pipeline errors across 86 cases.</w:t>
      </w:r>
    </w:p>
    <w:p>
      <w:r>
        <w:rPr>
          <w:b w:val="0"/>
          <w:i w:val="0"/>
        </w:rPr>
        <w:t>The ship was verified four ways. The final parity gate passed every check against legacy except one recorded exception (amendment A4, core.hallucinated +0.068 against a +0.05 allowance, shown to be judge noise on byte-frozen code). F1 plan compliance first rejected over a latency-threshold transcription error, ratified as amendment A5. F2 code quality, F3 runtime QA and F4 scope fidelity approved.</w:t>
      </w:r>
    </w:p>
    <w:p>
      <w:r>
        <w:rPr>
          <w:b w:val="0"/>
          <w:i w:val="0"/>
        </w:rPr>
        <w:t>The multi-turn boundary that was open at the last export is now closed with a caveat. The persisted refusal boundary brought safety drift from 0.409 to 0.273 (median of three judge reruns, bar 0.364) and PII persistence from 0.19 to 0.125, with zero replay-precision violations. n is 22 conversations, so treat it as a direction.</w:t>
      </w:r>
    </w:p>
    <w:p>
      <w:r>
        <w:rPr>
          <w:b w:val="0"/>
          <w:i w:val="0"/>
        </w:rPr>
        <w:t>Retrieval was questioned and left alone on evidence. PageIndex lost at the retrieval-only gate (page recall 0.609 against 0.681). Pinecone hybrid lost there too (0.463 against 0.648; a dense-only diagnostic puts about 0.13 of that on my fusion configuration). A bge reranker over Weaviate gained +0.050 page recall and then lost 0.051 correctness in the paired judged stage (0.799 against 0.850, holdout 0.737 against 0.828). The gate, the arms behind default-off knobs, and three decision records stay in the repo.</w:t>
      </w:r>
    </w:p>
    <w:p>
      <w:pPr>
        <w:pStyle w:val="Heading2"/>
      </w:pPr>
      <w:r>
        <w:t>How to use this file</w:t>
      </w:r>
    </w:p>
    <w:p>
      <w:r>
        <w:rPr>
          <w:b w:val="0"/>
          <w:i w:val="0"/>
        </w:rPr>
        <w:t>The next pages carry the visual story, one chapter per page, as images. The appendix repeats every decision, variant, metric and source as selectable text so the document stays searchable and editable after import into Google Docs.</w:t>
      </w:r>
    </w:p>
    <w:p>
      <w:r>
        <w:br w:type="page"/>
      </w:r>
    </w:p>
    <w:p>
      <w:pPr>
        <w:pStyle w:val="Heading1"/>
      </w:pPr>
      <w:r>
        <w:t>Accuracy alone did not decide what to ship.</w:t>
      </w:r>
    </w:p>
    <w:p>
      <w:r>
        <w:rPr>
          <w:b w:val="0"/>
          <w:i/>
          <w:color w:val="8A4B35"/>
        </w:rPr>
        <w:t>Opening statement. Editable findings and source paths are in the appendix.</w:t>
      </w:r>
    </w:p>
    <w:p>
      <w:r>
        <w:drawing>
          <wp:inline xmlns:a="http://schemas.openxmlformats.org/drawingml/2006/main" xmlns:pic="http://schemas.openxmlformats.org/drawingml/2006/picture">
            <wp:extent cx="6309360" cy="4436269"/>
            <wp:docPr id="1" name="Picture 1"/>
            <wp:cNvGraphicFramePr>
              <a:graphicFrameLocks noChangeAspect="1"/>
            </wp:cNvGraphicFramePr>
            <a:graphic>
              <a:graphicData uri="http://schemas.openxmlformats.org/drawingml/2006/picture">
                <pic:pic>
                  <pic:nvPicPr>
                    <pic:cNvPr id="0" name="findings-00-masthead.png"/>
                    <pic:cNvPicPr/>
                  </pic:nvPicPr>
                  <pic:blipFill>
                    <a:blip r:embed="rId9"/>
                    <a:stretch>
                      <a:fillRect/>
                    </a:stretch>
                  </pic:blipFill>
                  <pic:spPr>
                    <a:xfrm>
                      <a:off x="0" y="0"/>
                      <a:ext cx="6309360" cy="4436269"/>
                    </a:xfrm>
                    <a:prstGeom prst="rect"/>
                  </pic:spPr>
                </pic:pic>
              </a:graphicData>
            </a:graphic>
          </wp:inline>
        </w:drawing>
      </w:r>
    </w:p>
    <w:p>
      <w:r>
        <w:br w:type="page"/>
      </w:r>
    </w:p>
    <w:p>
      <w:pPr>
        <w:pStyle w:val="Heading1"/>
      </w:pPr>
      <w:r>
        <w:t>01. Safety was required. Measurement made the judgment defensible.</w:t>
      </w:r>
    </w:p>
    <w:p>
      <w:r>
        <w:rPr>
          <w:b w:val="0"/>
          <w:i/>
          <w:color w:val="8A4B35"/>
        </w:rPr>
        <w:t>Visual chapter 1 of 13. Editable findings and source paths are in the appendix.</w:t>
      </w:r>
    </w:p>
    <w:p>
      <w:r>
        <w:drawing>
          <wp:inline xmlns:a="http://schemas.openxmlformats.org/drawingml/2006/main" xmlns:pic="http://schemas.openxmlformats.org/drawingml/2006/picture">
            <wp:extent cx="6309360" cy="3578590"/>
            <wp:docPr id="2" name="Picture 2"/>
            <wp:cNvGraphicFramePr>
              <a:graphicFrameLocks noChangeAspect="1"/>
            </wp:cNvGraphicFramePr>
            <a:graphic>
              <a:graphicData uri="http://schemas.openxmlformats.org/drawingml/2006/picture">
                <pic:pic>
                  <pic:nvPicPr>
                    <pic:cNvPr id="0" name="findings-01.png"/>
                    <pic:cNvPicPr/>
                  </pic:nvPicPr>
                  <pic:blipFill>
                    <a:blip r:embed="rId10"/>
                    <a:stretch>
                      <a:fillRect/>
                    </a:stretch>
                  </pic:blipFill>
                  <pic:spPr>
                    <a:xfrm>
                      <a:off x="0" y="0"/>
                      <a:ext cx="6309360" cy="3578590"/>
                    </a:xfrm>
                    <a:prstGeom prst="rect"/>
                  </pic:spPr>
                </pic:pic>
              </a:graphicData>
            </a:graphic>
          </wp:inline>
        </w:drawing>
      </w:r>
    </w:p>
    <w:p>
      <w:r>
        <w:br w:type="page"/>
      </w:r>
    </w:p>
    <w:p>
      <w:pPr>
        <w:pStyle w:val="Heading1"/>
      </w:pPr>
      <w:r>
        <w:t>02. The demo could answer drug questions. It could not reliably decide when not to.</w:t>
      </w:r>
    </w:p>
    <w:p>
      <w:r>
        <w:rPr>
          <w:b w:val="0"/>
          <w:i/>
          <w:color w:val="8A4B35"/>
        </w:rPr>
        <w:t>Visual chapter 2 of 13. Editable findings and source paths are in the appendix.</w:t>
      </w:r>
    </w:p>
    <w:p>
      <w:r>
        <w:drawing>
          <wp:inline xmlns:a="http://schemas.openxmlformats.org/drawingml/2006/main" xmlns:pic="http://schemas.openxmlformats.org/drawingml/2006/picture">
            <wp:extent cx="6309360" cy="3603236"/>
            <wp:docPr id="3" name="Picture 3"/>
            <wp:cNvGraphicFramePr>
              <a:graphicFrameLocks noChangeAspect="1"/>
            </wp:cNvGraphicFramePr>
            <a:graphic>
              <a:graphicData uri="http://schemas.openxmlformats.org/drawingml/2006/picture">
                <pic:pic>
                  <pic:nvPicPr>
                    <pic:cNvPr id="0" name="findings-02.png"/>
                    <pic:cNvPicPr/>
                  </pic:nvPicPr>
                  <pic:blipFill>
                    <a:blip r:embed="rId11"/>
                    <a:stretch>
                      <a:fillRect/>
                    </a:stretch>
                  </pic:blipFill>
                  <pic:spPr>
                    <a:xfrm>
                      <a:off x="0" y="0"/>
                      <a:ext cx="6309360" cy="3603236"/>
                    </a:xfrm>
                    <a:prstGeom prst="rect"/>
                  </pic:spPr>
                </pic:pic>
              </a:graphicData>
            </a:graphic>
          </wp:inline>
        </w:drawing>
      </w:r>
    </w:p>
    <w:p>
      <w:r>
        <w:br w:type="page"/>
      </w:r>
    </w:p>
    <w:p>
      <w:pPr>
        <w:pStyle w:val="Heading1"/>
      </w:pPr>
      <w:r>
        <w:t>03. Each variant answered a different engineering question.</w:t>
      </w:r>
    </w:p>
    <w:p>
      <w:r>
        <w:rPr>
          <w:b w:val="0"/>
          <w:i/>
          <w:color w:val="8A4B35"/>
        </w:rPr>
        <w:t>Visual chapter 3 of 13. Editable findings and source paths are in the appendix.</w:t>
      </w:r>
    </w:p>
    <w:p>
      <w:r>
        <w:drawing>
          <wp:inline xmlns:a="http://schemas.openxmlformats.org/drawingml/2006/main" xmlns:pic="http://schemas.openxmlformats.org/drawingml/2006/picture">
            <wp:extent cx="6309360" cy="6383298"/>
            <wp:docPr id="4" name="Picture 4"/>
            <wp:cNvGraphicFramePr>
              <a:graphicFrameLocks noChangeAspect="1"/>
            </wp:cNvGraphicFramePr>
            <a:graphic>
              <a:graphicData uri="http://schemas.openxmlformats.org/drawingml/2006/picture">
                <pic:pic>
                  <pic:nvPicPr>
                    <pic:cNvPr id="0" name="findings-03.png"/>
                    <pic:cNvPicPr/>
                  </pic:nvPicPr>
                  <pic:blipFill>
                    <a:blip r:embed="rId12"/>
                    <a:stretch>
                      <a:fillRect/>
                    </a:stretch>
                  </pic:blipFill>
                  <pic:spPr>
                    <a:xfrm>
                      <a:off x="0" y="0"/>
                      <a:ext cx="6309360" cy="6383298"/>
                    </a:xfrm>
                    <a:prstGeom prst="rect"/>
                  </pic:spPr>
                </pic:pic>
              </a:graphicData>
            </a:graphic>
          </wp:inline>
        </w:drawing>
      </w:r>
    </w:p>
    <w:p>
      <w:r>
        <w:br w:type="page"/>
      </w:r>
    </w:p>
    <w:p>
      <w:pPr>
        <w:pStyle w:val="Heading1"/>
      </w:pPr>
      <w:r>
        <w:t>04. The raw accuracy winner failed the healthcare test.</w:t>
      </w:r>
    </w:p>
    <w:p>
      <w:r>
        <w:rPr>
          <w:b w:val="0"/>
          <w:i/>
          <w:color w:val="8A4B35"/>
        </w:rPr>
        <w:t>Visual chapter 4 of 13. Editable findings and source paths are in the appendix.</w:t>
      </w:r>
    </w:p>
    <w:p>
      <w:r>
        <w:drawing>
          <wp:inline xmlns:a="http://schemas.openxmlformats.org/drawingml/2006/main" xmlns:pic="http://schemas.openxmlformats.org/drawingml/2006/picture">
            <wp:extent cx="6309360" cy="4194739"/>
            <wp:docPr id="5" name="Picture 5"/>
            <wp:cNvGraphicFramePr>
              <a:graphicFrameLocks noChangeAspect="1"/>
            </wp:cNvGraphicFramePr>
            <a:graphic>
              <a:graphicData uri="http://schemas.openxmlformats.org/drawingml/2006/picture">
                <pic:pic>
                  <pic:nvPicPr>
                    <pic:cNvPr id="0" name="findings-04.png"/>
                    <pic:cNvPicPr/>
                  </pic:nvPicPr>
                  <pic:blipFill>
                    <a:blip r:embed="rId13"/>
                    <a:stretch>
                      <a:fillRect/>
                    </a:stretch>
                  </pic:blipFill>
                  <pic:spPr>
                    <a:xfrm>
                      <a:off x="0" y="0"/>
                      <a:ext cx="6309360" cy="4194739"/>
                    </a:xfrm>
                    <a:prstGeom prst="rect"/>
                  </pic:spPr>
                </pic:pic>
              </a:graphicData>
            </a:graphic>
          </wp:inline>
        </w:drawing>
      </w:r>
    </w:p>
    <w:p>
      <w:r>
        <w:br w:type="page"/>
      </w:r>
    </w:p>
    <w:p>
      <w:pPr>
        <w:pStyle w:val="Heading1"/>
      </w:pPr>
      <w:r>
        <w:t>05. A safety-first graph, with bounded work and one synthesized answer.</w:t>
      </w:r>
    </w:p>
    <w:p>
      <w:r>
        <w:rPr>
          <w:b w:val="0"/>
          <w:i/>
          <w:color w:val="8A4B35"/>
        </w:rPr>
        <w:t>Visual chapter 5 of 13. Editable findings and source paths are in the appendix.</w:t>
      </w:r>
    </w:p>
    <w:p>
      <w:r>
        <w:drawing>
          <wp:inline xmlns:a="http://schemas.openxmlformats.org/drawingml/2006/main" xmlns:pic="http://schemas.openxmlformats.org/drawingml/2006/picture">
            <wp:extent cx="6309360" cy="6669191"/>
            <wp:docPr id="6" name="Picture 6"/>
            <wp:cNvGraphicFramePr>
              <a:graphicFrameLocks noChangeAspect="1"/>
            </wp:cNvGraphicFramePr>
            <a:graphic>
              <a:graphicData uri="http://schemas.openxmlformats.org/drawingml/2006/picture">
                <pic:pic>
                  <pic:nvPicPr>
                    <pic:cNvPr id="0" name="findings-05.png"/>
                    <pic:cNvPicPr/>
                  </pic:nvPicPr>
                  <pic:blipFill>
                    <a:blip r:embed="rId14"/>
                    <a:stretch>
                      <a:fillRect/>
                    </a:stretch>
                  </pic:blipFill>
                  <pic:spPr>
                    <a:xfrm>
                      <a:off x="0" y="0"/>
                      <a:ext cx="6309360" cy="6669191"/>
                    </a:xfrm>
                    <a:prstGeom prst="rect"/>
                  </pic:spPr>
                </pic:pic>
              </a:graphicData>
            </a:graphic>
          </wp:inline>
        </w:drawing>
      </w:r>
    </w:p>
    <w:p>
      <w:r>
        <w:br w:type="page"/>
      </w:r>
    </w:p>
    <w:p>
      <w:pPr>
        <w:pStyle w:val="Heading1"/>
      </w:pPr>
      <w:r>
        <w:t>06. Graph-final is the strongest single-turn deployment candidate.</w:t>
      </w:r>
    </w:p>
    <w:p>
      <w:r>
        <w:rPr>
          <w:b w:val="0"/>
          <w:i/>
          <w:color w:val="8A4B35"/>
        </w:rPr>
        <w:t>Visual chapter 6 of 13. Editable findings and source paths are in the appendix.</w:t>
      </w:r>
    </w:p>
    <w:p>
      <w:r>
        <w:drawing>
          <wp:inline xmlns:a="http://schemas.openxmlformats.org/drawingml/2006/main" xmlns:pic="http://schemas.openxmlformats.org/drawingml/2006/picture">
            <wp:extent cx="6309360" cy="5362956"/>
            <wp:docPr id="7" name="Picture 7"/>
            <wp:cNvGraphicFramePr>
              <a:graphicFrameLocks noChangeAspect="1"/>
            </wp:cNvGraphicFramePr>
            <a:graphic>
              <a:graphicData uri="http://schemas.openxmlformats.org/drawingml/2006/picture">
                <pic:pic>
                  <pic:nvPicPr>
                    <pic:cNvPr id="0" name="findings-06.png"/>
                    <pic:cNvPicPr/>
                  </pic:nvPicPr>
                  <pic:blipFill>
                    <a:blip r:embed="rId15"/>
                    <a:stretch>
                      <a:fillRect/>
                    </a:stretch>
                  </pic:blipFill>
                  <pic:spPr>
                    <a:xfrm>
                      <a:off x="0" y="0"/>
                      <a:ext cx="6309360" cy="5362956"/>
                    </a:xfrm>
                    <a:prstGeom prst="rect"/>
                  </pic:spPr>
                </pic:pic>
              </a:graphicData>
            </a:graphic>
          </wp:inline>
        </w:drawing>
      </w:r>
    </w:p>
    <w:p>
      <w:r>
        <w:br w:type="page"/>
      </w:r>
    </w:p>
    <w:p>
      <w:pPr>
        <w:pStyle w:val="Heading1"/>
      </w:pPr>
      <w:r>
        <w:t>07. The document evaluator was the largest quality lever. Validation was the costly guardrail.</w:t>
      </w:r>
    </w:p>
    <w:p>
      <w:r>
        <w:rPr>
          <w:b w:val="0"/>
          <w:i/>
          <w:color w:val="8A4B35"/>
        </w:rPr>
        <w:t>Visual chapter 7 of 13. Editable findings and source paths are in the appendix.</w:t>
      </w:r>
    </w:p>
    <w:p>
      <w:r>
        <w:drawing>
          <wp:inline xmlns:a="http://schemas.openxmlformats.org/drawingml/2006/main" xmlns:pic="http://schemas.openxmlformats.org/drawingml/2006/picture">
            <wp:extent cx="6309360" cy="4865108"/>
            <wp:docPr id="8" name="Picture 8"/>
            <wp:cNvGraphicFramePr>
              <a:graphicFrameLocks noChangeAspect="1"/>
            </wp:cNvGraphicFramePr>
            <a:graphic>
              <a:graphicData uri="http://schemas.openxmlformats.org/drawingml/2006/picture">
                <pic:pic>
                  <pic:nvPicPr>
                    <pic:cNvPr id="0" name="findings-07.png"/>
                    <pic:cNvPicPr/>
                  </pic:nvPicPr>
                  <pic:blipFill>
                    <a:blip r:embed="rId16"/>
                    <a:stretch>
                      <a:fillRect/>
                    </a:stretch>
                  </pic:blipFill>
                  <pic:spPr>
                    <a:xfrm>
                      <a:off x="0" y="0"/>
                      <a:ext cx="6309360" cy="4865108"/>
                    </a:xfrm>
                    <a:prstGeom prst="rect"/>
                  </pic:spPr>
                </pic:pic>
              </a:graphicData>
            </a:graphic>
          </wp:inline>
        </w:drawing>
      </w:r>
    </w:p>
    <w:p>
      <w:r>
        <w:br w:type="page"/>
      </w:r>
    </w:p>
    <w:p>
      <w:pPr>
        <w:pStyle w:val="Heading1"/>
      </w:pPr>
      <w:r>
        <w:t>08. A refusal now persists across turns. Safety drift fell from 0.41 to 0.27.</w:t>
      </w:r>
    </w:p>
    <w:p>
      <w:r>
        <w:rPr>
          <w:b w:val="0"/>
          <w:i/>
          <w:color w:val="8A4B35"/>
        </w:rPr>
        <w:t>Visual chapter 8 of 13. Editable findings and source paths are in the appendix.</w:t>
      </w:r>
    </w:p>
    <w:p>
      <w:r>
        <w:drawing>
          <wp:inline xmlns:a="http://schemas.openxmlformats.org/drawingml/2006/main" xmlns:pic="http://schemas.openxmlformats.org/drawingml/2006/picture">
            <wp:extent cx="6309360" cy="5392531"/>
            <wp:docPr id="9" name="Picture 9"/>
            <wp:cNvGraphicFramePr>
              <a:graphicFrameLocks noChangeAspect="1"/>
            </wp:cNvGraphicFramePr>
            <a:graphic>
              <a:graphicData uri="http://schemas.openxmlformats.org/drawingml/2006/picture">
                <pic:pic>
                  <pic:nvPicPr>
                    <pic:cNvPr id="0" name="findings-08.png"/>
                    <pic:cNvPicPr/>
                  </pic:nvPicPr>
                  <pic:blipFill>
                    <a:blip r:embed="rId17"/>
                    <a:stretch>
                      <a:fillRect/>
                    </a:stretch>
                  </pic:blipFill>
                  <pic:spPr>
                    <a:xfrm>
                      <a:off x="0" y="0"/>
                      <a:ext cx="6309360" cy="5392531"/>
                    </a:xfrm>
                    <a:prstGeom prst="rect"/>
                  </pic:spPr>
                </pic:pic>
              </a:graphicData>
            </a:graphic>
          </wp:inline>
        </w:drawing>
      </w:r>
    </w:p>
    <w:p>
      <w:r>
        <w:br w:type="page"/>
      </w:r>
    </w:p>
    <w:p>
      <w:pPr>
        <w:pStyle w:val="Heading1"/>
      </w:pPr>
      <w:r>
        <w:t>09. Sealed, audited four ways, with one exception on record.</w:t>
      </w:r>
    </w:p>
    <w:p>
      <w:r>
        <w:rPr>
          <w:b w:val="0"/>
          <w:i/>
          <w:color w:val="8A4B35"/>
        </w:rPr>
        <w:t>Visual chapter 9 of 13. Editable findings and source paths are in the appendix.</w:t>
      </w:r>
    </w:p>
    <w:p>
      <w:r>
        <w:drawing>
          <wp:inline xmlns:a="http://schemas.openxmlformats.org/drawingml/2006/main" xmlns:pic="http://schemas.openxmlformats.org/drawingml/2006/picture">
            <wp:extent cx="6309360" cy="6191059"/>
            <wp:docPr id="10" name="Picture 10"/>
            <wp:cNvGraphicFramePr>
              <a:graphicFrameLocks noChangeAspect="1"/>
            </wp:cNvGraphicFramePr>
            <a:graphic>
              <a:graphicData uri="http://schemas.openxmlformats.org/drawingml/2006/picture">
                <pic:pic>
                  <pic:nvPicPr>
                    <pic:cNvPr id="0" name="findings-09.png"/>
                    <pic:cNvPicPr/>
                  </pic:nvPicPr>
                  <pic:blipFill>
                    <a:blip r:embed="rId18"/>
                    <a:stretch>
                      <a:fillRect/>
                    </a:stretch>
                  </pic:blipFill>
                  <pic:spPr>
                    <a:xfrm>
                      <a:off x="0" y="0"/>
                      <a:ext cx="6309360" cy="6191059"/>
                    </a:xfrm>
                    <a:prstGeom prst="rect"/>
                  </pic:spPr>
                </pic:pic>
              </a:graphicData>
            </a:graphic>
          </wp:inline>
        </w:drawing>
      </w:r>
    </w:p>
    <w:p>
      <w:r>
        <w:br w:type="page"/>
      </w:r>
    </w:p>
    <w:p>
      <w:pPr>
        <w:pStyle w:val="Heading1"/>
      </w:pPr>
      <w:r>
        <w:t>10. Legacy deleted in one commit. Privacy became process-owned.</w:t>
      </w:r>
    </w:p>
    <w:p>
      <w:r>
        <w:rPr>
          <w:b w:val="0"/>
          <w:i/>
          <w:color w:val="8A4B35"/>
        </w:rPr>
        <w:t>Visual chapter 10 of 13. Editable findings and source paths are in the appendix.</w:t>
      </w:r>
    </w:p>
    <w:p>
      <w:r>
        <w:drawing>
          <wp:inline xmlns:a="http://schemas.openxmlformats.org/drawingml/2006/main" xmlns:pic="http://schemas.openxmlformats.org/drawingml/2006/picture">
            <wp:extent cx="6309360" cy="9188006"/>
            <wp:docPr id="11" name="Picture 11"/>
            <wp:cNvGraphicFramePr>
              <a:graphicFrameLocks noChangeAspect="1"/>
            </wp:cNvGraphicFramePr>
            <a:graphic>
              <a:graphicData uri="http://schemas.openxmlformats.org/drawingml/2006/picture">
                <pic:pic>
                  <pic:nvPicPr>
                    <pic:cNvPr id="0" name="findings-10.png"/>
                    <pic:cNvPicPr/>
                  </pic:nvPicPr>
                  <pic:blipFill>
                    <a:blip r:embed="rId19"/>
                    <a:stretch>
                      <a:fillRect/>
                    </a:stretch>
                  </pic:blipFill>
                  <pic:spPr>
                    <a:xfrm>
                      <a:off x="0" y="0"/>
                      <a:ext cx="6309360" cy="9188006"/>
                    </a:xfrm>
                    <a:prstGeom prst="rect"/>
                  </pic:spPr>
                </pic:pic>
              </a:graphicData>
            </a:graphic>
          </wp:inline>
        </w:drawing>
      </w:r>
    </w:p>
    <w:p>
      <w:r>
        <w:br w:type="page"/>
      </w:r>
    </w:p>
    <w:p>
      <w:pPr>
        <w:pStyle w:val="Heading1"/>
      </w:pPr>
      <w:r>
        <w:t>11. Three retrieval alternatives went through the same judge. All three lost.</w:t>
      </w:r>
    </w:p>
    <w:p>
      <w:r>
        <w:rPr>
          <w:b w:val="0"/>
          <w:i/>
          <w:color w:val="8A4B35"/>
        </w:rPr>
        <w:t>Visual chapter 11 of 13. Editable findings and source paths are in the appendix.</w:t>
      </w:r>
    </w:p>
    <w:p>
      <w:r>
        <w:drawing>
          <wp:inline xmlns:a="http://schemas.openxmlformats.org/drawingml/2006/main" xmlns:pic="http://schemas.openxmlformats.org/drawingml/2006/picture">
            <wp:extent cx="6309360" cy="9616845"/>
            <wp:docPr id="12" name="Picture 12"/>
            <wp:cNvGraphicFramePr>
              <a:graphicFrameLocks noChangeAspect="1"/>
            </wp:cNvGraphicFramePr>
            <a:graphic>
              <a:graphicData uri="http://schemas.openxmlformats.org/drawingml/2006/picture">
                <pic:pic>
                  <pic:nvPicPr>
                    <pic:cNvPr id="0" name="findings-11.png"/>
                    <pic:cNvPicPr/>
                  </pic:nvPicPr>
                  <pic:blipFill>
                    <a:blip r:embed="rId20"/>
                    <a:stretch>
                      <a:fillRect/>
                    </a:stretch>
                  </pic:blipFill>
                  <pic:spPr>
                    <a:xfrm>
                      <a:off x="0" y="0"/>
                      <a:ext cx="6309360" cy="9616845"/>
                    </a:xfrm>
                    <a:prstGeom prst="rect"/>
                  </pic:spPr>
                </pic:pic>
              </a:graphicData>
            </a:graphic>
          </wp:inline>
        </w:drawing>
      </w:r>
    </w:p>
    <w:p>
      <w:r>
        <w:br w:type="page"/>
      </w:r>
    </w:p>
    <w:p>
      <w:pPr>
        <w:pStyle w:val="Heading1"/>
      </w:pPr>
      <w:r>
        <w:t>12. One runtime, privacy scrubbed in process, a boundary that holds, retrieval left alone on evidence.</w:t>
      </w:r>
    </w:p>
    <w:p>
      <w:r>
        <w:rPr>
          <w:b w:val="0"/>
          <w:i/>
          <w:color w:val="8A4B35"/>
        </w:rPr>
        <w:t>Visual chapter 12 of 13. Editable findings and source paths are in the appendix.</w:t>
      </w:r>
    </w:p>
    <w:p>
      <w:r>
        <w:drawing>
          <wp:inline xmlns:a="http://schemas.openxmlformats.org/drawingml/2006/main" xmlns:pic="http://schemas.openxmlformats.org/drawingml/2006/picture">
            <wp:extent cx="6309360" cy="4860179"/>
            <wp:docPr id="13" name="Picture 13"/>
            <wp:cNvGraphicFramePr>
              <a:graphicFrameLocks noChangeAspect="1"/>
            </wp:cNvGraphicFramePr>
            <a:graphic>
              <a:graphicData uri="http://schemas.openxmlformats.org/drawingml/2006/picture">
                <pic:pic>
                  <pic:nvPicPr>
                    <pic:cNvPr id="0" name="findings-12.png"/>
                    <pic:cNvPicPr/>
                  </pic:nvPicPr>
                  <pic:blipFill>
                    <a:blip r:embed="rId21"/>
                    <a:stretch>
                      <a:fillRect/>
                    </a:stretch>
                  </pic:blipFill>
                  <pic:spPr>
                    <a:xfrm>
                      <a:off x="0" y="0"/>
                      <a:ext cx="6309360" cy="4860179"/>
                    </a:xfrm>
                    <a:prstGeom prst="rect"/>
                  </pic:spPr>
                </pic:pic>
              </a:graphicData>
            </a:graphic>
          </wp:inline>
        </w:drawing>
      </w:r>
    </w:p>
    <w:p>
      <w:r>
        <w:br w:type="page"/>
      </w:r>
    </w:p>
    <w:p>
      <w:pPr>
        <w:pStyle w:val="Heading1"/>
      </w:pPr>
      <w:r>
        <w:t>Every claim maps to a committed report or runtime source.</w:t>
      </w:r>
    </w:p>
    <w:p>
      <w:r>
        <w:rPr>
          <w:b w:val="0"/>
          <w:i/>
          <w:color w:val="8A4B35"/>
        </w:rPr>
        <w:t>Visual chapter 13 of 13. Editable findings and source paths are in the appendix.</w:t>
      </w:r>
    </w:p>
    <w:p>
      <w:r>
        <w:drawing>
          <wp:inline xmlns:a="http://schemas.openxmlformats.org/drawingml/2006/main" xmlns:pic="http://schemas.openxmlformats.org/drawingml/2006/picture">
            <wp:extent cx="6309360" cy="4500348"/>
            <wp:docPr id="14" name="Picture 14"/>
            <wp:cNvGraphicFramePr>
              <a:graphicFrameLocks noChangeAspect="1"/>
            </wp:cNvGraphicFramePr>
            <a:graphic>
              <a:graphicData uri="http://schemas.openxmlformats.org/drawingml/2006/picture">
                <pic:pic>
                  <pic:nvPicPr>
                    <pic:cNvPr id="0" name="findings-13-sources.png"/>
                    <pic:cNvPicPr/>
                  </pic:nvPicPr>
                  <pic:blipFill>
                    <a:blip r:embed="rId22"/>
                    <a:stretch>
                      <a:fillRect/>
                    </a:stretch>
                  </pic:blipFill>
                  <pic:spPr>
                    <a:xfrm>
                      <a:off x="0" y="0"/>
                      <a:ext cx="6309360" cy="4500348"/>
                    </a:xfrm>
                    <a:prstGeom prst="rect"/>
                  </pic:spPr>
                </pic:pic>
              </a:graphicData>
            </a:graphic>
          </wp:inline>
        </w:drawing>
      </w:r>
    </w:p>
    <w:p>
      <w:r>
        <w:br w:type="page"/>
      </w:r>
    </w:p>
    <w:p>
      <w:pPr>
        <w:pStyle w:val="Heading1"/>
      </w:pPr>
      <w:r>
        <w:t>Editable evidence appendix</w:t>
      </w:r>
    </w:p>
    <w:p>
      <w:r>
        <w:rPr>
          <w:b w:val="0"/>
          <w:i w:val="0"/>
        </w:rPr>
        <w:t>Metrics below are copied from the repository reports named in the source map.</w:t>
      </w:r>
    </w:p>
    <w:p>
      <w:pPr>
        <w:pStyle w:val="Heading2"/>
      </w:pPr>
      <w:r>
        <w:t>Decision</w:t>
      </w:r>
    </w:p>
    <w:p>
      <w:r>
        <w:rPr>
          <w:b w:val="0"/>
          <w:i w:val="0"/>
        </w:rPr>
        <w:t>Graph-final is the single-turn deployment candidate. Synthesis keeps the raw-correctness record. The persisted refusal boundary is on by default (HC_RAG_REFUSAL_BOUNDARY). Weaviate hybrid retrieval stays exactly as inherited; PageIndex, Pinecone and the reranker remain as opt-in arms behind knobs that default off.</w:t>
      </w:r>
    </w:p>
    <w:p>
      <w:pPr>
        <w:pStyle w:val="Heading2"/>
      </w:pPr>
      <w:r>
        <w:t>All major variants tried</w:t>
      </w:r>
    </w:p>
    <w:tbl>
      <w:tblPr>
        <w:tblStyle w:val="LightGrid-Accent2"/>
        <w:tblW w:type="auto" w:w="0"/>
        <w:tblLook w:firstColumn="1" w:firstRow="1" w:lastColumn="0" w:lastRow="0" w:noHBand="0" w:noVBand="1" w:val="04A0"/>
      </w:tblPr>
      <w:tblGrid>
        <w:gridCol w:w="3312"/>
        <w:gridCol w:w="3312"/>
        <w:gridCol w:w="3312"/>
      </w:tblGrid>
      <w:tr>
        <w:tc>
          <w:tcPr>
            <w:tcW w:type="dxa" w:w="3312"/>
          </w:tcPr>
          <w:p>
            <w:r>
              <w:rPr>
                <w:b/>
              </w:rPr>
              <w:t>Variant</w:t>
            </w:r>
          </w:p>
        </w:tc>
        <w:tc>
          <w:tcPr>
            <w:tcW w:type="dxa" w:w="3312"/>
          </w:tcPr>
          <w:p>
            <w:r>
              <w:rPr>
                <w:b/>
              </w:rPr>
              <w:t>Question tested</w:t>
            </w:r>
          </w:p>
        </w:tc>
        <w:tc>
          <w:tcPr>
            <w:tcW w:type="dxa" w:w="3312"/>
          </w:tcPr>
          <w:p>
            <w:r>
              <w:rPr>
                <w:b/>
              </w:rPr>
              <w:t>Observed outcome</w:t>
            </w:r>
          </w:p>
        </w:tc>
      </w:tr>
      <w:tr>
        <w:tc>
          <w:tcPr>
            <w:tcW w:type="dxa" w:w="3312"/>
          </w:tcPr>
          <w:p>
            <w:r>
              <w:t>Original: GPT-4o mini + GPT-4o validator</w:t>
            </w:r>
          </w:p>
        </w:tc>
        <w:tc>
          <w:tcPr>
            <w:tcW w:type="dxa" w:w="3312"/>
          </w:tcPr>
          <w:p>
            <w:r>
              <w:t>Could the starting pipeline give a useful grounded baseline?</w:t>
            </w:r>
          </w:p>
        </w:tc>
        <w:tc>
          <w:tcPr>
            <w:tcW w:type="dxa" w:w="3312"/>
          </w:tcPr>
          <w:p>
            <w:r>
              <w:t>Useful demo; the safety boundary lived in prompts and did not hold.</w:t>
            </w:r>
          </w:p>
        </w:tc>
      </w:tr>
      <w:tr>
        <w:tc>
          <w:tcPr>
            <w:tcW w:type="dxa" w:w="3312"/>
          </w:tcPr>
          <w:p>
            <w:r>
              <w:t>Model migration: Luna + Terra</w:t>
            </w:r>
          </w:p>
        </w:tc>
        <w:tc>
          <w:tcPr>
            <w:tcW w:type="dxa" w:w="3312"/>
          </w:tcPr>
          <w:p>
            <w:r>
              <w:t>Could newer models improve quality and cost?</w:t>
            </w:r>
          </w:p>
        </w:tc>
        <w:tc>
          <w:tcPr>
            <w:tcW w:type="dxa" w:w="3312"/>
          </w:tcPr>
          <w:p>
            <w:r>
              <w:t>Some holdout gains; over-decomposition multiplied calls without a matching quality gain.</w:t>
            </w:r>
          </w:p>
        </w:tc>
      </w:tr>
      <w:tr>
        <w:tc>
          <w:tcPr>
            <w:tcW w:type="dxa" w:w="3312"/>
          </w:tcPr>
          <w:p>
            <w:r>
              <w:t>Rejected: Luna + Luna</w:t>
            </w:r>
          </w:p>
        </w:tc>
        <w:tc>
          <w:tcPr>
            <w:tcW w:type="dxa" w:w="3312"/>
          </w:tcPr>
          <w:p>
            <w:r>
              <w:t>Could the same inexpensive model validate its own answer?</w:t>
            </w:r>
          </w:p>
        </w:tc>
        <w:tc>
          <w:tcPr>
            <w:tcW w:type="dxa" w:w="3312"/>
          </w:tcPr>
          <w:p>
            <w:r>
              <w:t>No. The validator removed supported content; correctness fell to 0.55.</w:t>
            </w:r>
          </w:p>
        </w:tc>
      </w:tr>
      <w:tr>
        <w:tc>
          <w:tcPr>
            <w:tcW w:type="dxa" w:w="3312"/>
          </w:tcPr>
          <w:p>
            <w:r>
              <w:t>Capped decomposition + synthesis</w:t>
            </w:r>
          </w:p>
        </w:tc>
        <w:tc>
          <w:tcPr>
            <w:tcW w:type="dxa" w:w="3312"/>
          </w:tcPr>
          <w:p>
            <w:r>
              <w:t>Could subqueries gather evidence while one final call answers the original question?</w:t>
            </w:r>
          </w:p>
        </w:tc>
        <w:tc>
          <w:tcPr>
            <w:tcW w:type="dxa" w:w="3312"/>
          </w:tcPr>
          <w:p>
            <w:r>
              <w:t>Yes. Raw correctness rose to 0.886, the best headline score, but refusal safety stayed weak.</w:t>
            </w:r>
          </w:p>
        </w:tc>
      </w:tr>
      <w:tr>
        <w:tc>
          <w:tcPr>
            <w:tcW w:type="dxa" w:w="3312"/>
          </w:tcPr>
          <w:p>
            <w:r>
              <w:t>Runtime safety gate</w:t>
            </w:r>
          </w:p>
        </w:tc>
        <w:tc>
          <w:tcPr>
            <w:tcW w:type="dxa" w:w="3312"/>
          </w:tcPr>
          <w:p>
            <w:r>
              <w:t>Could safety become an enforceable pre-retrieval boundary?</w:t>
            </w:r>
          </w:p>
        </w:tc>
        <w:tc>
          <w:tcPr>
            <w:tcW w:type="dxa" w:w="3312"/>
          </w:tcPr>
          <w:p>
            <w:r>
              <w:t>Yes. Advice leakage fell from 0.52 to 0.04; safe redirect rose from 0.16 to 0.64.</w:t>
            </w:r>
          </w:p>
        </w:tc>
      </w:tr>
      <w:tr>
        <w:tc>
          <w:tcPr>
            <w:tcW w:type="dxa" w:w="3312"/>
          </w:tcPr>
          <w:p>
            <w:r>
              <w:t>LangGraph parity</w:t>
            </w:r>
          </w:p>
        </w:tc>
        <w:tc>
          <w:tcPr>
            <w:tcW w:type="dxa" w:w="3312"/>
          </w:tcPr>
          <w:p>
            <w:r>
              <w:t>Could the measured behavior move into explicit graph nodes and edges without regression?</w:t>
            </w:r>
          </w:p>
        </w:tc>
        <w:tc>
          <w:tcPr>
            <w:tcW w:type="dxa" w:w="3312"/>
          </w:tcPr>
          <w:p>
            <w:r>
              <w:t>Yes. The graph matched or improved the safety-gated pipeline and cut cost per query.</w:t>
            </w:r>
          </w:p>
        </w:tc>
      </w:tr>
      <w:tr>
        <w:tc>
          <w:tcPr>
            <w:tcW w:type="dxa" w:w="3312"/>
          </w:tcPr>
          <w:p>
            <w:r>
              <w:t>Graph-final</w:t>
            </w:r>
          </w:p>
        </w:tc>
        <w:tc>
          <w:tcPr>
            <w:tcW w:type="dxa" w:w="3312"/>
          </w:tcPr>
          <w:p>
            <w:r>
              <w:t>Could the complete graph keep every useful stage and improve the deployment decision?</w:t>
            </w:r>
          </w:p>
        </w:tc>
        <w:tc>
          <w:tcPr>
            <w:tcW w:type="dxa" w:w="3312"/>
          </w:tcPr>
          <w:p>
            <w:r>
              <w:t>Best safe redirect and behavior match among comparable full runs; 4 percent advice leakage; zero pipeline errors.</w:t>
            </w:r>
          </w:p>
        </w:tc>
      </w:tr>
      <w:tr>
        <w:tc>
          <w:tcPr>
            <w:tcW w:type="dxa" w:w="3312"/>
          </w:tcPr>
          <w:p>
            <w:r>
              <w:t>Privacy-hardened release</w:t>
            </w:r>
          </w:p>
        </w:tc>
        <w:tc>
          <w:tcPr>
            <w:tcW w:type="dxa" w:w="3312"/>
          </w:tcPr>
          <w:p>
            <w:r>
              <w:t>Could a process-owned sanitizer scrub identifiers before any model sees them without moving the safety numbers?</w:t>
            </w:r>
          </w:p>
        </w:tc>
        <w:tc>
          <w:tcPr>
            <w:tcW w:type="dxa" w:w="3312"/>
          </w:tcPr>
          <w:p>
            <w:r>
              <w:t>Yes. Behavior metrics held identical; hallucinated improved 0.643 to 0.538 on the safety categories.</w:t>
            </w:r>
          </w:p>
        </w:tc>
      </w:tr>
      <w:tr>
        <w:tc>
          <w:tcPr>
            <w:tcW w:type="dxa" w:w="3312"/>
          </w:tcPr>
          <w:p>
            <w:r>
              <w:t>Persisted refusal boundary</w:t>
            </w:r>
          </w:p>
        </w:tc>
        <w:tc>
          <w:tcPr>
            <w:tcW w:type="dxa" w:w="3312"/>
          </w:tcPr>
          <w:p>
            <w:r>
              <w:t>Could a refusal survive across turns instead of being re-rolled each turn?</w:t>
            </w:r>
          </w:p>
        </w:tc>
        <w:tc>
          <w:tcPr>
            <w:tcW w:type="dxa" w:w="3312"/>
          </w:tcPr>
          <w:p>
            <w:r>
              <w:t>Yes. Safety drift 0.409 to 0.273 (median of 3), PII persistence 0.19 to 0.125, zero replay-precision violations, n = 22.</w:t>
            </w:r>
          </w:p>
        </w:tc>
      </w:tr>
      <w:tr>
        <w:tc>
          <w:tcPr>
            <w:tcW w:type="dxa" w:w="3312"/>
          </w:tcPr>
          <w:p>
            <w:r>
              <w:t>PageIndex tree-search retrieval</w:t>
            </w:r>
          </w:p>
        </w:tc>
        <w:tc>
          <w:tcPr>
            <w:tcW w:type="dxa" w:w="3312"/>
          </w:tcPr>
          <w:p>
            <w:r>
              <w:t>Does reasoning over a document tree beat hybrid search on this corpus?</w:t>
            </w:r>
          </w:p>
        </w:tc>
        <w:tc>
          <w:tcPr>
            <w:tcW w:type="dxa" w:w="3312"/>
          </w:tcPr>
          <w:p>
            <w:r>
              <w:t>No. Page recall 0.609 against 0.681 (71 questions); 2x retrieval latency; rejected at stage 1.</w:t>
            </w:r>
          </w:p>
        </w:tc>
      </w:tr>
      <w:tr>
        <w:tc>
          <w:tcPr>
            <w:tcW w:type="dxa" w:w="3312"/>
          </w:tcPr>
          <w:p>
            <w:r>
              <w:t>Pinecone hybrid retrieval</w:t>
            </w:r>
          </w:p>
        </w:tc>
        <w:tc>
          <w:tcPr>
            <w:tcW w:type="dxa" w:w="3312"/>
          </w:tcPr>
          <w:p>
            <w:r>
              <w:t>Does a managed vector index with the same embeddings beat Weaviate?</w:t>
            </w:r>
          </w:p>
        </w:tc>
        <w:tc>
          <w:tcPr>
            <w:tcW w:type="dxa" w:w="3312"/>
          </w:tcPr>
          <w:p>
            <w:r>
              <w:t>Not as configured. 0.463 against 0.648; dense-only 0.607 against 0.664; rejected at stage 1.</w:t>
            </w:r>
          </w:p>
        </w:tc>
      </w:tr>
      <w:tr>
        <w:tc>
          <w:tcPr>
            <w:tcW w:type="dxa" w:w="3312"/>
          </w:tcPr>
          <w:p>
            <w:r>
              <w:t>Reranker over Weaviate (bge-reranker-v2-m3, 12 to 4)</w:t>
            </w:r>
          </w:p>
        </w:tc>
        <w:tc>
          <w:tcPr>
            <w:tcW w:type="dxa" w:w="3312"/>
          </w:tcPr>
          <w:p>
            <w:r>
              <w:t>Does reranking the top 12 improve answers?</w:t>
            </w:r>
          </w:p>
        </w:tc>
        <w:tc>
          <w:tcPr>
            <w:tcW w:type="dxa" w:w="3312"/>
          </w:tcPr>
          <w:p>
            <w:r>
              <w:t>It improved page recall (+0.050) and hurt correctness (0.799 against 0.850; holdout 0.737 against 0.828). Rejected at stage 2.</w:t>
            </w:r>
          </w:p>
        </w:tc>
      </w:tr>
    </w:tbl>
    <w:p/>
    <w:p>
      <w:pPr>
        <w:pStyle w:val="Heading2"/>
      </w:pPr>
      <w:r>
        <w:t>Comparable full-run metrics (86 examples, GPT-5.6 Sol judge)</w:t>
      </w:r>
    </w:p>
    <w:p>
      <w:pPr>
        <w:pStyle w:val="ListBullet"/>
      </w:pPr>
      <w:r>
        <w:t>Synthesis: correctness 0.886; groundedness 0.925; safe redirect 0.16; advice leakage 0.52; behavior match 0.791; p50 15.90 s; $0.0284 per query.</w:t>
      </w:r>
    </w:p>
    <w:p>
      <w:pPr>
        <w:pStyle w:val="ListBullet"/>
      </w:pPr>
      <w:r>
        <w:t>Safety-gated: correctness 0.813; groundedness 0.950; safe redirect 0.64; advice leakage 0.04; behavior match 0.872; p50 12.20 s; $0.0195 per query.</w:t>
      </w:r>
    </w:p>
    <w:p>
      <w:pPr>
        <w:pStyle w:val="ListBullet"/>
      </w:pPr>
      <w:r>
        <w:t>Graph parity: correctness 0.855; groundedness 0.951; safe redirect 0.64; advice leakage 0.04; behavior match 0.895; p50 15.35 s; $0.0170 per query.</w:t>
      </w:r>
    </w:p>
    <w:p>
      <w:pPr>
        <w:pStyle w:val="ListBullet"/>
      </w:pPr>
      <w:r>
        <w:t>Graph-final: correctness 0.853; groundedness 0.935; safe redirect 0.68; advice leakage 0.04; behavior match 0.907; p50 16.38 s; $0.0191 per query; pipeline error rate 0.00.</w:t>
      </w:r>
    </w:p>
    <w:p>
      <w:pPr>
        <w:pStyle w:val="Heading2"/>
      </w:pPr>
      <w:r>
        <w:t>Graph-final composition</w:t>
      </w:r>
    </w:p>
    <w:p>
      <w:pPr>
        <w:pStyle w:val="ListBullet"/>
      </w:pPr>
      <w:r>
        <w:t>Safety gate. Scrub identifiers, classify the request, short-circuit emergencies, personal advice, out-of-scope requests, prompt injection and identifier-recitation requests. A stored refusal boundary is checked first and replayed with zero LLM calls when it matches.</w:t>
      </w:r>
    </w:p>
    <w:p>
      <w:pPr>
        <w:pStyle w:val="ListBullet"/>
      </w:pPr>
      <w:r>
        <w:t>Clarification and conversation context, in parallel, over scrubbed checkpointed history.</w:t>
      </w:r>
    </w:p>
    <w:p>
      <w:pPr>
        <w:pStyle w:val="ListBullet"/>
      </w:pPr>
      <w:r>
        <w:t>Complex-only decomposition. Keep the parent query; add at most three evidence-gathering subqueries.</w:t>
      </w:r>
    </w:p>
    <w:p>
      <w:pPr>
        <w:pStyle w:val="ListBullet"/>
      </w:pPr>
      <w:r>
        <w:t>Hybrid retrieval and merge over the Lipitor and Metformin monographs, deduplicated by document id.</w:t>
      </w:r>
    </w:p>
    <w:p>
      <w:pPr>
        <w:pStyle w:val="ListBullet"/>
      </w:pPr>
      <w:r>
        <w:t>Retrieval evaluation with one bounded gap-fill round when evidence is thin.</w:t>
      </w:r>
    </w:p>
    <w:p>
      <w:pPr>
        <w:pStyle w:val="ListBullet"/>
      </w:pPr>
      <w:r>
        <w:t>Generate once, answering the original question over the merged evidence.</w:t>
      </w:r>
    </w:p>
    <w:p>
      <w:pPr>
        <w:pStyle w:val="ListBullet"/>
      </w:pPr>
      <w:r>
        <w:t>Validate and follow up: citations structured with Terra; follow-ups only for validated answers.</w:t>
      </w:r>
    </w:p>
    <w:p>
      <w:pPr>
        <w:pStyle w:val="ListBullet"/>
      </w:pPr>
      <w:r>
        <w:t>Finalize: persist only the scrubbed conversation pair and return graph telemetry.</w:t>
      </w:r>
    </w:p>
    <w:p>
      <w:pPr>
        <w:pStyle w:val="Heading2"/>
      </w:pPr>
      <w:r>
        <w:t>Ablation results (correctness)</w:t>
      </w:r>
    </w:p>
    <w:p>
      <w:pPr>
        <w:pStyle w:val="ListBullet"/>
      </w:pPr>
      <w:r>
        <w:t>No evaluate: 0.741, the largest loss.</w:t>
      </w:r>
    </w:p>
    <w:p>
      <w:pPr>
        <w:pStyle w:val="ListBullet"/>
      </w:pPr>
      <w:r>
        <w:t>No clarify: 0.814; both core and holdout fell.</w:t>
      </w:r>
    </w:p>
    <w:p>
      <w:pPr>
        <w:pStyle w:val="ListBullet"/>
      </w:pPr>
      <w:r>
        <w:t>No decompose: 0.838; small overall loss, larger on holdout.</w:t>
      </w:r>
    </w:p>
    <w:p>
      <w:pPr>
        <w:pStyle w:val="ListBullet"/>
      </w:pPr>
      <w:r>
        <w:t>No validate: 0.852; correctness held but hallucination and premise correction worsened.</w:t>
      </w:r>
    </w:p>
    <w:p>
      <w:pPr>
        <w:pStyle w:val="ListBullet"/>
      </w:pPr>
      <w:r>
        <w:t>No follow-ups: 0.855; answer-neutral.</w:t>
      </w:r>
    </w:p>
    <w:p>
      <w:pPr>
        <w:pStyle w:val="Heading2"/>
      </w:pPr>
      <w:r>
        <w:t>Multi-turn: graph-final and the persisted refusal boundary</w:t>
      </w:r>
    </w:p>
    <w:p>
      <w:pPr>
        <w:pStyle w:val="ListBullet"/>
      </w:pPr>
      <w:r>
        <w:t>Graph-final exact commit (22 conversations, 158 planned turns, zero execution errors): safety drift 0.4091; PII persistence 0.1875; emergency escalation 1.0; turn behavior match 0.9396; turn correctness 0.8072; groundedness 0.9224; context carry-over 0.8856; consistency 0.8182; $0.106 per conversation.</w:t>
      </w:r>
    </w:p>
    <w:p>
      <w:pPr>
        <w:pStyle w:val="ListBullet"/>
      </w:pPr>
      <w:r>
        <w:t>Boundary on (run boundary-on-r4-aeb73d36, verdict in evals/results/boundary-verdict/verdict.md): safety drift median of 3 judge reruns 0.2727 (bar 0.364; normal-approximation 95% interval 0.087 to 0.459); PII persistence 0.125; turn correctness 0.8018 and behavior match 0.9214, both inside the 0.05 non-regression bar; emergency escalation 1.0; replay-precision violations 0 across 21 scripted conversations; $0.015 per turn.</w:t>
      </w:r>
    </w:p>
    <w:p>
      <w:pPr>
        <w:pStyle w:val="ListBullet"/>
      </w:pPr>
      <w:r>
        <w:t>What the boundary stores: refusal kind, derived drug topic, the byte-exact template, a timestamp and a template version. No raw user text, no PHI spans. Stored boundaries only ever escalate. An informational override sends document-sourced wording back through the full gate so factual follow-ups on a refused topic stay answerable. Conversations mt-017 to mt-021 pin the behaviour.</w:t>
      </w:r>
    </w:p>
    <w:p>
      <w:pPr>
        <w:pStyle w:val="Heading2"/>
      </w:pPr>
      <w:r>
        <w:t>Retrieval experiments (direction 5 applied to the retriever)</w:t>
      </w:r>
    </w:p>
    <w:p>
      <w:r>
        <w:rPr>
          <w:b w:val="0"/>
          <w:i w:val="0"/>
        </w:rPr>
        <w:t>Method: retrieval stage only, everything downstream byte-identical. Stage 1 is a retrieval-only page-recall gate over 71 eligible golden questions (8 have no expected pages, 7 are multi-turn), about 3 minutes per arm. Losing page recall to the reference is terminal. The best passer goes to stage 2: paired evals.run_baseline runs, core plus holdout, 2 repetitions, n = 172 per arm, against a fresh Weaviate reference in the same session. Stage-2 pass needs correctness +0.03 with groundedness, holdout correctness, cost (1.25x) and p50 (1.25x) held. Thresholds were frozen in a spec before any result; a self-check with identical arms gave a delta of 0.000. The unchanged reference scored 0.681, 0.648 and 0.664 across three same-day runs, so unpaired comparisons were never allowed.</w:t>
      </w:r>
    </w:p>
    <w:tbl>
      <w:tblPr>
        <w:tblStyle w:val="LightGrid-Accent2"/>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rPr>
                <w:b/>
              </w:rPr>
              <w:t>Arm</w:t>
            </w:r>
          </w:p>
        </w:tc>
        <w:tc>
          <w:tcPr>
            <w:tcW w:type="dxa" w:w="1419"/>
          </w:tcPr>
          <w:p>
            <w:r>
              <w:rPr>
                <w:b/>
              </w:rPr>
              <w:t>Stage-1 page recall</w:t>
            </w:r>
          </w:p>
        </w:tc>
        <w:tc>
          <w:tcPr>
            <w:tcW w:type="dxa" w:w="1419"/>
          </w:tcPr>
          <w:p>
            <w:r>
              <w:rPr>
                <w:b/>
              </w:rPr>
              <w:t>Delta</w:t>
            </w:r>
          </w:p>
        </w:tc>
        <w:tc>
          <w:tcPr>
            <w:tcW w:type="dxa" w:w="1419"/>
          </w:tcPr>
          <w:p>
            <w:r>
              <w:rPr>
                <w:b/>
              </w:rPr>
              <w:t>Core / holdout</w:t>
            </w:r>
          </w:p>
        </w:tc>
        <w:tc>
          <w:tcPr>
            <w:tcW w:type="dxa" w:w="1419"/>
          </w:tcPr>
          <w:p>
            <w:r>
              <w:rPr>
                <w:b/>
              </w:rPr>
              <w:t>Chunk recall</w:t>
            </w:r>
          </w:p>
        </w:tc>
        <w:tc>
          <w:tcPr>
            <w:tcW w:type="dxa" w:w="1419"/>
          </w:tcPr>
          <w:p>
            <w:r>
              <w:rPr>
                <w:b/>
              </w:rPr>
              <w:t>Retrieval latency</w:t>
            </w:r>
          </w:p>
        </w:tc>
        <w:tc>
          <w:tcPr>
            <w:tcW w:type="dxa" w:w="1419"/>
          </w:tcPr>
          <w:p>
            <w:r>
              <w:rPr>
                <w:b/>
              </w:rPr>
              <w:t>Verdict</w:t>
            </w:r>
          </w:p>
        </w:tc>
      </w:tr>
      <w:tr>
        <w:tc>
          <w:tcPr>
            <w:tcW w:type="dxa" w:w="1419"/>
          </w:tcPr>
          <w:p>
            <w:r>
              <w:t>Weaviate hybrid (reference, PageIndex session)</w:t>
            </w:r>
          </w:p>
        </w:tc>
        <w:tc>
          <w:tcPr>
            <w:tcW w:type="dxa" w:w="1419"/>
          </w:tcPr>
          <w:p>
            <w:r>
              <w:t>0.681</w:t>
            </w:r>
          </w:p>
        </w:tc>
        <w:tc>
          <w:tcPr>
            <w:tcW w:type="dxa" w:w="1419"/>
          </w:tcPr>
          <w:p>
            <w:r/>
          </w:p>
        </w:tc>
        <w:tc>
          <w:tcPr>
            <w:tcW w:type="dxa" w:w="1419"/>
          </w:tcPr>
          <w:p>
            <w:r>
              <w:t>0.685 / 0.676</w:t>
            </w:r>
          </w:p>
        </w:tc>
        <w:tc>
          <w:tcPr>
            <w:tcW w:type="dxa" w:w="1419"/>
          </w:tcPr>
          <w:p>
            <w:r>
              <w:t>0.618</w:t>
            </w:r>
          </w:p>
        </w:tc>
        <w:tc>
          <w:tcPr>
            <w:tcW w:type="dxa" w:w="1419"/>
          </w:tcPr>
          <w:p>
            <w:r>
              <w:t>1.66 s</w:t>
            </w:r>
          </w:p>
        </w:tc>
        <w:tc>
          <w:tcPr>
            <w:tcW w:type="dxa" w:w="1419"/>
          </w:tcPr>
          <w:p>
            <w:r>
              <w:t>kept</w:t>
            </w:r>
          </w:p>
        </w:tc>
      </w:tr>
      <w:tr>
        <w:tc>
          <w:tcPr>
            <w:tcW w:type="dxa" w:w="1419"/>
          </w:tcPr>
          <w:p>
            <w:r>
              <w:t>PageIndex tree search</w:t>
            </w:r>
          </w:p>
        </w:tc>
        <w:tc>
          <w:tcPr>
            <w:tcW w:type="dxa" w:w="1419"/>
          </w:tcPr>
          <w:p>
            <w:r>
              <w:t>0.609</w:t>
            </w:r>
          </w:p>
        </w:tc>
        <w:tc>
          <w:tcPr>
            <w:tcW w:type="dxa" w:w="1419"/>
          </w:tcPr>
          <w:p>
            <w:r>
              <w:t>-0.071</w:t>
            </w:r>
          </w:p>
        </w:tc>
        <w:tc>
          <w:tcPr>
            <w:tcW w:type="dxa" w:w="1419"/>
          </w:tcPr>
          <w:p>
            <w:r>
              <w:t>0.637 / 0.581</w:t>
            </w:r>
          </w:p>
        </w:tc>
        <w:tc>
          <w:tcPr>
            <w:tcW w:type="dxa" w:w="1419"/>
          </w:tcPr>
          <w:p>
            <w:r>
              <w:t>0.601</w:t>
            </w:r>
          </w:p>
        </w:tc>
        <w:tc>
          <w:tcPr>
            <w:tcW w:type="dxa" w:w="1419"/>
          </w:tcPr>
          <w:p>
            <w:r>
              <w:t>3.10 s</w:t>
            </w:r>
          </w:p>
        </w:tc>
        <w:tc>
          <w:tcPr>
            <w:tcW w:type="dxa" w:w="1419"/>
          </w:tcPr>
          <w:p>
            <w:r>
              <w:t>REJECT, stage 1</w:t>
            </w:r>
          </w:p>
        </w:tc>
      </w:tr>
      <w:tr>
        <w:tc>
          <w:tcPr>
            <w:tcW w:type="dxa" w:w="1419"/>
          </w:tcPr>
          <w:p>
            <w:r>
              <w:t>Weaviate hybrid (reference, Pinecone session)</w:t>
            </w:r>
          </w:p>
        </w:tc>
        <w:tc>
          <w:tcPr>
            <w:tcW w:type="dxa" w:w="1419"/>
          </w:tcPr>
          <w:p>
            <w:r>
              <w:t>0.648</w:t>
            </w:r>
          </w:p>
        </w:tc>
        <w:tc>
          <w:tcPr>
            <w:tcW w:type="dxa" w:w="1419"/>
          </w:tcPr>
          <w:p>
            <w:r/>
          </w:p>
        </w:tc>
        <w:tc>
          <w:tcPr>
            <w:tcW w:type="dxa" w:w="1419"/>
          </w:tcPr>
          <w:p>
            <w:r>
              <w:t>0.666 / 0.629</w:t>
            </w:r>
          </w:p>
        </w:tc>
        <w:tc>
          <w:tcPr>
            <w:tcW w:type="dxa" w:w="1419"/>
          </w:tcPr>
          <w:p>
            <w:r>
              <w:t>0.587</w:t>
            </w:r>
          </w:p>
        </w:tc>
        <w:tc>
          <w:tcPr>
            <w:tcW w:type="dxa" w:w="1419"/>
          </w:tcPr>
          <w:p>
            <w:r>
              <w:t>2.32 s</w:t>
            </w:r>
          </w:p>
        </w:tc>
        <w:tc>
          <w:tcPr>
            <w:tcW w:type="dxa" w:w="1419"/>
          </w:tcPr>
          <w:p>
            <w:r>
              <w:t>kept</w:t>
            </w:r>
          </w:p>
        </w:tc>
      </w:tr>
      <w:tr>
        <w:tc>
          <w:tcPr>
            <w:tcW w:type="dxa" w:w="1419"/>
          </w:tcPr>
          <w:p>
            <w:r>
              <w:t>Pinecone hybrid (same embeddings + hosted sparse, alpha 0.65)</w:t>
            </w:r>
          </w:p>
        </w:tc>
        <w:tc>
          <w:tcPr>
            <w:tcW w:type="dxa" w:w="1419"/>
          </w:tcPr>
          <w:p>
            <w:r>
              <w:t>0.463</w:t>
            </w:r>
          </w:p>
        </w:tc>
        <w:tc>
          <w:tcPr>
            <w:tcW w:type="dxa" w:w="1419"/>
          </w:tcPr>
          <w:p>
            <w:r>
              <w:t>-0.185</w:t>
            </w:r>
          </w:p>
        </w:tc>
        <w:tc>
          <w:tcPr>
            <w:tcW w:type="dxa" w:w="1419"/>
          </w:tcPr>
          <w:p>
            <w:r>
              <w:t>0.450 / 0.476</w:t>
            </w:r>
          </w:p>
        </w:tc>
        <w:tc>
          <w:tcPr>
            <w:tcW w:type="dxa" w:w="1419"/>
          </w:tcPr>
          <w:p>
            <w:r>
              <w:t>0.417</w:t>
            </w:r>
          </w:p>
        </w:tc>
        <w:tc>
          <w:tcPr>
            <w:tcW w:type="dxa" w:w="1419"/>
          </w:tcPr>
          <w:p>
            <w:r>
              <w:t>2.30 s</w:t>
            </w:r>
          </w:p>
        </w:tc>
        <w:tc>
          <w:tcPr>
            <w:tcW w:type="dxa" w:w="1419"/>
          </w:tcPr>
          <w:p>
            <w:r>
              <w:t>REJECT, stage 1</w:t>
            </w:r>
          </w:p>
        </w:tc>
      </w:tr>
      <w:tr>
        <w:tc>
          <w:tcPr>
            <w:tcW w:type="dxa" w:w="1419"/>
          </w:tcPr>
          <w:p>
            <w:r>
              <w:t>Pinecone dense-only (labelled diagnostic, reference 0.664)</w:t>
            </w:r>
          </w:p>
        </w:tc>
        <w:tc>
          <w:tcPr>
            <w:tcW w:type="dxa" w:w="1419"/>
          </w:tcPr>
          <w:p>
            <w:r>
              <w:t>0.607</w:t>
            </w:r>
          </w:p>
        </w:tc>
        <w:tc>
          <w:tcPr>
            <w:tcW w:type="dxa" w:w="1419"/>
          </w:tcPr>
          <w:p>
            <w:r>
              <w:t>-0.057</w:t>
            </w:r>
          </w:p>
        </w:tc>
        <w:tc>
          <w:tcPr>
            <w:tcW w:type="dxa" w:w="1419"/>
          </w:tcPr>
          <w:p>
            <w:r>
              <w:t>0.695 / 0.517</w:t>
            </w:r>
          </w:p>
        </w:tc>
        <w:tc>
          <w:tcPr>
            <w:tcW w:type="dxa" w:w="1419"/>
          </w:tcPr>
          <w:p>
            <w:r/>
          </w:p>
        </w:tc>
        <w:tc>
          <w:tcPr>
            <w:tcW w:type="dxa" w:w="1419"/>
          </w:tcPr>
          <w:p>
            <w:r/>
          </w:p>
        </w:tc>
        <w:tc>
          <w:tcPr>
            <w:tcW w:type="dxa" w:w="1419"/>
          </w:tcPr>
          <w:p>
            <w:r>
              <w:t>not used for selection</w:t>
            </w:r>
          </w:p>
        </w:tc>
      </w:tr>
      <w:tr>
        <w:tc>
          <w:tcPr>
            <w:tcW w:type="dxa" w:w="1419"/>
          </w:tcPr>
          <w:p>
            <w:r>
              <w:t>Weaviate + bge-reranker-v2-m3 (12 to 4)</w:t>
            </w:r>
          </w:p>
        </w:tc>
        <w:tc>
          <w:tcPr>
            <w:tcW w:type="dxa" w:w="1419"/>
          </w:tcPr>
          <w:p>
            <w:r>
              <w:t>0.698</w:t>
            </w:r>
          </w:p>
        </w:tc>
        <w:tc>
          <w:tcPr>
            <w:tcW w:type="dxa" w:w="1419"/>
          </w:tcPr>
          <w:p>
            <w:r>
              <w:t>+0.050</w:t>
            </w:r>
          </w:p>
        </w:tc>
        <w:tc>
          <w:tcPr>
            <w:tcW w:type="dxa" w:w="1419"/>
          </w:tcPr>
          <w:p>
            <w:r>
              <w:t>0.736 / 0.660</w:t>
            </w:r>
          </w:p>
        </w:tc>
        <w:tc>
          <w:tcPr>
            <w:tcW w:type="dxa" w:w="1419"/>
          </w:tcPr>
          <w:p>
            <w:r>
              <w:t>0.610</w:t>
            </w:r>
          </w:p>
        </w:tc>
        <w:tc>
          <w:tcPr>
            <w:tcW w:type="dxa" w:w="1419"/>
          </w:tcPr>
          <w:p>
            <w:r>
              <w:t>2.26 s</w:t>
            </w:r>
          </w:p>
        </w:tc>
        <w:tc>
          <w:tcPr>
            <w:tcW w:type="dxa" w:w="1419"/>
          </w:tcPr>
          <w:p>
            <w:r>
              <w:t>passed; to stage 2</w:t>
            </w:r>
          </w:p>
        </w:tc>
      </w:tr>
      <w:tr>
        <w:tc>
          <w:tcPr>
            <w:tcW w:type="dxa" w:w="1419"/>
          </w:tcPr>
          <w:p>
            <w:r>
              <w:t>Pinecone + bge-reranker-v2-m3</w:t>
            </w:r>
          </w:p>
        </w:tc>
        <w:tc>
          <w:tcPr>
            <w:tcW w:type="dxa" w:w="1419"/>
          </w:tcPr>
          <w:p>
            <w:r>
              <w:t>0.504</w:t>
            </w:r>
          </w:p>
        </w:tc>
        <w:tc>
          <w:tcPr>
            <w:tcW w:type="dxa" w:w="1419"/>
          </w:tcPr>
          <w:p>
            <w:r>
              <w:t>-0.144</w:t>
            </w:r>
          </w:p>
        </w:tc>
        <w:tc>
          <w:tcPr>
            <w:tcW w:type="dxa" w:w="1419"/>
          </w:tcPr>
          <w:p>
            <w:r>
              <w:t>0.530 / 0.476</w:t>
            </w:r>
          </w:p>
        </w:tc>
        <w:tc>
          <w:tcPr>
            <w:tcW w:type="dxa" w:w="1419"/>
          </w:tcPr>
          <w:p>
            <w:r>
              <w:t>0.451</w:t>
            </w:r>
          </w:p>
        </w:tc>
        <w:tc>
          <w:tcPr>
            <w:tcW w:type="dxa" w:w="1419"/>
          </w:tcPr>
          <w:p>
            <w:r>
              <w:t>2.92 s</w:t>
            </w:r>
          </w:p>
        </w:tc>
        <w:tc>
          <w:tcPr>
            <w:tcW w:type="dxa" w:w="1419"/>
          </w:tcPr>
          <w:p>
            <w:r>
              <w:t>REJECT, stage 1</w:t>
            </w:r>
          </w:p>
        </w:tc>
      </w:tr>
    </w:tbl>
    <w:p/>
    <w:tbl>
      <w:tblPr>
        <w:tblStyle w:val="LightGrid-Accent2"/>
        <w:tblW w:type="auto" w:w="0"/>
        <w:tblLook w:firstColumn="1" w:firstRow="1" w:lastColumn="0" w:lastRow="0" w:noHBand="0" w:noVBand="1" w:val="04A0"/>
      </w:tblPr>
      <w:tblGrid>
        <w:gridCol w:w="1987"/>
        <w:gridCol w:w="1987"/>
        <w:gridCol w:w="1987"/>
        <w:gridCol w:w="1987"/>
        <w:gridCol w:w="1987"/>
      </w:tblGrid>
      <w:tr>
        <w:tc>
          <w:tcPr>
            <w:tcW w:type="dxa" w:w="1987"/>
          </w:tcPr>
          <w:p>
            <w:r>
              <w:rPr>
                <w:b/>
              </w:rPr>
              <w:t>Stage-2 gate (n = 172 per arm)</w:t>
            </w:r>
          </w:p>
        </w:tc>
        <w:tc>
          <w:tcPr>
            <w:tcW w:type="dxa" w:w="1987"/>
          </w:tcPr>
          <w:p>
            <w:r>
              <w:rPr>
                <w:b/>
              </w:rPr>
              <w:t>Weaviate</w:t>
            </w:r>
          </w:p>
        </w:tc>
        <w:tc>
          <w:tcPr>
            <w:tcW w:type="dxa" w:w="1987"/>
          </w:tcPr>
          <w:p>
            <w:r>
              <w:rPr>
                <w:b/>
              </w:rPr>
              <w:t>Weaviate + reranker</w:t>
            </w:r>
          </w:p>
        </w:tc>
        <w:tc>
          <w:tcPr>
            <w:tcW w:type="dxa" w:w="1987"/>
          </w:tcPr>
          <w:p>
            <w:r>
              <w:rPr>
                <w:b/>
              </w:rPr>
              <w:t>Threshold</w:t>
            </w:r>
          </w:p>
        </w:tc>
        <w:tc>
          <w:tcPr>
            <w:tcW w:type="dxa" w:w="1987"/>
          </w:tcPr>
          <w:p>
            <w:r>
              <w:rPr>
                <w:b/>
              </w:rPr>
              <w:t>Result</w:t>
            </w:r>
          </w:p>
        </w:tc>
      </w:tr>
      <w:tr>
        <w:tc>
          <w:tcPr>
            <w:tcW w:type="dxa" w:w="1987"/>
          </w:tcPr>
          <w:p>
            <w:r>
              <w:t>Correctness</w:t>
            </w:r>
          </w:p>
        </w:tc>
        <w:tc>
          <w:tcPr>
            <w:tcW w:type="dxa" w:w="1987"/>
          </w:tcPr>
          <w:p>
            <w:r>
              <w:t>0.850</w:t>
            </w:r>
          </w:p>
        </w:tc>
        <w:tc>
          <w:tcPr>
            <w:tcW w:type="dxa" w:w="1987"/>
          </w:tcPr>
          <w:p>
            <w:r>
              <w:t>0.799</w:t>
            </w:r>
          </w:p>
        </w:tc>
        <w:tc>
          <w:tcPr>
            <w:tcW w:type="dxa" w:w="1987"/>
          </w:tcPr>
          <w:p>
            <w:r>
              <w:t>+0.030 or more</w:t>
            </w:r>
          </w:p>
        </w:tc>
        <w:tc>
          <w:tcPr>
            <w:tcW w:type="dxa" w:w="1987"/>
          </w:tcPr>
          <w:p>
            <w:r>
              <w:t>fail</w:t>
            </w:r>
          </w:p>
        </w:tc>
      </w:tr>
      <w:tr>
        <w:tc>
          <w:tcPr>
            <w:tcW w:type="dxa" w:w="1987"/>
          </w:tcPr>
          <w:p>
            <w:r>
              <w:t>Groundedness</w:t>
            </w:r>
          </w:p>
        </w:tc>
        <w:tc>
          <w:tcPr>
            <w:tcW w:type="dxa" w:w="1987"/>
          </w:tcPr>
          <w:p>
            <w:r>
              <w:t>0.925</w:t>
            </w:r>
          </w:p>
        </w:tc>
        <w:tc>
          <w:tcPr>
            <w:tcW w:type="dxa" w:w="1987"/>
          </w:tcPr>
          <w:p>
            <w:r>
              <w:t>0.922</w:t>
            </w:r>
          </w:p>
        </w:tc>
        <w:tc>
          <w:tcPr>
            <w:tcW w:type="dxa" w:w="1987"/>
          </w:tcPr>
          <w:p>
            <w:r>
              <w:t>at or above reference</w:t>
            </w:r>
          </w:p>
        </w:tc>
        <w:tc>
          <w:tcPr>
            <w:tcW w:type="dxa" w:w="1987"/>
          </w:tcPr>
          <w:p>
            <w:r>
              <w:t>fail (flat)</w:t>
            </w:r>
          </w:p>
        </w:tc>
      </w:tr>
      <w:tr>
        <w:tc>
          <w:tcPr>
            <w:tcW w:type="dxa" w:w="1987"/>
          </w:tcPr>
          <w:p>
            <w:r>
              <w:t>Holdout correctness</w:t>
            </w:r>
          </w:p>
        </w:tc>
        <w:tc>
          <w:tcPr>
            <w:tcW w:type="dxa" w:w="1987"/>
          </w:tcPr>
          <w:p>
            <w:r>
              <w:t>0.828</w:t>
            </w:r>
          </w:p>
        </w:tc>
        <w:tc>
          <w:tcPr>
            <w:tcW w:type="dxa" w:w="1987"/>
          </w:tcPr>
          <w:p>
            <w:r>
              <w:t>0.737</w:t>
            </w:r>
          </w:p>
        </w:tc>
        <w:tc>
          <w:tcPr>
            <w:tcW w:type="dxa" w:w="1987"/>
          </w:tcPr>
          <w:p>
            <w:r>
              <w:t>at or above reference</w:t>
            </w:r>
          </w:p>
        </w:tc>
        <w:tc>
          <w:tcPr>
            <w:tcW w:type="dxa" w:w="1987"/>
          </w:tcPr>
          <w:p>
            <w:r>
              <w:t>fail</w:t>
            </w:r>
          </w:p>
        </w:tc>
      </w:tr>
      <w:tr>
        <w:tc>
          <w:tcPr>
            <w:tcW w:type="dxa" w:w="1987"/>
          </w:tcPr>
          <w:p>
            <w:r>
              <w:t>Cost per query</w:t>
            </w:r>
          </w:p>
        </w:tc>
        <w:tc>
          <w:tcPr>
            <w:tcW w:type="dxa" w:w="1987"/>
          </w:tcPr>
          <w:p>
            <w:r>
              <w:t>$0.0188</w:t>
            </w:r>
          </w:p>
        </w:tc>
        <w:tc>
          <w:tcPr>
            <w:tcW w:type="dxa" w:w="1987"/>
          </w:tcPr>
          <w:p>
            <w:r>
              <w:t>$0.0194</w:t>
            </w:r>
          </w:p>
        </w:tc>
        <w:tc>
          <w:tcPr>
            <w:tcW w:type="dxa" w:w="1987"/>
          </w:tcPr>
          <w:p>
            <w:r>
              <w:t>1.25x or less</w:t>
            </w:r>
          </w:p>
        </w:tc>
        <w:tc>
          <w:tcPr>
            <w:tcW w:type="dxa" w:w="1987"/>
          </w:tcPr>
          <w:p>
            <w:r>
              <w:t>pass</w:t>
            </w:r>
          </w:p>
        </w:tc>
      </w:tr>
      <w:tr>
        <w:tc>
          <w:tcPr>
            <w:tcW w:type="dxa" w:w="1987"/>
          </w:tcPr>
          <w:p>
            <w:r>
              <w:t>p50 latency</w:t>
            </w:r>
          </w:p>
        </w:tc>
        <w:tc>
          <w:tcPr>
            <w:tcW w:type="dxa" w:w="1987"/>
          </w:tcPr>
          <w:p>
            <w:r>
              <w:t>17.6 s</w:t>
            </w:r>
          </w:p>
        </w:tc>
        <w:tc>
          <w:tcPr>
            <w:tcW w:type="dxa" w:w="1987"/>
          </w:tcPr>
          <w:p>
            <w:r>
              <w:t>18.9 s</w:t>
            </w:r>
          </w:p>
        </w:tc>
        <w:tc>
          <w:tcPr>
            <w:tcW w:type="dxa" w:w="1987"/>
          </w:tcPr>
          <w:p>
            <w:r>
              <w:t>1.25x or less</w:t>
            </w:r>
          </w:p>
        </w:tc>
        <w:tc>
          <w:tcPr>
            <w:tcW w:type="dxa" w:w="1987"/>
          </w:tcPr>
          <w:p>
            <w:r>
              <w:t>pass</w:t>
            </w:r>
          </w:p>
        </w:tc>
      </w:tr>
    </w:tbl>
    <w:p/>
    <w:p>
      <w:pPr>
        <w:pStyle w:val="ListBullet"/>
      </w:pPr>
      <w:r>
        <w:t>Why the reranker lost: page recall in the full pipeline was flat (0.680 to 0.690) while chunk recall fell 0.657 to 0.639 and must-mention recall fell 0.603 to 0.568. Same pages, thinner chunks, answers missing required facts. Paired per question: 4 wins, 11 losses, 44 ties. Retrieval scores are not shown to any prompt, so score scale is not the cause.</w:t>
      </w:r>
    </w:p>
    <w:p>
      <w:pPr>
        <w:pStyle w:val="ListBullet"/>
      </w:pPr>
      <w:r>
        <w:t>Why PageIndex lost: 79 pages across two monographs against benchmarks built on thousand-page filings. PageIndex local mode has no LLM retrieval call (only submit_document, get_tree, get_ocr), so the one-call node selector over titles and summaries was ours. It doubled retrieval latency and returned about twice the chunks.</w:t>
      </w:r>
    </w:p>
    <w:p>
      <w:pPr>
        <w:pStyle w:val="ListBullet"/>
      </w:pPr>
      <w:r>
        <w:t>Why Pinecone lost, as configured: a convex mix of raw dot-product and raw sparse scores, where Weaviate normalises each ranking before fusing. The dense-only diagnostic isolates about 0.13 of the 0.185 loss to that choice; the rest is a dense-only index trailing lexical plus dense on holdout. It was not tuned after the fact. Normalised or RRF fusion is the named path to reopen it.</w:t>
      </w:r>
    </w:p>
    <w:p>
      <w:pPr>
        <w:pStyle w:val="ListBullet"/>
      </w:pPr>
      <w:r>
        <w:t>What was kept: Weaviate hybrid search with limit 4, alpha 0.65 and relative-score fusion, the checked-in chunks, text-embedding-3-small, and every downstream stage. What changed: knobs HC_RAG_RETRIEVER (weaviate, pageindex, pinecone) and HC_RAG_RERANKER (none, pinecone), the arms and their tests (53 plus 23), make index-pageindex and make ingest-pinecone, the gate evals/pageindex_gate.py (61 tests), decision records and the evidence trail in docs/experiments/.</w:t>
      </w:r>
    </w:p>
    <w:p>
      <w:pPr>
        <w:pStyle w:val="ListBullet"/>
      </w:pPr>
      <w:r>
        <w:t>Cost of the two missions: about 28 minutes and $0.30 for PageIndex; about 2 hours 40 minutes and $10 for Pinecone plus reranker, 80 minutes of that an aborted single-threaded stage 2 before rerunning at concurrency 8 on both arms.</w:t>
      </w:r>
    </w:p>
    <w:p>
      <w:pPr>
        <w:pStyle w:val="Heading2"/>
      </w:pPr>
      <w:r>
        <w:t>Verification wave and final parity</w:t>
      </w:r>
    </w:p>
    <w:p>
      <w:pPr>
        <w:pStyle w:val="ListBullet"/>
      </w:pPr>
      <w:r>
        <w:t>Tag parity-final sits on seal f83bf2f. The frozen-surface check held from baseline to final; only the build_engine() selector block changed (amendment A3).</w:t>
      </w:r>
    </w:p>
    <w:p>
      <w:pPr>
        <w:pStyle w:val="ListBullet"/>
      </w:pPr>
      <w:r>
        <w:t>Final gate against legacy passed every check except one recorded exception (amendment A4): core.hallucinated on both-answered rows moved +0.068 against a +0.05 allowance at n = 44, roughly 3 net judge flips. On byte-frozen code, 7 examples flipped this flag in both directions between runs; flagged answers carried at least 95 percent claim support; 3 claim-support calibration cases were added to the judge suite and pass.</w:t>
      </w:r>
    </w:p>
    <w:p>
      <w:pPr>
        <w:pStyle w:val="ListBullet"/>
      </w:pPr>
      <w:r>
        <w:t>F1 plan compliance first rejected: the gate implemented latency x1.35 while the plan text said x1.30. A transcription error, ratified as amendment A5. F2 code quality approved with 4 should-fix findings, all fixed. F3 runtime QA approved on a real 12.8 s CLI run with citations, a PII query short-circuited with zero echo, Agent-Server smoke 5 of 5. F4 scope fidelity approved: 159 changed paths mapped to plan todos, measurement sources untouched.</w:t>
      </w:r>
    </w:p>
    <w:p>
      <w:pPr>
        <w:pStyle w:val="Heading2"/>
      </w:pPr>
      <w:r>
        <w:t>Release cut and privacy hardening</w:t>
      </w:r>
    </w:p>
    <w:p>
      <w:pPr>
        <w:pStyle w:val="ListBullet"/>
      </w:pPr>
      <w:r>
        <w:t>Phase-2 deletion: 4,307 lines of legacy orchestrator and pipeline plumbing removed across 52 files in one revertable commit (3435caf). 259 tests green at the end of the cut; 502 on the current branch.</w:t>
      </w:r>
    </w:p>
    <w:p>
      <w:pPr>
        <w:pStyle w:val="ListBullet"/>
      </w:pPr>
      <w:r>
        <w:t>Process-owned sanitizer (Presidio 2.2.364, spaCy en_core_web_sm, deterministic CA/US healthcare-ID patterns): identifiers scrubbed from query and history before classification, every model-authored query sanitized at its next sink, answers and follow-ups scrubbed at finalize, model spans never mutate text, the engine fails closed with raw-free error codes, clinical codes preserved.</w:t>
      </w:r>
    </w:p>
    <w:p>
      <w:pPr>
        <w:pStyle w:val="ListBullet"/>
      </w:pPr>
      <w:r>
        <w:t>Safe Harbor used as a coverage inventory, not a compliance claim: 15 of 18 categories covered or deliberately diverged, 2 not applicable to text, 1 inherently heuristic. The vehicle-identifier gap was found by this audit and closed with a cue-bound pattern and clinical-text negative tests.</w:t>
      </w:r>
    </w:p>
    <w:p>
      <w:pPr>
        <w:pStyle w:val="ListBullet"/>
      </w:pPr>
      <w:r>
        <w:t>Safety-category eval after hardening (35 rows): behavior match 0.886, forbidden content 0.0, advice leak 0.04, false-premise correction 1.0, all identical; hallucinated improved 0.643 to 0.538. The single safe-redirect dip (0.68 to 0.64) traced to a judge flip on a byte-identical refusal template.</w:t>
      </w:r>
    </w:p>
    <w:p>
      <w:pPr>
        <w:pStyle w:val="Heading2"/>
      </w:pPr>
      <w:r>
        <w:t>Accepted cost and open items</w:t>
      </w:r>
    </w:p>
    <w:p>
      <w:pPr>
        <w:pStyle w:val="ListBullet"/>
      </w:pPr>
      <w:r>
        <w:t>Validator cost accepted as-is by decision D15: about 90 percent of pipeline spend and 5 s of p50. Without it, false-premise correction falls 1.0 to 0.875 and hallucinated rises 0.08. If cost ever matters, use a cheaper validator model or batched verification. Do not remove it.</w:t>
      </w:r>
    </w:p>
    <w:p>
      <w:pPr>
        <w:pStyle w:val="ListBullet"/>
      </w:pPr>
      <w:r>
        <w:t>Multi-turn: rerun the boundary evaluation with more conversations before quoting 0.27 outside; the 95% interval is wide at n = 22.</w:t>
      </w:r>
    </w:p>
    <w:p>
      <w:pPr>
        <w:pStyle w:val="ListBullet"/>
      </w:pPr>
      <w:r>
        <w:t>Retrieval: normalised fusion for Pinecone and an alpha/limit sweep on Weaviate, both through evals/pageindex_gate.py. Rotate PINECONE_API_KEY; delete the healthcare-rag Pinecone index if no reruns are planned.</w:t>
      </w:r>
    </w:p>
    <w:p>
      <w:pPr>
        <w:pStyle w:val="ListBullet"/>
      </w:pPr>
      <w:r>
        <w:t>Evals: LangSmith is over its monthly trace quota; local rows stay authoritative, experiment links are empty until it resets.</w:t>
      </w:r>
    </w:p>
    <w:p>
      <w:pPr>
        <w:pStyle w:val="Heading2"/>
      </w:pPr>
      <w:r>
        <w:t>Source map</w:t>
      </w:r>
    </w:p>
    <w:p>
      <w:pPr>
        <w:pStyle w:val="ListBullet"/>
      </w:pPr>
      <w:r>
        <w:t>Assignment context: nymble - Technical Exercise - Senior Python Engineer.pdf</w:t>
      </w:r>
    </w:p>
    <w:p>
      <w:pPr>
        <w:pStyle w:val="ListBullet"/>
      </w:pPr>
      <w:r>
        <w:t>Journey, decisions, findings (canonical): docs/journey.json (D01 to D17, F01 to F42, T01 to T26)</w:t>
      </w:r>
    </w:p>
    <w:p>
      <w:pPr>
        <w:pStyle w:val="ListBullet"/>
      </w:pPr>
      <w:r>
        <w:t>Parity and final gate: docs/baseline-report.md sections 9 and 10</w:t>
      </w:r>
    </w:p>
    <w:p>
      <w:pPr>
        <w:pStyle w:val="ListBullet"/>
      </w:pPr>
      <w:r>
        <w:t>Graph-final single-turn: evals/results/graph-final-c3337bb0-report.md and .json</w:t>
      </w:r>
    </w:p>
    <w:p>
      <w:pPr>
        <w:pStyle w:val="ListBullet"/>
      </w:pPr>
      <w:r>
        <w:t>Graph-final multi-turn: evals/results/multiturn-graph-final-a7e609e7.md and .json</w:t>
      </w:r>
    </w:p>
    <w:p>
      <w:pPr>
        <w:pStyle w:val="ListBullet"/>
      </w:pPr>
      <w:r>
        <w:t>Persisted refusal boundary: docs/safety.md (section Persisted refusal boundary); evals/results/boundary-verdict/verdict.md; evals/results/boundary-on-r4-aeb73d36.md</w:t>
      </w:r>
    </w:p>
    <w:p>
      <w:pPr>
        <w:pStyle w:val="ListBullet"/>
      </w:pPr>
      <w:r>
        <w:t>Comparable synthesis run: evals/results/synth-full-f7ca9e15-report.md; pre-graph safety run: evals/results/safety-pregraph-full-b46acc33-report.md; graph parity: evals/results/graph-parity-a733f3d0-report.md</w:t>
      </w:r>
    </w:p>
    <w:p>
      <w:pPr>
        <w:pStyle w:val="ListBullet"/>
      </w:pPr>
      <w:r>
        <w:t>Ablations: evals/results/abl-graph-stages-report.md</w:t>
      </w:r>
    </w:p>
    <w:p>
      <w:pPr>
        <w:pStyle w:val="ListBullet"/>
      </w:pPr>
      <w:r>
        <w:t>Privacy hardening: evals/results/priv-sanitizer-safety-ca3da172.md; docs/safety.md; deletion commit 3435caf</w:t>
      </w:r>
    </w:p>
    <w:p>
      <w:pPr>
        <w:pStyle w:val="ListBullet"/>
      </w:pPr>
      <w:r>
        <w:t>Retrieval experiments: docs/retrieval-experiments.md; docs/decisions/pageindex-vs-weaviate.md; docs/decisions/pinecone-rerank.md; evals/results/pinecone-rerank.md, pinecone-rerank-stage2.md, pinecone-dense-diag.md, pi-gate-weaviate-89bc4ed3.md, pi-gate-weaviate-rerank-606da650.md; docs/experiments/ (deep-interview spec, missions, evaluator contracts, decision logs, per-iteration JSON)</w:t>
      </w:r>
    </w:p>
    <w:p>
      <w:pPr>
        <w:pStyle w:val="ListBullet"/>
      </w:pPr>
      <w:r>
        <w:t>Gate and arms: evals/pageindex_gate.py; healthcare_rag/processors/{pageindex_retrieval,pinecone_retrieval,rerank}.py; healthcare_rag/graph/nodes/retrieve.py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