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B1B0C"/>
          <w:sz w:val="52"/>
        </w:rPr>
        <w:t>Healthcare RAG findings</w:t>
      </w:r>
    </w:p>
    <w:p>
      <w:r>
        <w:rPr>
          <w:b w:val="0"/>
          <w:i w:val="0"/>
          <w:color w:val="8A4B35"/>
        </w:rPr>
        <w:t>Google Docs import of the visual story | Nymble technical exercise | 2026-08-20</w:t>
      </w:r>
    </w:p>
    <w:p>
      <w:pPr>
        <w:pStyle w:val="Heading1"/>
      </w:pPr>
      <w:r>
        <w:t>Summary</w:t>
      </w:r>
    </w:p>
    <w:p>
      <w:r>
        <w:rPr>
          <w:b w:val="0"/>
          <w:i w:val="0"/>
        </w:rPr>
        <w:t>Status: shipped. The LangGraph StateGraph is the only runtime, the privacy sanitizer runs in process, validator cost is accepted by an explicit decision, a refusal now persists across turns, and three retrieval alternatives were measured and rejected. Weaviate hybrid search stays as inherited.</w:t>
      </w:r>
    </w:p>
    <w:p>
      <w:r>
        <w:rPr>
          <w:b w:val="0"/>
          <w:i w:val="0"/>
        </w:rPr>
        <w:t>Every variant has a stable identifier (baseline-default, migration-luna-terra, rejected-luna-luna, synthesis-capped, safety-gated, graph-parity, graph-final, privacy-hardened, boundary-persisted, retrieval-weaviate, retrieval-pageindex, retrieval-pinecone, retrieval-pinecone-rerank, retrieval-rerank), and each maps to the experiment report it was measured in. The first change, migration-luna-terra, was forced: OpenAI's deprecation page retires the inherited GPT-4o mini and GPT-4o models on 2026-10-23 (journey T07, D01).</w:t>
      </w:r>
    </w:p>
    <w:p>
      <w:r>
        <w:rPr>
          <w:b w:val="0"/>
          <w:i w:val="0"/>
        </w:rPr>
        <w:t>graph-final does not win raw correctness. synthesis-capped does, 0.886 against 0.853. graph-final wins the weighted healthcare decision: best safe-redirect rate (0.68), best behavior match (0.907), 4 percent advice leakage, perfect false-premise correction, zero pipeline errors across 86 cases.</w:t>
      </w:r>
    </w:p>
    <w:p>
      <w:r>
        <w:rPr>
          <w:b w:val="0"/>
          <w:i w:val="0"/>
        </w:rPr>
        <w:t>LangGraph was adopted for three reasons recorded in decision D10: the port had to match the gated pipeline on every metric; its checkpointer carries per-thread conversation memory today and is the seat for long-term memory later; and langgraph dev brings Studio, thread inspection, streaming and cancel/rollback. Two Studio captures from the running server are included in chapter 5.</w:t>
      </w:r>
    </w:p>
    <w:p>
      <w:r>
        <w:rPr>
          <w:b w:val="0"/>
          <w:i w:val="0"/>
        </w:rPr>
        <w:t>The multi-turn boundary is now closed with a caveat: boundary-persisted brought safety drift from 0.409 to 0.273 (median of three judge reruns, bar 0.364) and PII persistence from 0.19 to 0.125, with zero replay-precision violations, n = 22.</w:t>
      </w:r>
    </w:p>
    <w:p>
      <w:r>
        <w:rPr>
          <w:b w:val="0"/>
          <w:i w:val="0"/>
        </w:rPr>
        <w:t>Retrieval was questioned and left alone on evidence: retrieval-pageindex lost the retrieval-only gate (0.609 against 0.681), retrieval-pinecone lost it as configured (0.463 against 0.648; dense-only 0.607 against 0.664), retrieval-rerank gained +0.050 page recall then lost 0.051 correctness in the paired judged stage. The brief's question about what was deliberately left alone (page 1) is answered with those numbers.</w:t>
      </w:r>
    </w:p>
    <w:p>
      <w:pPr>
        <w:pStyle w:val="Heading2"/>
      </w:pPr>
      <w:r>
        <w:t>How to use this file</w:t>
      </w:r>
    </w:p>
    <w:p>
      <w:r>
        <w:rPr>
          <w:b w:val="0"/>
          <w:i w:val="0"/>
        </w:rPr>
        <w:t>The next pages carry the visual story, one chapter per page, as images. The appendix repeats every identifier, intent, metric and source as selectable text. Links to the assignment PDF point at docs/assignment/nymble-technical-exercise.pdf in the repository, with page anchors.</w:t>
      </w:r>
    </w:p>
    <w:p>
      <w:r>
        <w:br w:type="page"/>
      </w:r>
    </w:p>
    <w:p>
      <w:pPr>
        <w:pStyle w:val="Heading1"/>
      </w:pPr>
      <w:r>
        <w:t>Accuracy alone did not decide what to ship.</w:t>
      </w:r>
    </w:p>
    <w:p>
      <w:r>
        <w:rPr>
          <w:b w:val="0"/>
          <w:i/>
          <w:color w:val="8A4B35"/>
        </w:rPr>
        <w:t>Opening statement. Editable findings and source paths are in the appendix.</w:t>
      </w:r>
    </w:p>
    <w:p>
      <w:r>
        <w:drawing>
          <wp:inline xmlns:a="http://schemas.openxmlformats.org/drawingml/2006/main" xmlns:pic="http://schemas.openxmlformats.org/drawingml/2006/picture">
            <wp:extent cx="6309360" cy="4436269"/>
            <wp:docPr id="1" name="Picture 1"/>
            <wp:cNvGraphicFramePr>
              <a:graphicFrameLocks noChangeAspect="1"/>
            </wp:cNvGraphicFramePr>
            <a:graphic>
              <a:graphicData uri="http://schemas.openxmlformats.org/drawingml/2006/picture">
                <pic:pic>
                  <pic:nvPicPr>
                    <pic:cNvPr id="0" name="findings-00-masthead.png"/>
                    <pic:cNvPicPr/>
                  </pic:nvPicPr>
                  <pic:blipFill>
                    <a:blip r:embed="rId9"/>
                    <a:stretch>
                      <a:fillRect/>
                    </a:stretch>
                  </pic:blipFill>
                  <pic:spPr>
                    <a:xfrm>
                      <a:off x="0" y="0"/>
                      <a:ext cx="6309360" cy="4436269"/>
                    </a:xfrm>
                    <a:prstGeom prst="rect"/>
                  </pic:spPr>
                </pic:pic>
              </a:graphicData>
            </a:graphic>
          </wp:inline>
        </w:drawing>
      </w:r>
    </w:p>
    <w:p>
      <w:r>
        <w:br w:type="page"/>
      </w:r>
    </w:p>
    <w:p>
      <w:pPr>
        <w:pStyle w:val="Heading1"/>
      </w:pPr>
      <w:r>
        <w:t>01. Safety was required. Measurement made the judgment defensible.</w:t>
      </w:r>
    </w:p>
    <w:p>
      <w:r>
        <w:rPr>
          <w:b w:val="0"/>
          <w:i/>
          <w:color w:val="8A4B35"/>
        </w:rPr>
        <w:t>Visual chapter 1 of 13. Editable findings and source paths are in the appendix.</w:t>
      </w:r>
    </w:p>
    <w:p>
      <w:r>
        <w:drawing>
          <wp:inline xmlns:a="http://schemas.openxmlformats.org/drawingml/2006/main" xmlns:pic="http://schemas.openxmlformats.org/drawingml/2006/picture">
            <wp:extent cx="6309360" cy="4534852"/>
            <wp:docPr id="2" name="Picture 2"/>
            <wp:cNvGraphicFramePr>
              <a:graphicFrameLocks noChangeAspect="1"/>
            </wp:cNvGraphicFramePr>
            <a:graphic>
              <a:graphicData uri="http://schemas.openxmlformats.org/drawingml/2006/picture">
                <pic:pic>
                  <pic:nvPicPr>
                    <pic:cNvPr id="0" name="findings-01.png"/>
                    <pic:cNvPicPr/>
                  </pic:nvPicPr>
                  <pic:blipFill>
                    <a:blip r:embed="rId10"/>
                    <a:stretch>
                      <a:fillRect/>
                    </a:stretch>
                  </pic:blipFill>
                  <pic:spPr>
                    <a:xfrm>
                      <a:off x="0" y="0"/>
                      <a:ext cx="6309360" cy="4534852"/>
                    </a:xfrm>
                    <a:prstGeom prst="rect"/>
                  </pic:spPr>
                </pic:pic>
              </a:graphicData>
            </a:graphic>
          </wp:inline>
        </w:drawing>
      </w:r>
    </w:p>
    <w:p>
      <w:r>
        <w:br w:type="page"/>
      </w:r>
    </w:p>
    <w:p>
      <w:pPr>
        <w:pStyle w:val="Heading1"/>
      </w:pPr>
      <w:r>
        <w:t>02. The demo could answer drug questions. It could not reliably decide when not to.</w:t>
      </w:r>
    </w:p>
    <w:p>
      <w:r>
        <w:rPr>
          <w:b w:val="0"/>
          <w:i/>
          <w:color w:val="8A4B35"/>
        </w:rPr>
        <w:t>Visual chapter 2 of 13. Editable findings and source paths are in the appendix.</w:t>
      </w:r>
    </w:p>
    <w:p>
      <w:r>
        <w:drawing>
          <wp:inline xmlns:a="http://schemas.openxmlformats.org/drawingml/2006/main" xmlns:pic="http://schemas.openxmlformats.org/drawingml/2006/picture">
            <wp:extent cx="6309360" cy="3765899"/>
            <wp:docPr id="3" name="Picture 3"/>
            <wp:cNvGraphicFramePr>
              <a:graphicFrameLocks noChangeAspect="1"/>
            </wp:cNvGraphicFramePr>
            <a:graphic>
              <a:graphicData uri="http://schemas.openxmlformats.org/drawingml/2006/picture">
                <pic:pic>
                  <pic:nvPicPr>
                    <pic:cNvPr id="0" name="findings-02.png"/>
                    <pic:cNvPicPr/>
                  </pic:nvPicPr>
                  <pic:blipFill>
                    <a:blip r:embed="rId11"/>
                    <a:stretch>
                      <a:fillRect/>
                    </a:stretch>
                  </pic:blipFill>
                  <pic:spPr>
                    <a:xfrm>
                      <a:off x="0" y="0"/>
                      <a:ext cx="6309360" cy="3765899"/>
                    </a:xfrm>
                    <a:prstGeom prst="rect"/>
                  </pic:spPr>
                </pic:pic>
              </a:graphicData>
            </a:graphic>
          </wp:inline>
        </w:drawing>
      </w:r>
    </w:p>
    <w:p>
      <w:r>
        <w:br w:type="page"/>
      </w:r>
    </w:p>
    <w:p>
      <w:pPr>
        <w:pStyle w:val="Heading1"/>
      </w:pPr>
      <w:r>
        <w:t>03. Each variant answered a different engineering question.</w:t>
      </w:r>
    </w:p>
    <w:p>
      <w:r>
        <w:rPr>
          <w:b w:val="0"/>
          <w:i/>
          <w:color w:val="8A4B35"/>
        </w:rPr>
        <w:t>Visual chapter 3 of 13. Editable findings and source paths are in the appendix.</w:t>
      </w:r>
    </w:p>
    <w:p>
      <w:r>
        <w:drawing>
          <wp:inline xmlns:a="http://schemas.openxmlformats.org/drawingml/2006/main" xmlns:pic="http://schemas.openxmlformats.org/drawingml/2006/picture">
            <wp:extent cx="6309360" cy="10351294"/>
            <wp:docPr id="4" name="Picture 4"/>
            <wp:cNvGraphicFramePr>
              <a:graphicFrameLocks noChangeAspect="1"/>
            </wp:cNvGraphicFramePr>
            <a:graphic>
              <a:graphicData uri="http://schemas.openxmlformats.org/drawingml/2006/picture">
                <pic:pic>
                  <pic:nvPicPr>
                    <pic:cNvPr id="0" name="findings-03.png"/>
                    <pic:cNvPicPr/>
                  </pic:nvPicPr>
                  <pic:blipFill>
                    <a:blip r:embed="rId12"/>
                    <a:stretch>
                      <a:fillRect/>
                    </a:stretch>
                  </pic:blipFill>
                  <pic:spPr>
                    <a:xfrm>
                      <a:off x="0" y="0"/>
                      <a:ext cx="6309360" cy="10351294"/>
                    </a:xfrm>
                    <a:prstGeom prst="rect"/>
                  </pic:spPr>
                </pic:pic>
              </a:graphicData>
            </a:graphic>
          </wp:inline>
        </w:drawing>
      </w:r>
    </w:p>
    <w:p>
      <w:r>
        <w:br w:type="page"/>
      </w:r>
    </w:p>
    <w:p>
      <w:pPr>
        <w:pStyle w:val="Heading1"/>
      </w:pPr>
      <w:r>
        <w:t>04. The raw accuracy winner failed the healthcare test.</w:t>
      </w:r>
    </w:p>
    <w:p>
      <w:r>
        <w:rPr>
          <w:b w:val="0"/>
          <w:i/>
          <w:color w:val="8A4B35"/>
        </w:rPr>
        <w:t>Visual chapter 4 of 13. Editable findings and source paths are in the appendix.</w:t>
      </w:r>
    </w:p>
    <w:p>
      <w:r>
        <w:drawing>
          <wp:inline xmlns:a="http://schemas.openxmlformats.org/drawingml/2006/main" xmlns:pic="http://schemas.openxmlformats.org/drawingml/2006/picture">
            <wp:extent cx="6309360" cy="4189809"/>
            <wp:docPr id="5" name="Picture 5"/>
            <wp:cNvGraphicFramePr>
              <a:graphicFrameLocks noChangeAspect="1"/>
            </wp:cNvGraphicFramePr>
            <a:graphic>
              <a:graphicData uri="http://schemas.openxmlformats.org/drawingml/2006/picture">
                <pic:pic>
                  <pic:nvPicPr>
                    <pic:cNvPr id="0" name="findings-04.png"/>
                    <pic:cNvPicPr/>
                  </pic:nvPicPr>
                  <pic:blipFill>
                    <a:blip r:embed="rId13"/>
                    <a:stretch>
                      <a:fillRect/>
                    </a:stretch>
                  </pic:blipFill>
                  <pic:spPr>
                    <a:xfrm>
                      <a:off x="0" y="0"/>
                      <a:ext cx="6309360" cy="4189809"/>
                    </a:xfrm>
                    <a:prstGeom prst="rect"/>
                  </pic:spPr>
                </pic:pic>
              </a:graphicData>
            </a:graphic>
          </wp:inline>
        </w:drawing>
      </w:r>
    </w:p>
    <w:p>
      <w:r>
        <w:br w:type="page"/>
      </w:r>
    </w:p>
    <w:p>
      <w:pPr>
        <w:pStyle w:val="Heading1"/>
      </w:pPr>
      <w:r>
        <w:t>05. A safety-first graph, with bounded work and one synthesized answer.</w:t>
      </w:r>
    </w:p>
    <w:p>
      <w:r>
        <w:rPr>
          <w:b w:val="0"/>
          <w:i/>
          <w:color w:val="8A4B35"/>
        </w:rPr>
        <w:t>Visual chapter 5 of 13. Editable findings and source paths are in the appendix.</w:t>
      </w:r>
    </w:p>
    <w:p>
      <w:r>
        <w:drawing>
          <wp:inline xmlns:a="http://schemas.openxmlformats.org/drawingml/2006/main" xmlns:pic="http://schemas.openxmlformats.org/drawingml/2006/picture">
            <wp:extent cx="6309360" cy="10154126"/>
            <wp:docPr id="6" name="Picture 6"/>
            <wp:cNvGraphicFramePr>
              <a:graphicFrameLocks noChangeAspect="1"/>
            </wp:cNvGraphicFramePr>
            <a:graphic>
              <a:graphicData uri="http://schemas.openxmlformats.org/drawingml/2006/picture">
                <pic:pic>
                  <pic:nvPicPr>
                    <pic:cNvPr id="0" name="findings-05.png"/>
                    <pic:cNvPicPr/>
                  </pic:nvPicPr>
                  <pic:blipFill>
                    <a:blip r:embed="rId14"/>
                    <a:stretch>
                      <a:fillRect/>
                    </a:stretch>
                  </pic:blipFill>
                  <pic:spPr>
                    <a:xfrm>
                      <a:off x="0" y="0"/>
                      <a:ext cx="6309360" cy="10154126"/>
                    </a:xfrm>
                    <a:prstGeom prst="rect"/>
                  </pic:spPr>
                </pic:pic>
              </a:graphicData>
            </a:graphic>
          </wp:inline>
        </w:drawing>
      </w:r>
    </w:p>
    <w:p>
      <w:r>
        <w:br w:type="page"/>
      </w:r>
    </w:p>
    <w:p>
      <w:pPr>
        <w:pStyle w:val="Heading1"/>
      </w:pPr>
      <w:r>
        <w:t>06. graph-final is the strongest single-turn deployment candidate.</w:t>
      </w:r>
    </w:p>
    <w:p>
      <w:r>
        <w:rPr>
          <w:b w:val="0"/>
          <w:i/>
          <w:color w:val="8A4B35"/>
        </w:rPr>
        <w:t>Visual chapter 6 of 13. Editable findings and source paths are in the appendix.</w:t>
      </w:r>
    </w:p>
    <w:p>
      <w:r>
        <w:drawing>
          <wp:inline xmlns:a="http://schemas.openxmlformats.org/drawingml/2006/main" xmlns:pic="http://schemas.openxmlformats.org/drawingml/2006/picture">
            <wp:extent cx="6309360" cy="5944600"/>
            <wp:docPr id="7" name="Picture 7"/>
            <wp:cNvGraphicFramePr>
              <a:graphicFrameLocks noChangeAspect="1"/>
            </wp:cNvGraphicFramePr>
            <a:graphic>
              <a:graphicData uri="http://schemas.openxmlformats.org/drawingml/2006/picture">
                <pic:pic>
                  <pic:nvPicPr>
                    <pic:cNvPr id="0" name="findings-06.png"/>
                    <pic:cNvPicPr/>
                  </pic:nvPicPr>
                  <pic:blipFill>
                    <a:blip r:embed="rId15"/>
                    <a:stretch>
                      <a:fillRect/>
                    </a:stretch>
                  </pic:blipFill>
                  <pic:spPr>
                    <a:xfrm>
                      <a:off x="0" y="0"/>
                      <a:ext cx="6309360" cy="5944600"/>
                    </a:xfrm>
                    <a:prstGeom prst="rect"/>
                  </pic:spPr>
                </pic:pic>
              </a:graphicData>
            </a:graphic>
          </wp:inline>
        </w:drawing>
      </w:r>
    </w:p>
    <w:p>
      <w:r>
        <w:br w:type="page"/>
      </w:r>
    </w:p>
    <w:p>
      <w:pPr>
        <w:pStyle w:val="Heading1"/>
      </w:pPr>
      <w:r>
        <w:t>07. The document evaluator was the largest quality lever. Validation was the costly guardrail.</w:t>
      </w:r>
    </w:p>
    <w:p>
      <w:r>
        <w:rPr>
          <w:b w:val="0"/>
          <w:i/>
          <w:color w:val="8A4B35"/>
        </w:rPr>
        <w:t>Visual chapter 7 of 13. Editable findings and source paths are in the appendix.</w:t>
      </w:r>
    </w:p>
    <w:p>
      <w:r>
        <w:drawing>
          <wp:inline xmlns:a="http://schemas.openxmlformats.org/drawingml/2006/main" xmlns:pic="http://schemas.openxmlformats.org/drawingml/2006/picture">
            <wp:extent cx="6309360" cy="4865108"/>
            <wp:docPr id="8" name="Picture 8"/>
            <wp:cNvGraphicFramePr>
              <a:graphicFrameLocks noChangeAspect="1"/>
            </wp:cNvGraphicFramePr>
            <a:graphic>
              <a:graphicData uri="http://schemas.openxmlformats.org/drawingml/2006/picture">
                <pic:pic>
                  <pic:nvPicPr>
                    <pic:cNvPr id="0" name="findings-07.png"/>
                    <pic:cNvPicPr/>
                  </pic:nvPicPr>
                  <pic:blipFill>
                    <a:blip r:embed="rId16"/>
                    <a:stretch>
                      <a:fillRect/>
                    </a:stretch>
                  </pic:blipFill>
                  <pic:spPr>
                    <a:xfrm>
                      <a:off x="0" y="0"/>
                      <a:ext cx="6309360" cy="4865108"/>
                    </a:xfrm>
                    <a:prstGeom prst="rect"/>
                  </pic:spPr>
                </pic:pic>
              </a:graphicData>
            </a:graphic>
          </wp:inline>
        </w:drawing>
      </w:r>
    </w:p>
    <w:p>
      <w:r>
        <w:br w:type="page"/>
      </w:r>
    </w:p>
    <w:p>
      <w:pPr>
        <w:pStyle w:val="Heading1"/>
      </w:pPr>
      <w:r>
        <w:t>08. A refusal now persists across turns. Safety drift fell from 0.41 to 0.27.</w:t>
      </w:r>
    </w:p>
    <w:p>
      <w:r>
        <w:rPr>
          <w:b w:val="0"/>
          <w:i/>
          <w:color w:val="8A4B35"/>
        </w:rPr>
        <w:t>Visual chapter 8 of 13. Editable findings and source paths are in the appendix.</w:t>
      </w:r>
    </w:p>
    <w:p>
      <w:r>
        <w:drawing>
          <wp:inline xmlns:a="http://schemas.openxmlformats.org/drawingml/2006/main" xmlns:pic="http://schemas.openxmlformats.org/drawingml/2006/picture">
            <wp:extent cx="6309360" cy="5801654"/>
            <wp:docPr id="9" name="Picture 9"/>
            <wp:cNvGraphicFramePr>
              <a:graphicFrameLocks noChangeAspect="1"/>
            </wp:cNvGraphicFramePr>
            <a:graphic>
              <a:graphicData uri="http://schemas.openxmlformats.org/drawingml/2006/picture">
                <pic:pic>
                  <pic:nvPicPr>
                    <pic:cNvPr id="0" name="findings-08.png"/>
                    <pic:cNvPicPr/>
                  </pic:nvPicPr>
                  <pic:blipFill>
                    <a:blip r:embed="rId17"/>
                    <a:stretch>
                      <a:fillRect/>
                    </a:stretch>
                  </pic:blipFill>
                  <pic:spPr>
                    <a:xfrm>
                      <a:off x="0" y="0"/>
                      <a:ext cx="6309360" cy="5801654"/>
                    </a:xfrm>
                    <a:prstGeom prst="rect"/>
                  </pic:spPr>
                </pic:pic>
              </a:graphicData>
            </a:graphic>
          </wp:inline>
        </w:drawing>
      </w:r>
    </w:p>
    <w:p>
      <w:r>
        <w:br w:type="page"/>
      </w:r>
    </w:p>
    <w:p>
      <w:pPr>
        <w:pStyle w:val="Heading1"/>
      </w:pPr>
      <w:r>
        <w:t>09. Sealed, audited four ways, with one exception on record.</w:t>
      </w:r>
    </w:p>
    <w:p>
      <w:r>
        <w:rPr>
          <w:b w:val="0"/>
          <w:i/>
          <w:color w:val="8A4B35"/>
        </w:rPr>
        <w:t>Visual chapter 9 of 13. Editable findings and source paths are in the appendix.</w:t>
      </w:r>
    </w:p>
    <w:p>
      <w:r>
        <w:drawing>
          <wp:inline xmlns:a="http://schemas.openxmlformats.org/drawingml/2006/main" xmlns:pic="http://schemas.openxmlformats.org/drawingml/2006/picture">
            <wp:extent cx="6309360" cy="6191059"/>
            <wp:docPr id="10" name="Picture 10"/>
            <wp:cNvGraphicFramePr>
              <a:graphicFrameLocks noChangeAspect="1"/>
            </wp:cNvGraphicFramePr>
            <a:graphic>
              <a:graphicData uri="http://schemas.openxmlformats.org/drawingml/2006/picture">
                <pic:pic>
                  <pic:nvPicPr>
                    <pic:cNvPr id="0" name="findings-09.png"/>
                    <pic:cNvPicPr/>
                  </pic:nvPicPr>
                  <pic:blipFill>
                    <a:blip r:embed="rId18"/>
                    <a:stretch>
                      <a:fillRect/>
                    </a:stretch>
                  </pic:blipFill>
                  <pic:spPr>
                    <a:xfrm>
                      <a:off x="0" y="0"/>
                      <a:ext cx="6309360" cy="6191059"/>
                    </a:xfrm>
                    <a:prstGeom prst="rect"/>
                  </pic:spPr>
                </pic:pic>
              </a:graphicData>
            </a:graphic>
          </wp:inline>
        </w:drawing>
      </w:r>
    </w:p>
    <w:p>
      <w:r>
        <w:br w:type="page"/>
      </w:r>
    </w:p>
    <w:p>
      <w:pPr>
        <w:pStyle w:val="Heading1"/>
      </w:pPr>
      <w:r>
        <w:t>10. Legacy deleted in one commit. Privacy became process-owned.</w:t>
      </w:r>
    </w:p>
    <w:p>
      <w:r>
        <w:rPr>
          <w:b w:val="0"/>
          <w:i/>
          <w:color w:val="8A4B35"/>
        </w:rPr>
        <w:t>Visual chapter 10 of 13. Editable findings and source paths are in the appendix.</w:t>
      </w:r>
    </w:p>
    <w:p>
      <w:r>
        <w:drawing>
          <wp:inline xmlns:a="http://schemas.openxmlformats.org/drawingml/2006/main" xmlns:pic="http://schemas.openxmlformats.org/drawingml/2006/picture">
            <wp:extent cx="6309360" cy="9439394"/>
            <wp:docPr id="11" name="Picture 11"/>
            <wp:cNvGraphicFramePr>
              <a:graphicFrameLocks noChangeAspect="1"/>
            </wp:cNvGraphicFramePr>
            <a:graphic>
              <a:graphicData uri="http://schemas.openxmlformats.org/drawingml/2006/picture">
                <pic:pic>
                  <pic:nvPicPr>
                    <pic:cNvPr id="0" name="findings-10.png"/>
                    <pic:cNvPicPr/>
                  </pic:nvPicPr>
                  <pic:blipFill>
                    <a:blip r:embed="rId19"/>
                    <a:stretch>
                      <a:fillRect/>
                    </a:stretch>
                  </pic:blipFill>
                  <pic:spPr>
                    <a:xfrm>
                      <a:off x="0" y="0"/>
                      <a:ext cx="6309360" cy="9439394"/>
                    </a:xfrm>
                    <a:prstGeom prst="rect"/>
                  </pic:spPr>
                </pic:pic>
              </a:graphicData>
            </a:graphic>
          </wp:inline>
        </w:drawing>
      </w:r>
    </w:p>
    <w:p>
      <w:r>
        <w:br w:type="page"/>
      </w:r>
    </w:p>
    <w:p>
      <w:pPr>
        <w:pStyle w:val="Heading1"/>
      </w:pPr>
      <w:r>
        <w:t>11. Three retrieval alternatives went through the same judge. All three lost.</w:t>
      </w:r>
    </w:p>
    <w:p>
      <w:r>
        <w:rPr>
          <w:b w:val="0"/>
          <w:i/>
          <w:color w:val="8A4B35"/>
        </w:rPr>
        <w:t>Visual chapter 11 of 13. Editable findings and source paths are in the appendix.</w:t>
      </w:r>
    </w:p>
    <w:p>
      <w:r>
        <w:drawing>
          <wp:inline xmlns:a="http://schemas.openxmlformats.org/drawingml/2006/main" xmlns:pic="http://schemas.openxmlformats.org/drawingml/2006/picture">
            <wp:extent cx="6309360" cy="10578036"/>
            <wp:docPr id="12" name="Picture 12"/>
            <wp:cNvGraphicFramePr>
              <a:graphicFrameLocks noChangeAspect="1"/>
            </wp:cNvGraphicFramePr>
            <a:graphic>
              <a:graphicData uri="http://schemas.openxmlformats.org/drawingml/2006/picture">
                <pic:pic>
                  <pic:nvPicPr>
                    <pic:cNvPr id="0" name="findings-11.png"/>
                    <pic:cNvPicPr/>
                  </pic:nvPicPr>
                  <pic:blipFill>
                    <a:blip r:embed="rId20"/>
                    <a:stretch>
                      <a:fillRect/>
                    </a:stretch>
                  </pic:blipFill>
                  <pic:spPr>
                    <a:xfrm>
                      <a:off x="0" y="0"/>
                      <a:ext cx="6309360" cy="10578036"/>
                    </a:xfrm>
                    <a:prstGeom prst="rect"/>
                  </pic:spPr>
                </pic:pic>
              </a:graphicData>
            </a:graphic>
          </wp:inline>
        </w:drawing>
      </w:r>
    </w:p>
    <w:p>
      <w:r>
        <w:br w:type="page"/>
      </w:r>
    </w:p>
    <w:p>
      <w:pPr>
        <w:pStyle w:val="Heading1"/>
      </w:pPr>
      <w:r>
        <w:t>12. One runtime, privacy scrubbed in process, a boundary that holds, retrieval left alone on evidence.</w:t>
      </w:r>
    </w:p>
    <w:p>
      <w:r>
        <w:rPr>
          <w:b w:val="0"/>
          <w:i/>
          <w:color w:val="8A4B35"/>
        </w:rPr>
        <w:t>Visual chapter 12 of 13. Editable findings and source paths are in the appendix.</w:t>
      </w:r>
    </w:p>
    <w:p>
      <w:r>
        <w:drawing>
          <wp:inline xmlns:a="http://schemas.openxmlformats.org/drawingml/2006/main" xmlns:pic="http://schemas.openxmlformats.org/drawingml/2006/picture">
            <wp:extent cx="6309360" cy="4865108"/>
            <wp:docPr id="13" name="Picture 13"/>
            <wp:cNvGraphicFramePr>
              <a:graphicFrameLocks noChangeAspect="1"/>
            </wp:cNvGraphicFramePr>
            <a:graphic>
              <a:graphicData uri="http://schemas.openxmlformats.org/drawingml/2006/picture">
                <pic:pic>
                  <pic:nvPicPr>
                    <pic:cNvPr id="0" name="findings-12.png"/>
                    <pic:cNvPicPr/>
                  </pic:nvPicPr>
                  <pic:blipFill>
                    <a:blip r:embed="rId21"/>
                    <a:stretch>
                      <a:fillRect/>
                    </a:stretch>
                  </pic:blipFill>
                  <pic:spPr>
                    <a:xfrm>
                      <a:off x="0" y="0"/>
                      <a:ext cx="6309360" cy="4865108"/>
                    </a:xfrm>
                    <a:prstGeom prst="rect"/>
                  </pic:spPr>
                </pic:pic>
              </a:graphicData>
            </a:graphic>
          </wp:inline>
        </w:drawing>
      </w:r>
    </w:p>
    <w:p>
      <w:r>
        <w:br w:type="page"/>
      </w:r>
    </w:p>
    <w:p>
      <w:pPr>
        <w:pStyle w:val="Heading1"/>
      </w:pPr>
      <w:r>
        <w:t>Every claim maps to a committed report or runtime source.</w:t>
      </w:r>
    </w:p>
    <w:p>
      <w:r>
        <w:rPr>
          <w:b w:val="0"/>
          <w:i/>
          <w:color w:val="8A4B35"/>
        </w:rPr>
        <w:t>Visual chapter 13 of 13. Editable findings and source paths are in the appendix.</w:t>
      </w:r>
    </w:p>
    <w:p>
      <w:r>
        <w:drawing>
          <wp:inline xmlns:a="http://schemas.openxmlformats.org/drawingml/2006/main" xmlns:pic="http://schemas.openxmlformats.org/drawingml/2006/picture">
            <wp:extent cx="6309360" cy="5525619"/>
            <wp:docPr id="14" name="Picture 14"/>
            <wp:cNvGraphicFramePr>
              <a:graphicFrameLocks noChangeAspect="1"/>
            </wp:cNvGraphicFramePr>
            <a:graphic>
              <a:graphicData uri="http://schemas.openxmlformats.org/drawingml/2006/picture">
                <pic:pic>
                  <pic:nvPicPr>
                    <pic:cNvPr id="0" name="findings-13-sources.png"/>
                    <pic:cNvPicPr/>
                  </pic:nvPicPr>
                  <pic:blipFill>
                    <a:blip r:embed="rId22"/>
                    <a:stretch>
                      <a:fillRect/>
                    </a:stretch>
                  </pic:blipFill>
                  <pic:spPr>
                    <a:xfrm>
                      <a:off x="0" y="0"/>
                      <a:ext cx="6309360" cy="5525619"/>
                    </a:xfrm>
                    <a:prstGeom prst="rect"/>
                  </pic:spPr>
                </pic:pic>
              </a:graphicData>
            </a:graphic>
          </wp:inline>
        </w:drawing>
      </w:r>
    </w:p>
    <w:p>
      <w:r>
        <w:br w:type="page"/>
      </w:r>
    </w:p>
    <w:p>
      <w:pPr>
        <w:pStyle w:val="Heading1"/>
      </w:pPr>
      <w:r>
        <w:t>LangGraph Studio captures (developer experience evidence)</w:t>
      </w:r>
    </w:p>
    <w:p>
      <w:r>
        <w:rPr>
          <w:b w:val="0"/>
          <w:i w:val="0"/>
        </w:rPr>
        <w:t>Both captured 2026-08-20 from langgraph dev (langgraph-api 0.8.7) on 127.0.0.1:2024 with LangSmith Studio pointed at it.</w:t>
      </w:r>
    </w:p>
    <w:p>
      <w:r>
        <w:drawing>
          <wp:inline xmlns:a="http://schemas.openxmlformats.org/drawingml/2006/main" xmlns:pic="http://schemas.openxmlformats.org/drawingml/2006/picture">
            <wp:extent cx="6309360" cy="4558513"/>
            <wp:docPr id="15" name="Picture 15"/>
            <wp:cNvGraphicFramePr>
              <a:graphicFrameLocks noChangeAspect="1"/>
            </wp:cNvGraphicFramePr>
            <a:graphic>
              <a:graphicData uri="http://schemas.openxmlformats.org/drawingml/2006/picture">
                <pic:pic>
                  <pic:nvPicPr>
                    <pic:cNvPr id="0" name="studio-graph.png"/>
                    <pic:cNvPicPr/>
                  </pic:nvPicPr>
                  <pic:blipFill>
                    <a:blip r:embed="rId23"/>
                    <a:stretch>
                      <a:fillRect/>
                    </a:stretch>
                  </pic:blipFill>
                  <pic:spPr>
                    <a:xfrm>
                      <a:off x="0" y="0"/>
                      <a:ext cx="6309360" cy="4558513"/>
                    </a:xfrm>
                    <a:prstGeom prst="rect"/>
                  </pic:spPr>
                </pic:pic>
              </a:graphicData>
            </a:graphic>
          </wp:inline>
        </w:drawing>
      </w:r>
    </w:p>
    <w:p>
      <w:r>
        <w:rPr>
          <w:b w:val="0"/>
          <w:i/>
          <w:color w:val="8A4B35"/>
        </w:rPr>
        <w:t>The healthcare_rag StateGraph as Studio draws it. Dashed edges are conditional routes; each is a real target because routers declare Literal return types and nodes that both update state and route return Command[Literal[...]].</w:t>
      </w:r>
    </w:p>
    <w:p>
      <w:r>
        <w:drawing>
          <wp:inline xmlns:a="http://schemas.openxmlformats.org/drawingml/2006/main" xmlns:pic="http://schemas.openxmlformats.org/drawingml/2006/picture">
            <wp:extent cx="6309360" cy="4558513"/>
            <wp:docPr id="16" name="Picture 16"/>
            <wp:cNvGraphicFramePr>
              <a:graphicFrameLocks noChangeAspect="1"/>
            </wp:cNvGraphicFramePr>
            <a:graphic>
              <a:graphicData uri="http://schemas.openxmlformats.org/drawingml/2006/picture">
                <pic:pic>
                  <pic:nvPicPr>
                    <pic:cNvPr id="0" name="studio-thread.png"/>
                    <pic:cNvPicPr/>
                  </pic:nvPicPr>
                  <pic:blipFill>
                    <a:blip r:embed="rId24"/>
                    <a:stretch>
                      <a:fillRect/>
                    </a:stretch>
                  </pic:blipFill>
                  <pic:spPr>
                    <a:xfrm>
                      <a:off x="0" y="0"/>
                      <a:ext cx="6309360" cy="4558513"/>
                    </a:xfrm>
                    <a:prstGeom prst="rect"/>
                  </pic:spPr>
                </pic:pic>
              </a:graphicData>
            </a:graphic>
          </wp:inline>
        </w:drawing>
      </w:r>
    </w:p>
    <w:p>
      <w:r>
        <w:rPr>
          <w:b w:val="0"/>
          <w:i/>
          <w:color w:val="8A4B35"/>
        </w:rPr>
        <w:t>One run submitted from Studio (a metformin dosing question): the parent query plus two sub-queries fan out to retrieve_documents, one gap-fill round, one generation, validation, follow-ups, finalize with the cited answer in state. 16 seconds end to end.</w:t>
      </w:r>
    </w:p>
    <w:p>
      <w:r>
        <w:br w:type="page"/>
      </w:r>
    </w:p>
    <w:p>
      <w:pPr>
        <w:pStyle w:val="Heading1"/>
      </w:pPr>
      <w:r>
        <w:t>Editable evidence appendix</w:t>
      </w:r>
    </w:p>
    <w:p>
      <w:pPr>
        <w:pStyle w:val="Heading2"/>
      </w:pPr>
      <w:r>
        <w:t>Variant identifiers, intent and evidence</w:t>
      </w:r>
    </w:p>
    <w:tbl>
      <w:tblPr>
        <w:tblStyle w:val="LightGrid-Accent2"/>
        <w:tblW w:type="auto" w:w="0"/>
        <w:tblLook w:firstColumn="1" w:firstRow="1" w:lastColumn="0" w:lastRow="0" w:noHBand="0" w:noVBand="1" w:val="04A0"/>
      </w:tblPr>
      <w:tblGrid>
        <w:gridCol w:w="2484"/>
        <w:gridCol w:w="2484"/>
        <w:gridCol w:w="2484"/>
        <w:gridCol w:w="2484"/>
      </w:tblGrid>
      <w:tr>
        <w:tc>
          <w:tcPr>
            <w:tcW w:type="dxa" w:w="2484"/>
          </w:tcPr>
          <w:p>
            <w:r>
              <w:rPr>
                <w:b/>
              </w:rPr>
              <w:t>Identifier</w:t>
            </w:r>
          </w:p>
        </w:tc>
        <w:tc>
          <w:tcPr>
            <w:tcW w:type="dxa" w:w="2484"/>
          </w:tcPr>
          <w:p>
            <w:r>
              <w:rPr>
                <w:b/>
              </w:rPr>
              <w:t>Experiment report(s)</w:t>
            </w:r>
          </w:p>
        </w:tc>
        <w:tc>
          <w:tcPr>
            <w:tcW w:type="dxa" w:w="2484"/>
          </w:tcPr>
          <w:p>
            <w:r>
              <w:rPr>
                <w:b/>
              </w:rPr>
              <w:t>Intent</w:t>
            </w:r>
          </w:p>
        </w:tc>
        <w:tc>
          <w:tcPr>
            <w:tcW w:type="dxa" w:w="2484"/>
          </w:tcPr>
          <w:p>
            <w:r>
              <w:rPr>
                <w:b/>
              </w:rPr>
              <w:t>Outcome</w:t>
            </w:r>
          </w:p>
        </w:tc>
      </w:tr>
      <w:tr>
        <w:tc>
          <w:tcPr>
            <w:tcW w:type="dxa" w:w="2484"/>
          </w:tcPr>
          <w:p>
            <w:r>
              <w:t>baseline-default</w:t>
            </w:r>
          </w:p>
        </w:tc>
        <w:tc>
          <w:tcPr>
            <w:tcW w:type="dxa" w:w="2484"/>
          </w:tcPr>
          <w:p>
            <w:r>
              <w:t>baseline-gpt4o-mini-25edbd33; baseline-holdout-8a715257</w:t>
            </w:r>
          </w:p>
        </w:tc>
        <w:tc>
          <w:tcPr>
            <w:tcW w:type="dxa" w:w="2484"/>
          </w:tcPr>
          <w:p>
            <w:r>
              <w:t>Measure the inherited system before touching it.</w:t>
            </w:r>
          </w:p>
        </w:tc>
        <w:tc>
          <w:tcPr>
            <w:tcW w:type="dxa" w:w="2484"/>
          </w:tcPr>
          <w:p>
            <w:r>
              <w:t>Correctness 0.75, safe redirect 0.00. Working demo, unsafe boundary.</w:t>
            </w:r>
          </w:p>
        </w:tc>
      </w:tr>
      <w:tr>
        <w:tc>
          <w:tcPr>
            <w:tcW w:type="dxa" w:w="2484"/>
          </w:tcPr>
          <w:p>
            <w:r>
              <w:t>migration-luna-terra</w:t>
            </w:r>
          </w:p>
        </w:tc>
        <w:tc>
          <w:tcPr>
            <w:tcW w:type="dxa" w:w="2484"/>
          </w:tcPr>
          <w:p>
            <w:r>
              <w:t>luna-terra-full-93db3592</w:t>
            </w:r>
          </w:p>
        </w:tc>
        <w:tc>
          <w:tcPr>
            <w:tcW w:type="dxa" w:w="2484"/>
          </w:tcPr>
          <w:p>
            <w:r>
              <w:t>Forced: OpenAI's deprecation page (read 2026-08-18) retires the 4o, 4.1 and o-series families on 2026-10-23 and maps them to GPT-5.6 (journey T07, decision D01).</w:t>
            </w:r>
          </w:p>
        </w:tc>
        <w:tc>
          <w:tcPr>
            <w:tcW w:type="dxa" w:w="2484"/>
          </w:tcPr>
          <w:p>
            <w:r>
              <w:t>Some holdout gains; aggressive decomposition multiplied calls.</w:t>
            </w:r>
          </w:p>
        </w:tc>
      </w:tr>
      <w:tr>
        <w:tc>
          <w:tcPr>
            <w:tcW w:type="dxa" w:w="2484"/>
          </w:tcPr>
          <w:p>
            <w:r>
              <w:t>rejected-luna-luna</w:t>
            </w:r>
          </w:p>
        </w:tc>
        <w:tc>
          <w:tcPr>
            <w:tcW w:type="dxa" w:w="2484"/>
          </w:tcPr>
          <w:p>
            <w:r>
              <w:t>luna-luna-c3717231</w:t>
            </w:r>
          </w:p>
        </w:tc>
        <w:tc>
          <w:tcPr>
            <w:tcW w:type="dxa" w:w="2484"/>
          </w:tcPr>
          <w:p>
            <w:r>
              <w:t>Test whether the cheaper model could also validate, to cut the bill.</w:t>
            </w:r>
          </w:p>
        </w:tc>
        <w:tc>
          <w:tcPr>
            <w:tcW w:type="dxa" w:w="2484"/>
          </w:tcPr>
          <w:p>
            <w:r>
              <w:t>Correctness fell to 0.55. Rejected.</w:t>
            </w:r>
          </w:p>
        </w:tc>
      </w:tr>
      <w:tr>
        <w:tc>
          <w:tcPr>
            <w:tcW w:type="dxa" w:w="2484"/>
          </w:tcPr>
          <w:p>
            <w:r>
              <w:t>synthesis-capped</w:t>
            </w:r>
          </w:p>
        </w:tc>
        <w:tc>
          <w:tcPr>
            <w:tcW w:type="dxa" w:w="2484"/>
          </w:tcPr>
          <w:p>
            <w:r>
              <w:t>synth-full-f7ca9e15</w:t>
            </w:r>
          </w:p>
        </w:tc>
        <w:tc>
          <w:tcPr>
            <w:tcW w:type="dxa" w:w="2484"/>
          </w:tcPr>
          <w:p>
            <w:r>
              <w:t>Stop the runaway fan-out: cap subqueries at three, gather evidence only, answer the original question once.</w:t>
            </w:r>
          </w:p>
        </w:tc>
        <w:tc>
          <w:tcPr>
            <w:tcW w:type="dxa" w:w="2484"/>
          </w:tcPr>
          <w:p>
            <w:r>
              <w:t>Correctness 0.886, the headline best; refusal safety still weak.</w:t>
            </w:r>
          </w:p>
        </w:tc>
      </w:tr>
      <w:tr>
        <w:tc>
          <w:tcPr>
            <w:tcW w:type="dxa" w:w="2484"/>
          </w:tcPr>
          <w:p>
            <w:r>
              <w:t>safety-gated</w:t>
            </w:r>
          </w:p>
        </w:tc>
        <w:tc>
          <w:tcPr>
            <w:tcW w:type="dxa" w:w="2484"/>
          </w:tcPr>
          <w:p>
            <w:r>
              <w:t>safety-pregraph-full-b46acc33</w:t>
            </w:r>
          </w:p>
        </w:tc>
        <w:tc>
          <w:tcPr>
            <w:tcW w:type="dxa" w:w="2484"/>
          </w:tcPr>
          <w:p>
            <w:r>
              <w:t>Direction 4: move refusal into a runtime boundary before retrieval.</w:t>
            </w:r>
          </w:p>
        </w:tc>
        <w:tc>
          <w:tcPr>
            <w:tcW w:type="dxa" w:w="2484"/>
          </w:tcPr>
          <w:p>
            <w:r>
              <w:t>Advice leakage 0.52 to 0.04; safe redirect 0.16 to 0.64.</w:t>
            </w:r>
          </w:p>
        </w:tc>
      </w:tr>
      <w:tr>
        <w:tc>
          <w:tcPr>
            <w:tcW w:type="dxa" w:w="2484"/>
          </w:tcPr>
          <w:p>
            <w:r>
              <w:t>graph-parity</w:t>
            </w:r>
          </w:p>
        </w:tc>
        <w:tc>
          <w:tcPr>
            <w:tcW w:type="dxa" w:w="2484"/>
          </w:tcPr>
          <w:p>
            <w:r>
              <w:t>graph-parity-a733f3d0</w:t>
            </w:r>
          </w:p>
        </w:tc>
        <w:tc>
          <w:tcPr>
            <w:tcW w:type="dxa" w:w="2484"/>
          </w:tcPr>
          <w:p>
            <w:r>
              <w:t>Decision D10: match the gated pipeline on every metric; checkpointed threads as the seat of conversation and later long-term memory; Studio, streaming, cancel/rollback via langgraph dev.</w:t>
            </w:r>
          </w:p>
        </w:tc>
        <w:tc>
          <w:tcPr>
            <w:tcW w:type="dxa" w:w="2484"/>
          </w:tcPr>
          <w:p>
            <w:r>
              <w:t>Matched or improved the gated pipeline; cost per query 0.0170.</w:t>
            </w:r>
          </w:p>
        </w:tc>
      </w:tr>
      <w:tr>
        <w:tc>
          <w:tcPr>
            <w:tcW w:type="dxa" w:w="2484"/>
          </w:tcPr>
          <w:p>
            <w:r>
              <w:t>graph-final</w:t>
            </w:r>
          </w:p>
        </w:tc>
        <w:tc>
          <w:tcPr>
            <w:tcW w:type="dxa" w:w="2484"/>
          </w:tcPr>
          <w:p>
            <w:r>
              <w:t>graph-final-c3337bb0; multiturn-graph-final-a7e609e7</w:t>
            </w:r>
          </w:p>
        </w:tc>
        <w:tc>
          <w:tcPr>
            <w:tcW w:type="dxa" w:w="2484"/>
          </w:tcPr>
          <w:p>
            <w:r>
              <w:t>Keep every useful stage, seal and audit the release.</w:t>
            </w:r>
          </w:p>
        </w:tc>
        <w:tc>
          <w:tcPr>
            <w:tcW w:type="dxa" w:w="2484"/>
          </w:tcPr>
          <w:p>
            <w:r>
              <w:t>Safe redirect 0.68, behavior match 0.907, zero pipeline errors.</w:t>
            </w:r>
          </w:p>
        </w:tc>
      </w:tr>
      <w:tr>
        <w:tc>
          <w:tcPr>
            <w:tcW w:type="dxa" w:w="2484"/>
          </w:tcPr>
          <w:p>
            <w:r>
              <w:t>privacy-hardened</w:t>
            </w:r>
          </w:p>
        </w:tc>
        <w:tc>
          <w:tcPr>
            <w:tcW w:type="dxa" w:w="2484"/>
          </w:tcPr>
          <w:p>
            <w:r>
              <w:t>priv-sanitizer-safety-ca3da172</w:t>
            </w:r>
          </w:p>
        </w:tc>
        <w:tc>
          <w:tcPr>
            <w:tcW w:type="dxa" w:w="2484"/>
          </w:tcPr>
          <w:p>
            <w:r>
              <w:t>Make identifier scrubbing a property of the process, not a prompt.</w:t>
            </w:r>
          </w:p>
        </w:tc>
        <w:tc>
          <w:tcPr>
            <w:tcW w:type="dxa" w:w="2484"/>
          </w:tcPr>
          <w:p>
            <w:r>
              <w:t>Behavior metrics identical; hallucinated 0.643 to 0.538.</w:t>
            </w:r>
          </w:p>
        </w:tc>
      </w:tr>
      <w:tr>
        <w:tc>
          <w:tcPr>
            <w:tcW w:type="dxa" w:w="2484"/>
          </w:tcPr>
          <w:p>
            <w:r>
              <w:t>boundary-persisted</w:t>
            </w:r>
          </w:p>
        </w:tc>
        <w:tc>
          <w:tcPr>
            <w:tcW w:type="dxa" w:w="2484"/>
          </w:tcPr>
          <w:p>
            <w:r>
              <w:t>boundary-on-r4-aeb73d36; evals/results/boundary-verdict/verdict.md</w:t>
            </w:r>
          </w:p>
        </w:tc>
        <w:tc>
          <w:tcPr>
            <w:tcW w:type="dxa" w:w="2484"/>
          </w:tcPr>
          <w:p>
            <w:r>
              <w:t>Close the open multi-turn risk: a refusal re-rolled each turn could be worn down.</w:t>
            </w:r>
          </w:p>
        </w:tc>
        <w:tc>
          <w:tcPr>
            <w:tcW w:type="dxa" w:w="2484"/>
          </w:tcPr>
          <w:p>
            <w:r>
              <w:t>Safety drift 0.409 to 0.273 (median of 3); PII persistence 0.125; replay precision clean.</w:t>
            </w:r>
          </w:p>
        </w:tc>
      </w:tr>
      <w:tr>
        <w:tc>
          <w:tcPr>
            <w:tcW w:type="dxa" w:w="2484"/>
          </w:tcPr>
          <w:p>
            <w:r>
              <w:t>retrieval-weaviate</w:t>
            </w:r>
          </w:p>
        </w:tc>
        <w:tc>
          <w:tcPr>
            <w:tcW w:type="dxa" w:w="2484"/>
          </w:tcPr>
          <w:p>
            <w:r>
              <w:t>reference in pageindex-vs-weaviate and pinecone-rerank</w:t>
            </w:r>
          </w:p>
        </w:tc>
        <w:tc>
          <w:tcPr>
            <w:tcW w:type="dxa" w:w="2484"/>
          </w:tcPr>
          <w:p>
            <w:r>
              <w:t>Reference arm: the inherited hybrid search, unchanged.</w:t>
            </w:r>
          </w:p>
        </w:tc>
        <w:tc>
          <w:tcPr>
            <w:tcW w:type="dxa" w:w="2484"/>
          </w:tcPr>
          <w:p>
            <w:r>
              <w:t>Kept.</w:t>
            </w:r>
          </w:p>
        </w:tc>
      </w:tr>
      <w:tr>
        <w:tc>
          <w:tcPr>
            <w:tcW w:type="dxa" w:w="2484"/>
          </w:tcPr>
          <w:p>
            <w:r>
              <w:t>retrieval-pageindex</w:t>
            </w:r>
          </w:p>
        </w:tc>
        <w:tc>
          <w:tcPr>
            <w:tcW w:type="dxa" w:w="2484"/>
          </w:tcPr>
          <w:p>
            <w:r>
              <w:t>pageindex-vs-weaviate (stage 1)</w:t>
            </w:r>
          </w:p>
        </w:tc>
        <w:tc>
          <w:tcPr>
            <w:tcW w:type="dxa" w:w="2484"/>
          </w:tcPr>
          <w:p>
            <w:r>
              <w:t>Direction 5 on the retriever: does tree search beat hybrid search here?</w:t>
            </w:r>
          </w:p>
        </w:tc>
        <w:tc>
          <w:tcPr>
            <w:tcW w:type="dxa" w:w="2484"/>
          </w:tcPr>
          <w:p>
            <w:r>
              <w:t>Page recall 0.609 vs 0.681. Rejected at stage 1.</w:t>
            </w:r>
          </w:p>
        </w:tc>
      </w:tr>
      <w:tr>
        <w:tc>
          <w:tcPr>
            <w:tcW w:type="dxa" w:w="2484"/>
          </w:tcPr>
          <w:p>
            <w:r>
              <w:t>retrieval-pinecone</w:t>
            </w:r>
          </w:p>
        </w:tc>
        <w:tc>
          <w:tcPr>
            <w:tcW w:type="dxa" w:w="2484"/>
          </w:tcPr>
          <w:p>
            <w:r>
              <w:t>pinecone-rerank (stage 1); pinecone-dense-diag</w:t>
            </w:r>
          </w:p>
        </w:tc>
        <w:tc>
          <w:tcPr>
            <w:tcW w:type="dxa" w:w="2484"/>
          </w:tcPr>
          <w:p>
            <w:r>
              <w:t>Does a managed vector index with the same embeddings beat Weaviate?</w:t>
            </w:r>
          </w:p>
        </w:tc>
        <w:tc>
          <w:tcPr>
            <w:tcW w:type="dxa" w:w="2484"/>
          </w:tcPr>
          <w:p>
            <w:r>
              <w:t>0.463 vs 0.648 as configured; dense-only 0.607 vs 0.664. Rejected at stage 1.</w:t>
            </w:r>
          </w:p>
        </w:tc>
      </w:tr>
      <w:tr>
        <w:tc>
          <w:tcPr>
            <w:tcW w:type="dxa" w:w="2484"/>
          </w:tcPr>
          <w:p>
            <w:r>
              <w:t>retrieval-pinecone-rerank</w:t>
            </w:r>
          </w:p>
        </w:tc>
        <w:tc>
          <w:tcPr>
            <w:tcW w:type="dxa" w:w="2484"/>
          </w:tcPr>
          <w:p>
            <w:r>
              <w:t>pinecone-rerank (stage 1)</w:t>
            </w:r>
          </w:p>
        </w:tc>
        <w:tc>
          <w:tcPr>
            <w:tcW w:type="dxa" w:w="2484"/>
          </w:tcPr>
          <w:p>
            <w:r>
              <w:t>Pinecone plus the reranker.</w:t>
            </w:r>
          </w:p>
        </w:tc>
        <w:tc>
          <w:tcPr>
            <w:tcW w:type="dxa" w:w="2484"/>
          </w:tcPr>
          <w:p>
            <w:r>
              <w:t>0.504 vs 0.648. Rejected at stage 1.</w:t>
            </w:r>
          </w:p>
        </w:tc>
      </w:tr>
      <w:tr>
        <w:tc>
          <w:tcPr>
            <w:tcW w:type="dxa" w:w="2484"/>
          </w:tcPr>
          <w:p>
            <w:r>
              <w:t>retrieval-rerank</w:t>
            </w:r>
          </w:p>
        </w:tc>
        <w:tc>
          <w:tcPr>
            <w:tcW w:type="dxa" w:w="2484"/>
          </w:tcPr>
          <w:p>
            <w:r>
              <w:t>pi-gate-weaviate-rerank-606da650 vs pi-gate-weaviate-89bc4ed3</w:t>
            </w:r>
          </w:p>
        </w:tc>
        <w:tc>
          <w:tcPr>
            <w:tcW w:type="dxa" w:w="2484"/>
          </w:tcPr>
          <w:p>
            <w:r>
              <w:t>Does reranking Weaviate's top 12 to 4 improve answers?</w:t>
            </w:r>
          </w:p>
        </w:tc>
        <w:tc>
          <w:tcPr>
            <w:tcW w:type="dxa" w:w="2484"/>
          </w:tcPr>
          <w:p>
            <w:r>
              <w:t>+0.050 page recall, then correctness 0.799 vs 0.850. Rejected at stage 2.</w:t>
            </w:r>
          </w:p>
        </w:tc>
      </w:tr>
    </w:tbl>
    <w:p/>
    <w:p>
      <w:pPr>
        <w:pStyle w:val="Heading2"/>
      </w:pPr>
      <w:r>
        <w:t>Assignment brief, with page anchors</w:t>
      </w:r>
    </w:p>
    <w:p>
      <w:pPr>
        <w:pStyle w:val="ListBullet"/>
      </w:pPr>
      <w:r>
        <w:t>docs/assignment/nymble-technical-exercise.pdf#page=1: the ten directions; direction 4 required ('Take the healthcare context seriously...'); direction 3 ('Make it possible to know whether a change made things better or worse'); direction 5 ('Question the approach itself... none of it is sacred'); 'Tell us why you picked those, and what you deliberately left alone, and why.'</w:t>
      </w:r>
    </w:p>
    <w:p>
      <w:pPr>
        <w:pStyle w:val="ListBullet"/>
      </w:pPr>
      <w:r>
        <w:t>docs/assignment/nymble-technical-exercise.pdf#page=2: AI-coding process; 'bake what worked into the repo... an eval loop your tool could call'; the three deliverables.</w:t>
      </w:r>
    </w:p>
    <w:p>
      <w:pPr>
        <w:pStyle w:val="ListBullet"/>
      </w:pPr>
      <w:r>
        <w:t>docs/assignment/nymble-technical-exercise.pdf#page=3: privacy of the work, timing, questions.</w:t>
      </w:r>
    </w:p>
    <w:p>
      <w:pPr>
        <w:pStyle w:val="Heading2"/>
      </w:pPr>
      <w:r>
        <w:t>Comparable full-run metrics (86 examples, GPT-5.6 Sol judge)</w:t>
      </w:r>
    </w:p>
    <w:p>
      <w:pPr>
        <w:pStyle w:val="ListBullet"/>
      </w:pPr>
      <w:r>
        <w:t>synthesis-capped (synth-full-f7ca9e15): correctness 0.886; groundedness 0.925; safe redirect 0.16; advice leakage 0.52; behavior match 0.791; p50 15.90 s; $0.0284 per query.</w:t>
      </w:r>
    </w:p>
    <w:p>
      <w:pPr>
        <w:pStyle w:val="ListBullet"/>
      </w:pPr>
      <w:r>
        <w:t>safety-gated (safety-pregraph-full-b46acc33): correctness 0.813; groundedness 0.950; safe redirect 0.64; advice leakage 0.04; behavior match 0.872; p50 12.20 s; $0.0195 per query.</w:t>
      </w:r>
    </w:p>
    <w:p>
      <w:pPr>
        <w:pStyle w:val="ListBullet"/>
      </w:pPr>
      <w:r>
        <w:t>graph-parity (graph-parity-a733f3d0): correctness 0.855; groundedness 0.951; safe redirect 0.64; advice leakage 0.04; behavior match 0.895; p50 15.35 s; $0.0170 per query.</w:t>
      </w:r>
    </w:p>
    <w:p>
      <w:pPr>
        <w:pStyle w:val="ListBullet"/>
      </w:pPr>
      <w:r>
        <w:t>graph-final (graph-final-c3337bb0): correctness 0.853; groundedness 0.935; safe redirect 0.68; advice leakage 0.04; behavior match 0.907; p50 16.38 s; $0.0191 per query; pipeline error rate 0.00.</w:t>
      </w:r>
    </w:p>
    <w:p>
      <w:pPr>
        <w:pStyle w:val="Heading2"/>
      </w:pPr>
      <w:r>
        <w:t>graph-final composition</w:t>
      </w:r>
    </w:p>
    <w:p>
      <w:pPr>
        <w:pStyle w:val="ListBullet"/>
      </w:pPr>
      <w:r>
        <w:t>Safety gate. Scrub identifiers, classify, short-circuit emergencies, personal advice, out-of-scope requests, prompt injection and identifier-recitation requests. A stored refusal boundary is checked first and replayed with zero LLM calls when it matches.</w:t>
      </w:r>
    </w:p>
    <w:p>
      <w:pPr>
        <w:pStyle w:val="ListBullet"/>
      </w:pPr>
      <w:r>
        <w:t>Clarification and conversation context in parallel over scrubbed checkpointed history.</w:t>
      </w:r>
    </w:p>
    <w:p>
      <w:pPr>
        <w:pStyle w:val="ListBullet"/>
      </w:pPr>
      <w:r>
        <w:t>Complex-only decomposition. Keep the parent query; add at most three evidence-gathering subqueries.</w:t>
      </w:r>
    </w:p>
    <w:p>
      <w:pPr>
        <w:pStyle w:val="ListBullet"/>
      </w:pPr>
      <w:r>
        <w:t>Hybrid retrieval and merge over the Lipitor and Metformin monographs, deduplicated by document id.</w:t>
      </w:r>
    </w:p>
    <w:p>
      <w:pPr>
        <w:pStyle w:val="ListBullet"/>
      </w:pPr>
      <w:r>
        <w:t>Retrieval evaluation with one bounded gap-fill round when evidence is thin.</w:t>
      </w:r>
    </w:p>
    <w:p>
      <w:pPr>
        <w:pStyle w:val="ListBullet"/>
      </w:pPr>
      <w:r>
        <w:t>Generate once, answering the original question over the merged evidence.</w:t>
      </w:r>
    </w:p>
    <w:p>
      <w:pPr>
        <w:pStyle w:val="ListBullet"/>
      </w:pPr>
      <w:r>
        <w:t>Validate and follow up: citations structured with Terra; follow-ups only for validated answers.</w:t>
      </w:r>
    </w:p>
    <w:p>
      <w:pPr>
        <w:pStyle w:val="ListBullet"/>
      </w:pPr>
      <w:r>
        <w:t>Finalize: persist only the scrubbed conversation pair and return graph telemetry.</w:t>
      </w:r>
    </w:p>
    <w:p>
      <w:pPr>
        <w:pStyle w:val="ListBullet"/>
      </w:pPr>
      <w:r>
        <w:t>Routing convention: routers declare Literal target types; nodes that both update state and route return Command[Literal[...]]; route-only branches use conditional edges. tests/graph/test_router_typing.py pins the literals to the node names and the compiled edges.</w:t>
      </w:r>
    </w:p>
    <w:p>
      <w:pPr>
        <w:pStyle w:val="Heading2"/>
      </w:pPr>
      <w:r>
        <w:t>Ablation results (correctness)</w:t>
      </w:r>
    </w:p>
    <w:p>
      <w:pPr>
        <w:pStyle w:val="ListBullet"/>
      </w:pPr>
      <w:r>
        <w:t>No evaluate: 0.741, the largest loss.</w:t>
      </w:r>
    </w:p>
    <w:p>
      <w:pPr>
        <w:pStyle w:val="ListBullet"/>
      </w:pPr>
      <w:r>
        <w:t>No clarify: 0.814; both core and holdout fell.</w:t>
      </w:r>
    </w:p>
    <w:p>
      <w:pPr>
        <w:pStyle w:val="ListBullet"/>
      </w:pPr>
      <w:r>
        <w:t>No decompose: 0.838; small overall loss, larger on holdout.</w:t>
      </w:r>
    </w:p>
    <w:p>
      <w:pPr>
        <w:pStyle w:val="ListBullet"/>
      </w:pPr>
      <w:r>
        <w:t>No validate: 0.852; correctness held but hallucination and premise correction worsened.</w:t>
      </w:r>
    </w:p>
    <w:p>
      <w:pPr>
        <w:pStyle w:val="ListBullet"/>
      </w:pPr>
      <w:r>
        <w:t>No follow-ups: 0.855; answer-neutral.</w:t>
      </w:r>
    </w:p>
    <w:p>
      <w:pPr>
        <w:pStyle w:val="Heading2"/>
      </w:pPr>
      <w:r>
        <w:t>Multi-turn: graph-final and boundary-persisted</w:t>
      </w:r>
    </w:p>
    <w:p>
      <w:pPr>
        <w:pStyle w:val="ListBullet"/>
      </w:pPr>
      <w:r>
        <w:t>graph-final (multiturn-graph-final-a7e609e7; 22 conversations, 158 planned turns, zero execution errors): safety drift 0.4091; PII persistence 0.1875; emergency escalation 1.0; turn behavior match 0.9396; turn correctness 0.8072; groundedness 0.9224; context carry-over 0.8856; consistency 0.8182; $0.106 per conversation.</w:t>
      </w:r>
    </w:p>
    <w:p>
      <w:pPr>
        <w:pStyle w:val="ListBullet"/>
      </w:pPr>
      <w:r>
        <w:t>boundary-persisted (boundary-on-r4-aeb73d36; verdict in evals/results/boundary-verdict/verdict.md): safety drift median of 3 judge reruns 0.2727 (bar 0.364; 95% interval 0.087 to 0.459); PII persistence 0.125; turn correctness 0.8018 and behavior match 0.9214 inside the 0.05 non-regression bar; emergency escalation 1.0; replay-precision violations 0 across 21 scripted conversations; $0.015 per turn.</w:t>
      </w:r>
    </w:p>
    <w:p>
      <w:pPr>
        <w:pStyle w:val="ListBullet"/>
      </w:pPr>
      <w:r>
        <w:t>Stored per boundary: refusal kind, derived drug topic, the byte-exact template, a timestamp and a template version. No raw user text, no PHI spans. Boundaries only ever escalate. An informational override keeps factual follow-ups on a refused topic answerable; conversations mt-017 to mt-021 pin the behaviour.</w:t>
      </w:r>
    </w:p>
    <w:p>
      <w:pPr>
        <w:pStyle w:val="Heading2"/>
      </w:pPr>
      <w:r>
        <w:t>Retrieval experiments (direction 5 applied to the retriever)</w:t>
      </w:r>
    </w:p>
    <w:p>
      <w:r>
        <w:rPr>
          <w:b w:val="0"/>
          <w:i w:val="0"/>
        </w:rPr>
        <w:t>Method: retrieval stage only, everything downstream byte-identical. Stage 1 is a retrieval-only page-recall gate over 71 eligible golden questions, about 3 minutes per arm; losing page recall to the reference is terminal. The best passer goes to stage 2: paired evals.run_baseline runs, core plus holdout, 2 repetitions, n = 172 per arm, against a fresh Weaviate reference in the same session. Stage-2 pass needs correctness +0.03 with groundedness, holdout correctness, cost (1.25x) and p50 (1.25x) held. Thresholds were frozen in a spec before any result; a self-check with identical arms gave a delta of 0.000. The unchanged reference scored 0.681, 0.648 and 0.664 across three same-day runs, so unpaired comparisons were never allowed.</w:t>
      </w:r>
    </w:p>
    <w:tbl>
      <w:tblPr>
        <w:tblStyle w:val="LightGrid-Accent2"/>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Arm</w:t>
            </w:r>
          </w:p>
        </w:tc>
        <w:tc>
          <w:tcPr>
            <w:tcW w:type="dxa" w:w="1419"/>
          </w:tcPr>
          <w:p>
            <w:r>
              <w:rPr>
                <w:b/>
              </w:rPr>
              <w:t>Stage-1 page recall</w:t>
            </w:r>
          </w:p>
        </w:tc>
        <w:tc>
          <w:tcPr>
            <w:tcW w:type="dxa" w:w="1419"/>
          </w:tcPr>
          <w:p>
            <w:r>
              <w:rPr>
                <w:b/>
              </w:rPr>
              <w:t>Delta</w:t>
            </w:r>
          </w:p>
        </w:tc>
        <w:tc>
          <w:tcPr>
            <w:tcW w:type="dxa" w:w="1419"/>
          </w:tcPr>
          <w:p>
            <w:r>
              <w:rPr>
                <w:b/>
              </w:rPr>
              <w:t>Core / holdout</w:t>
            </w:r>
          </w:p>
        </w:tc>
        <w:tc>
          <w:tcPr>
            <w:tcW w:type="dxa" w:w="1419"/>
          </w:tcPr>
          <w:p>
            <w:r>
              <w:rPr>
                <w:b/>
              </w:rPr>
              <w:t>Chunk recall</w:t>
            </w:r>
          </w:p>
        </w:tc>
        <w:tc>
          <w:tcPr>
            <w:tcW w:type="dxa" w:w="1419"/>
          </w:tcPr>
          <w:p>
            <w:r>
              <w:rPr>
                <w:b/>
              </w:rPr>
              <w:t>Retrieval latency</w:t>
            </w:r>
          </w:p>
        </w:tc>
        <w:tc>
          <w:tcPr>
            <w:tcW w:type="dxa" w:w="1419"/>
          </w:tcPr>
          <w:p>
            <w:r>
              <w:rPr>
                <w:b/>
              </w:rPr>
              <w:t>Verdict</w:t>
            </w:r>
          </w:p>
        </w:tc>
      </w:tr>
      <w:tr>
        <w:tc>
          <w:tcPr>
            <w:tcW w:type="dxa" w:w="1419"/>
          </w:tcPr>
          <w:p>
            <w:r>
              <w:t>retrieval-weaviate (reference, PageIndex session)</w:t>
            </w:r>
          </w:p>
        </w:tc>
        <w:tc>
          <w:tcPr>
            <w:tcW w:type="dxa" w:w="1419"/>
          </w:tcPr>
          <w:p>
            <w:r>
              <w:t>0.681</w:t>
            </w:r>
          </w:p>
        </w:tc>
        <w:tc>
          <w:tcPr>
            <w:tcW w:type="dxa" w:w="1419"/>
          </w:tcPr>
          <w:p>
            <w:r/>
          </w:p>
        </w:tc>
        <w:tc>
          <w:tcPr>
            <w:tcW w:type="dxa" w:w="1419"/>
          </w:tcPr>
          <w:p>
            <w:r>
              <w:t>0.685 / 0.676</w:t>
            </w:r>
          </w:p>
        </w:tc>
        <w:tc>
          <w:tcPr>
            <w:tcW w:type="dxa" w:w="1419"/>
          </w:tcPr>
          <w:p>
            <w:r>
              <w:t>0.618</w:t>
            </w:r>
          </w:p>
        </w:tc>
        <w:tc>
          <w:tcPr>
            <w:tcW w:type="dxa" w:w="1419"/>
          </w:tcPr>
          <w:p>
            <w:r>
              <w:t>1.66 s</w:t>
            </w:r>
          </w:p>
        </w:tc>
        <w:tc>
          <w:tcPr>
            <w:tcW w:type="dxa" w:w="1419"/>
          </w:tcPr>
          <w:p>
            <w:r>
              <w:t>kept</w:t>
            </w:r>
          </w:p>
        </w:tc>
      </w:tr>
      <w:tr>
        <w:tc>
          <w:tcPr>
            <w:tcW w:type="dxa" w:w="1419"/>
          </w:tcPr>
          <w:p>
            <w:r>
              <w:t>retrieval-pageindex</w:t>
            </w:r>
          </w:p>
        </w:tc>
        <w:tc>
          <w:tcPr>
            <w:tcW w:type="dxa" w:w="1419"/>
          </w:tcPr>
          <w:p>
            <w:r>
              <w:t>0.609</w:t>
            </w:r>
          </w:p>
        </w:tc>
        <w:tc>
          <w:tcPr>
            <w:tcW w:type="dxa" w:w="1419"/>
          </w:tcPr>
          <w:p>
            <w:r>
              <w:t>-0.071</w:t>
            </w:r>
          </w:p>
        </w:tc>
        <w:tc>
          <w:tcPr>
            <w:tcW w:type="dxa" w:w="1419"/>
          </w:tcPr>
          <w:p>
            <w:r>
              <w:t>0.637 / 0.581</w:t>
            </w:r>
          </w:p>
        </w:tc>
        <w:tc>
          <w:tcPr>
            <w:tcW w:type="dxa" w:w="1419"/>
          </w:tcPr>
          <w:p>
            <w:r>
              <w:t>0.601</w:t>
            </w:r>
          </w:p>
        </w:tc>
        <w:tc>
          <w:tcPr>
            <w:tcW w:type="dxa" w:w="1419"/>
          </w:tcPr>
          <w:p>
            <w:r>
              <w:t>3.10 s</w:t>
            </w:r>
          </w:p>
        </w:tc>
        <w:tc>
          <w:tcPr>
            <w:tcW w:type="dxa" w:w="1419"/>
          </w:tcPr>
          <w:p>
            <w:r>
              <w:t>REJECT, stage 1</w:t>
            </w:r>
          </w:p>
        </w:tc>
      </w:tr>
      <w:tr>
        <w:tc>
          <w:tcPr>
            <w:tcW w:type="dxa" w:w="1419"/>
          </w:tcPr>
          <w:p>
            <w:r>
              <w:t>retrieval-weaviate (reference, Pinecone session)</w:t>
            </w:r>
          </w:p>
        </w:tc>
        <w:tc>
          <w:tcPr>
            <w:tcW w:type="dxa" w:w="1419"/>
          </w:tcPr>
          <w:p>
            <w:r>
              <w:t>0.648</w:t>
            </w:r>
          </w:p>
        </w:tc>
        <w:tc>
          <w:tcPr>
            <w:tcW w:type="dxa" w:w="1419"/>
          </w:tcPr>
          <w:p>
            <w:r/>
          </w:p>
        </w:tc>
        <w:tc>
          <w:tcPr>
            <w:tcW w:type="dxa" w:w="1419"/>
          </w:tcPr>
          <w:p>
            <w:r>
              <w:t>0.666 / 0.629</w:t>
            </w:r>
          </w:p>
        </w:tc>
        <w:tc>
          <w:tcPr>
            <w:tcW w:type="dxa" w:w="1419"/>
          </w:tcPr>
          <w:p>
            <w:r>
              <w:t>0.587</w:t>
            </w:r>
          </w:p>
        </w:tc>
        <w:tc>
          <w:tcPr>
            <w:tcW w:type="dxa" w:w="1419"/>
          </w:tcPr>
          <w:p>
            <w:r>
              <w:t>2.32 s</w:t>
            </w:r>
          </w:p>
        </w:tc>
        <w:tc>
          <w:tcPr>
            <w:tcW w:type="dxa" w:w="1419"/>
          </w:tcPr>
          <w:p>
            <w:r>
              <w:t>kept</w:t>
            </w:r>
          </w:p>
        </w:tc>
      </w:tr>
      <w:tr>
        <w:tc>
          <w:tcPr>
            <w:tcW w:type="dxa" w:w="1419"/>
          </w:tcPr>
          <w:p>
            <w:r>
              <w:t>retrieval-pinecone (same embeddings + hosted sparse, alpha 0.65)</w:t>
            </w:r>
          </w:p>
        </w:tc>
        <w:tc>
          <w:tcPr>
            <w:tcW w:type="dxa" w:w="1419"/>
          </w:tcPr>
          <w:p>
            <w:r>
              <w:t>0.463</w:t>
            </w:r>
          </w:p>
        </w:tc>
        <w:tc>
          <w:tcPr>
            <w:tcW w:type="dxa" w:w="1419"/>
          </w:tcPr>
          <w:p>
            <w:r>
              <w:t>-0.185</w:t>
            </w:r>
          </w:p>
        </w:tc>
        <w:tc>
          <w:tcPr>
            <w:tcW w:type="dxa" w:w="1419"/>
          </w:tcPr>
          <w:p>
            <w:r>
              <w:t>0.450 / 0.476</w:t>
            </w:r>
          </w:p>
        </w:tc>
        <w:tc>
          <w:tcPr>
            <w:tcW w:type="dxa" w:w="1419"/>
          </w:tcPr>
          <w:p>
            <w:r>
              <w:t>0.417</w:t>
            </w:r>
          </w:p>
        </w:tc>
        <w:tc>
          <w:tcPr>
            <w:tcW w:type="dxa" w:w="1419"/>
          </w:tcPr>
          <w:p>
            <w:r>
              <w:t>2.30 s</w:t>
            </w:r>
          </w:p>
        </w:tc>
        <w:tc>
          <w:tcPr>
            <w:tcW w:type="dxa" w:w="1419"/>
          </w:tcPr>
          <w:p>
            <w:r>
              <w:t>REJECT, stage 1</w:t>
            </w:r>
          </w:p>
        </w:tc>
      </w:tr>
      <w:tr>
        <w:tc>
          <w:tcPr>
            <w:tcW w:type="dxa" w:w="1419"/>
          </w:tcPr>
          <w:p>
            <w:r>
              <w:t>retrieval-pinecone dense-only (labelled diagnostic, reference 0.664)</w:t>
            </w:r>
          </w:p>
        </w:tc>
        <w:tc>
          <w:tcPr>
            <w:tcW w:type="dxa" w:w="1419"/>
          </w:tcPr>
          <w:p>
            <w:r>
              <w:t>0.607</w:t>
            </w:r>
          </w:p>
        </w:tc>
        <w:tc>
          <w:tcPr>
            <w:tcW w:type="dxa" w:w="1419"/>
          </w:tcPr>
          <w:p>
            <w:r>
              <w:t>-0.057</w:t>
            </w:r>
          </w:p>
        </w:tc>
        <w:tc>
          <w:tcPr>
            <w:tcW w:type="dxa" w:w="1419"/>
          </w:tcPr>
          <w:p>
            <w:r>
              <w:t>0.695 / 0.517</w:t>
            </w:r>
          </w:p>
        </w:tc>
        <w:tc>
          <w:tcPr>
            <w:tcW w:type="dxa" w:w="1419"/>
          </w:tcPr>
          <w:p>
            <w:r/>
          </w:p>
        </w:tc>
        <w:tc>
          <w:tcPr>
            <w:tcW w:type="dxa" w:w="1419"/>
          </w:tcPr>
          <w:p>
            <w:r/>
          </w:p>
        </w:tc>
        <w:tc>
          <w:tcPr>
            <w:tcW w:type="dxa" w:w="1419"/>
          </w:tcPr>
          <w:p>
            <w:r>
              <w:t>not used for selection</w:t>
            </w:r>
          </w:p>
        </w:tc>
      </w:tr>
      <w:tr>
        <w:tc>
          <w:tcPr>
            <w:tcW w:type="dxa" w:w="1419"/>
          </w:tcPr>
          <w:p>
            <w:r>
              <w:t>retrieval-rerank (Weaviate + bge-reranker-v2-m3, 12 to 4)</w:t>
            </w:r>
          </w:p>
        </w:tc>
        <w:tc>
          <w:tcPr>
            <w:tcW w:type="dxa" w:w="1419"/>
          </w:tcPr>
          <w:p>
            <w:r>
              <w:t>0.698</w:t>
            </w:r>
          </w:p>
        </w:tc>
        <w:tc>
          <w:tcPr>
            <w:tcW w:type="dxa" w:w="1419"/>
          </w:tcPr>
          <w:p>
            <w:r>
              <w:t>+0.050</w:t>
            </w:r>
          </w:p>
        </w:tc>
        <w:tc>
          <w:tcPr>
            <w:tcW w:type="dxa" w:w="1419"/>
          </w:tcPr>
          <w:p>
            <w:r>
              <w:t>0.736 / 0.660</w:t>
            </w:r>
          </w:p>
        </w:tc>
        <w:tc>
          <w:tcPr>
            <w:tcW w:type="dxa" w:w="1419"/>
          </w:tcPr>
          <w:p>
            <w:r>
              <w:t>0.610</w:t>
            </w:r>
          </w:p>
        </w:tc>
        <w:tc>
          <w:tcPr>
            <w:tcW w:type="dxa" w:w="1419"/>
          </w:tcPr>
          <w:p>
            <w:r>
              <w:t>2.26 s</w:t>
            </w:r>
          </w:p>
        </w:tc>
        <w:tc>
          <w:tcPr>
            <w:tcW w:type="dxa" w:w="1419"/>
          </w:tcPr>
          <w:p>
            <w:r>
              <w:t>passed; to stage 2</w:t>
            </w:r>
          </w:p>
        </w:tc>
      </w:tr>
      <w:tr>
        <w:tc>
          <w:tcPr>
            <w:tcW w:type="dxa" w:w="1419"/>
          </w:tcPr>
          <w:p>
            <w:r>
              <w:t>retrieval-pinecone-rerank</w:t>
            </w:r>
          </w:p>
        </w:tc>
        <w:tc>
          <w:tcPr>
            <w:tcW w:type="dxa" w:w="1419"/>
          </w:tcPr>
          <w:p>
            <w:r>
              <w:t>0.504</w:t>
            </w:r>
          </w:p>
        </w:tc>
        <w:tc>
          <w:tcPr>
            <w:tcW w:type="dxa" w:w="1419"/>
          </w:tcPr>
          <w:p>
            <w:r>
              <w:t>-0.144</w:t>
            </w:r>
          </w:p>
        </w:tc>
        <w:tc>
          <w:tcPr>
            <w:tcW w:type="dxa" w:w="1419"/>
          </w:tcPr>
          <w:p>
            <w:r>
              <w:t>0.530 / 0.476</w:t>
            </w:r>
          </w:p>
        </w:tc>
        <w:tc>
          <w:tcPr>
            <w:tcW w:type="dxa" w:w="1419"/>
          </w:tcPr>
          <w:p>
            <w:r>
              <w:t>0.451</w:t>
            </w:r>
          </w:p>
        </w:tc>
        <w:tc>
          <w:tcPr>
            <w:tcW w:type="dxa" w:w="1419"/>
          </w:tcPr>
          <w:p>
            <w:r>
              <w:t>2.92 s</w:t>
            </w:r>
          </w:p>
        </w:tc>
        <w:tc>
          <w:tcPr>
            <w:tcW w:type="dxa" w:w="1419"/>
          </w:tcPr>
          <w:p>
            <w:r>
              <w:t>REJECT, stage 1</w:t>
            </w:r>
          </w:p>
        </w:tc>
      </w:tr>
    </w:tbl>
    <w:p/>
    <w:tbl>
      <w:tblPr>
        <w:tblStyle w:val="LightGrid-Accent2"/>
        <w:tblW w:type="auto" w:w="0"/>
        <w:tblLook w:firstColumn="1" w:firstRow="1" w:lastColumn="0" w:lastRow="0" w:noHBand="0" w:noVBand="1" w:val="04A0"/>
      </w:tblPr>
      <w:tblGrid>
        <w:gridCol w:w="1987"/>
        <w:gridCol w:w="1987"/>
        <w:gridCol w:w="1987"/>
        <w:gridCol w:w="1987"/>
        <w:gridCol w:w="1987"/>
      </w:tblGrid>
      <w:tr>
        <w:tc>
          <w:tcPr>
            <w:tcW w:type="dxa" w:w="1987"/>
          </w:tcPr>
          <w:p>
            <w:r>
              <w:rPr>
                <w:b/>
              </w:rPr>
              <w:t>Stage-2 gate (n = 172 per arm)</w:t>
            </w:r>
          </w:p>
        </w:tc>
        <w:tc>
          <w:tcPr>
            <w:tcW w:type="dxa" w:w="1987"/>
          </w:tcPr>
          <w:p>
            <w:r>
              <w:rPr>
                <w:b/>
              </w:rPr>
              <w:t>retrieval-weaviate</w:t>
            </w:r>
          </w:p>
        </w:tc>
        <w:tc>
          <w:tcPr>
            <w:tcW w:type="dxa" w:w="1987"/>
          </w:tcPr>
          <w:p>
            <w:r>
              <w:rPr>
                <w:b/>
              </w:rPr>
              <w:t>retrieval-rerank</w:t>
            </w:r>
          </w:p>
        </w:tc>
        <w:tc>
          <w:tcPr>
            <w:tcW w:type="dxa" w:w="1987"/>
          </w:tcPr>
          <w:p>
            <w:r>
              <w:rPr>
                <w:b/>
              </w:rPr>
              <w:t>Threshold</w:t>
            </w:r>
          </w:p>
        </w:tc>
        <w:tc>
          <w:tcPr>
            <w:tcW w:type="dxa" w:w="1987"/>
          </w:tcPr>
          <w:p>
            <w:r>
              <w:rPr>
                <w:b/>
              </w:rPr>
              <w:t>Result</w:t>
            </w:r>
          </w:p>
        </w:tc>
      </w:tr>
      <w:tr>
        <w:tc>
          <w:tcPr>
            <w:tcW w:type="dxa" w:w="1987"/>
          </w:tcPr>
          <w:p>
            <w:r>
              <w:t>Correctness</w:t>
            </w:r>
          </w:p>
        </w:tc>
        <w:tc>
          <w:tcPr>
            <w:tcW w:type="dxa" w:w="1987"/>
          </w:tcPr>
          <w:p>
            <w:r>
              <w:t>0.850</w:t>
            </w:r>
          </w:p>
        </w:tc>
        <w:tc>
          <w:tcPr>
            <w:tcW w:type="dxa" w:w="1987"/>
          </w:tcPr>
          <w:p>
            <w:r>
              <w:t>0.799</w:t>
            </w:r>
          </w:p>
        </w:tc>
        <w:tc>
          <w:tcPr>
            <w:tcW w:type="dxa" w:w="1987"/>
          </w:tcPr>
          <w:p>
            <w:r>
              <w:t>+0.030 or more</w:t>
            </w:r>
          </w:p>
        </w:tc>
        <w:tc>
          <w:tcPr>
            <w:tcW w:type="dxa" w:w="1987"/>
          </w:tcPr>
          <w:p>
            <w:r>
              <w:t>fail</w:t>
            </w:r>
          </w:p>
        </w:tc>
      </w:tr>
      <w:tr>
        <w:tc>
          <w:tcPr>
            <w:tcW w:type="dxa" w:w="1987"/>
          </w:tcPr>
          <w:p>
            <w:r>
              <w:t>Groundedness</w:t>
            </w:r>
          </w:p>
        </w:tc>
        <w:tc>
          <w:tcPr>
            <w:tcW w:type="dxa" w:w="1987"/>
          </w:tcPr>
          <w:p>
            <w:r>
              <w:t>0.925</w:t>
            </w:r>
          </w:p>
        </w:tc>
        <w:tc>
          <w:tcPr>
            <w:tcW w:type="dxa" w:w="1987"/>
          </w:tcPr>
          <w:p>
            <w:r>
              <w:t>0.922</w:t>
            </w:r>
          </w:p>
        </w:tc>
        <w:tc>
          <w:tcPr>
            <w:tcW w:type="dxa" w:w="1987"/>
          </w:tcPr>
          <w:p>
            <w:r>
              <w:t>at or above reference</w:t>
            </w:r>
          </w:p>
        </w:tc>
        <w:tc>
          <w:tcPr>
            <w:tcW w:type="dxa" w:w="1987"/>
          </w:tcPr>
          <w:p>
            <w:r>
              <w:t>fail (flat)</w:t>
            </w:r>
          </w:p>
        </w:tc>
      </w:tr>
      <w:tr>
        <w:tc>
          <w:tcPr>
            <w:tcW w:type="dxa" w:w="1987"/>
          </w:tcPr>
          <w:p>
            <w:r>
              <w:t>Holdout correctness</w:t>
            </w:r>
          </w:p>
        </w:tc>
        <w:tc>
          <w:tcPr>
            <w:tcW w:type="dxa" w:w="1987"/>
          </w:tcPr>
          <w:p>
            <w:r>
              <w:t>0.828</w:t>
            </w:r>
          </w:p>
        </w:tc>
        <w:tc>
          <w:tcPr>
            <w:tcW w:type="dxa" w:w="1987"/>
          </w:tcPr>
          <w:p>
            <w:r>
              <w:t>0.737</w:t>
            </w:r>
          </w:p>
        </w:tc>
        <w:tc>
          <w:tcPr>
            <w:tcW w:type="dxa" w:w="1987"/>
          </w:tcPr>
          <w:p>
            <w:r>
              <w:t>at or above reference</w:t>
            </w:r>
          </w:p>
        </w:tc>
        <w:tc>
          <w:tcPr>
            <w:tcW w:type="dxa" w:w="1987"/>
          </w:tcPr>
          <w:p>
            <w:r>
              <w:t>fail</w:t>
            </w:r>
          </w:p>
        </w:tc>
      </w:tr>
      <w:tr>
        <w:tc>
          <w:tcPr>
            <w:tcW w:type="dxa" w:w="1987"/>
          </w:tcPr>
          <w:p>
            <w:r>
              <w:t>Cost per query</w:t>
            </w:r>
          </w:p>
        </w:tc>
        <w:tc>
          <w:tcPr>
            <w:tcW w:type="dxa" w:w="1987"/>
          </w:tcPr>
          <w:p>
            <w:r>
              <w:t>$0.0188</w:t>
            </w:r>
          </w:p>
        </w:tc>
        <w:tc>
          <w:tcPr>
            <w:tcW w:type="dxa" w:w="1987"/>
          </w:tcPr>
          <w:p>
            <w:r>
              <w:t>$0.0194</w:t>
            </w:r>
          </w:p>
        </w:tc>
        <w:tc>
          <w:tcPr>
            <w:tcW w:type="dxa" w:w="1987"/>
          </w:tcPr>
          <w:p>
            <w:r>
              <w:t>1.25x or less</w:t>
            </w:r>
          </w:p>
        </w:tc>
        <w:tc>
          <w:tcPr>
            <w:tcW w:type="dxa" w:w="1987"/>
          </w:tcPr>
          <w:p>
            <w:r>
              <w:t>pass</w:t>
            </w:r>
          </w:p>
        </w:tc>
      </w:tr>
      <w:tr>
        <w:tc>
          <w:tcPr>
            <w:tcW w:type="dxa" w:w="1987"/>
          </w:tcPr>
          <w:p>
            <w:r>
              <w:t>p50 latency</w:t>
            </w:r>
          </w:p>
        </w:tc>
        <w:tc>
          <w:tcPr>
            <w:tcW w:type="dxa" w:w="1987"/>
          </w:tcPr>
          <w:p>
            <w:r>
              <w:t>17.6 s</w:t>
            </w:r>
          </w:p>
        </w:tc>
        <w:tc>
          <w:tcPr>
            <w:tcW w:type="dxa" w:w="1987"/>
          </w:tcPr>
          <w:p>
            <w:r>
              <w:t>18.9 s</w:t>
            </w:r>
          </w:p>
        </w:tc>
        <w:tc>
          <w:tcPr>
            <w:tcW w:type="dxa" w:w="1987"/>
          </w:tcPr>
          <w:p>
            <w:r>
              <w:t>1.25x or less</w:t>
            </w:r>
          </w:p>
        </w:tc>
        <w:tc>
          <w:tcPr>
            <w:tcW w:type="dxa" w:w="1987"/>
          </w:tcPr>
          <w:p>
            <w:r>
              <w:t>pass</w:t>
            </w:r>
          </w:p>
        </w:tc>
      </w:tr>
    </w:tbl>
    <w:p/>
    <w:p>
      <w:pPr>
        <w:pStyle w:val="ListBullet"/>
      </w:pPr>
      <w:r>
        <w:t>Why retrieval-rerank lost: page recall in the full pipeline was flat (0.680 to 0.690) while chunk recall fell 0.657 to 0.639 and must-mention recall fell 0.603 to 0.568. Same pages, thinner chunks. Paired per question: 4 wins, 11 losses, 44 ties.</w:t>
      </w:r>
    </w:p>
    <w:p>
      <w:pPr>
        <w:pStyle w:val="ListBullet"/>
      </w:pPr>
      <w:r>
        <w:t>Why retrieval-pageindex lost: 79 pages across two monographs against benchmarks built on thousand-page filings. PageIndex local mode has no LLM retrieval call (only submit_document, get_tree, get_ocr), so the one-call node selector was ours; it doubled retrieval latency.</w:t>
      </w:r>
    </w:p>
    <w:p>
      <w:pPr>
        <w:pStyle w:val="ListBullet"/>
      </w:pPr>
      <w:r>
        <w:t>Why retrieval-pinecone lost, as configured: a convex mix of raw dot-product and raw sparse scores, where Weaviate normalises each ranking first. The dense-only diagnostic isolates about 0.13 of the 0.185 loss to that choice. Not tuned after the fact; normalised or RRF fusion is the named path to reopen it.</w:t>
      </w:r>
    </w:p>
    <w:p>
      <w:pPr>
        <w:pStyle w:val="ListBullet"/>
      </w:pPr>
      <w:r>
        <w:t>What was kept: Weaviate hybrid search with limit 4, alpha 0.65 and relative-score fusion, the checked-in chunks, text-embedding-3-small, every downstream stage. What changed: knobs HC_RAG_RETRIEVER and HC_RAG_RERANKER, the arms and their tests, make index-pageindex and make ingest-pinecone, the gate evals/pageindex_gate.py (61 tests), decision records and the evidence trail in docs/experiments/.</w:t>
      </w:r>
    </w:p>
    <w:p>
      <w:pPr>
        <w:pStyle w:val="Heading2"/>
      </w:pPr>
      <w:r>
        <w:t>Verification wave and final parity</w:t>
      </w:r>
    </w:p>
    <w:p>
      <w:pPr>
        <w:pStyle w:val="ListBullet"/>
      </w:pPr>
      <w:r>
        <w:t>Tag parity-final sits on seal f83bf2f. The frozen-surface check held from baseline to final; only the build_engine() selector block changed (amendment A3).</w:t>
      </w:r>
    </w:p>
    <w:p>
      <w:pPr>
        <w:pStyle w:val="ListBullet"/>
      </w:pPr>
      <w:r>
        <w:t>Final gate against legacy passed every check except one recorded exception (amendment A4): core.hallucinated on both-answered rows moved +0.068 against a +0.05 allowance at n = 44, roughly 3 net judge flips; on byte-frozen code 7 examples flipped in both directions; flagged answers carried at least 95 percent claim support; 3 calibration cases added and pass.</w:t>
      </w:r>
    </w:p>
    <w:p>
      <w:pPr>
        <w:pStyle w:val="ListBullet"/>
      </w:pPr>
      <w:r>
        <w:t>F1 plan compliance first rejected over a latency-threshold transcription error (x1.35 implemented, x1.30 in the plan text), ratified as amendment A5. F2 code quality approved with 4 should-fix findings, all fixed. F3 runtime QA approved on a real 12.8 s CLI run. F4 scope fidelity approved: 159 changed paths mapped to plan todos.</w:t>
      </w:r>
    </w:p>
    <w:p>
      <w:pPr>
        <w:pStyle w:val="Heading2"/>
      </w:pPr>
      <w:r>
        <w:t>Release cut and privacy hardening</w:t>
      </w:r>
    </w:p>
    <w:p>
      <w:pPr>
        <w:pStyle w:val="ListBullet"/>
      </w:pPr>
      <w:r>
        <w:t>Phase-2 deletion: 4,307 lines removed across 52 files in one revertable commit (3435caf). 259 tests green at the cut; 507 on the current branch.</w:t>
      </w:r>
    </w:p>
    <w:p>
      <w:pPr>
        <w:pStyle w:val="ListBullet"/>
      </w:pPr>
      <w:r>
        <w:t>Process-owned sanitizer (Presidio 2.2.364, spaCy en_core_web_sm, deterministic CA/US healthcare-ID patterns): scrub before classification, at every model sink, and at finalize; model spans never mutate text; fail closed; clinical codes preserved.</w:t>
      </w:r>
    </w:p>
    <w:p>
      <w:pPr>
        <w:pStyle w:val="ListBullet"/>
      </w:pPr>
      <w:r>
        <w:t>Safe Harbor as a coverage inventory, not a compliance claim: 15 of 18 covered or deliberately diverged, 2 not applicable, 1 heuristic. The vehicle-identifier gap was found by the audit and closed.</w:t>
      </w:r>
    </w:p>
    <w:p>
      <w:pPr>
        <w:pStyle w:val="ListBullet"/>
      </w:pPr>
      <w:r>
        <w:t>Safety-category eval after hardening (35 rows): behavior match 0.886, forbidden content 0.0, advice leak 0.04, false-premise correction 1.0, all identical; hallucinated 0.643 to 0.538.</w:t>
      </w:r>
    </w:p>
    <w:p>
      <w:pPr>
        <w:pStyle w:val="Heading2"/>
      </w:pPr>
      <w:r>
        <w:t>Accepted cost and open items</w:t>
      </w:r>
    </w:p>
    <w:p>
      <w:pPr>
        <w:pStyle w:val="ListBullet"/>
      </w:pPr>
      <w:r>
        <w:t>Validator cost accepted as-is by decision D15 (about 90 percent of spend, 5 s of p50); without it false-premise correction falls 1.0 to 0.875 and hallucinated rises 0.08. Cheaper validator if cost matters; never removal.</w:t>
      </w:r>
    </w:p>
    <w:p>
      <w:pPr>
        <w:pStyle w:val="ListBullet"/>
      </w:pPr>
      <w:r>
        <w:t>Multi-turn: rerun the boundary evaluation with more conversations before quoting 0.27 outside; the interval is wide at n = 22.</w:t>
      </w:r>
    </w:p>
    <w:p>
      <w:pPr>
        <w:pStyle w:val="ListBullet"/>
      </w:pPr>
      <w:r>
        <w:t>Retrieval: normalised fusion for Pinecone and an alpha/limit sweep on Weaviate through evals/pageindex_gate.py. Rotate PINECONE_API_KEY; delete the healthcare-rag Pinecone index if no reruns are planned.</w:t>
      </w:r>
    </w:p>
    <w:p>
      <w:pPr>
        <w:pStyle w:val="ListBullet"/>
      </w:pPr>
      <w:r>
        <w:t>Evals: LangSmith is over its monthly trace quota; local rows stay authoritative.</w:t>
      </w:r>
    </w:p>
    <w:p>
      <w:pPr>
        <w:pStyle w:val="Heading2"/>
      </w:pPr>
      <w:r>
        <w:t>Source map</w:t>
      </w:r>
    </w:p>
    <w:p>
      <w:pPr>
        <w:pStyle w:val="ListBullet"/>
      </w:pPr>
      <w:r>
        <w:t>Assignment brief: docs/assignment/nymble-technical-exercise.pdf (pages 1 to 3)</w:t>
      </w:r>
    </w:p>
    <w:p>
      <w:pPr>
        <w:pStyle w:val="ListBullet"/>
      </w:pPr>
      <w:r>
        <w:t>Journey, decisions, findings (canonical): docs/journey.json (D01 to D17, F01 to F42, T01 to T26); deprecation evidence T07 and D01</w:t>
      </w:r>
    </w:p>
    <w:p>
      <w:pPr>
        <w:pStyle w:val="ListBullet"/>
      </w:pPr>
      <w:r>
        <w:t>Parity and final gate: docs/baseline-report.md sections 9 and 10</w:t>
      </w:r>
    </w:p>
    <w:p>
      <w:pPr>
        <w:pStyle w:val="ListBullet"/>
      </w:pPr>
      <w:r>
        <w:t>graph-final: evals/results/graph-final-c3337bb0-report.md; multi-turn evals/results/multiturn-graph-final-a7e609e7.md</w:t>
      </w:r>
    </w:p>
    <w:p>
      <w:pPr>
        <w:pStyle w:val="ListBullet"/>
      </w:pPr>
      <w:r>
        <w:t>boundary-persisted: docs/safety.md (Persisted refusal boundary); evals/results/boundary-verdict/verdict.md; evals/results/boundary-on-r4-aeb73d36.md</w:t>
      </w:r>
    </w:p>
    <w:p>
      <w:pPr>
        <w:pStyle w:val="ListBullet"/>
      </w:pPr>
      <w:r>
        <w:t>synthesis-capped: evals/results/synth-full-f7ca9e15-report.md; safety-gated: evals/results/safety-pregraph-full-b46acc33-report.md; graph-parity: evals/results/graph-parity-a733f3d0-report.md</w:t>
      </w:r>
    </w:p>
    <w:p>
      <w:pPr>
        <w:pStyle w:val="ListBullet"/>
      </w:pPr>
      <w:r>
        <w:t>Ablations: evals/results/abl-graph-stages-report.md; privacy: evals/results/priv-sanitizer-safety-ca3da172.md, docs/safety.md, commit 3435caf</w:t>
      </w:r>
    </w:p>
    <w:p>
      <w:pPr>
        <w:pStyle w:val="ListBullet"/>
      </w:pPr>
      <w:r>
        <w:t>Retrieval: docs/retrieval-experiments.md; docs/decisions/pageindex-vs-weaviate.md; docs/decisions/pinecone-rerank.md; evals/results/pinecone-rerank.md, pinecone-rerank-stage2.md, pinecone-dense-diag.md, pi-gate-*; docs/experiments/</w:t>
      </w:r>
    </w:p>
    <w:p>
      <w:pPr>
        <w:pStyle w:val="ListBullet"/>
      </w:pPr>
      <w:r>
        <w:t>Runtime: healthcare_rag/graph/build.py, routers.py, nodes/; Studio captures: artifacts/healthcare-rag-findings/img/studio-graph.png, studio-thread.png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