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sz w:val="72"/>
          <w:szCs w:val="72"/>
        </w:rPr>
        <w:t xml:space="preserve"/>
      </w:r>
    </w:p>
    <w:p>
      <w:pPr>
        <w:spacing w:after="0" w:before="0"/>
        <w:jc w:val="center"/>
      </w:pPr>
      <w:r>
        <w:rPr>
          <w:rFonts w:ascii="Arial" w:cs="Arial" w:eastAsia="Arial" w:hAnsi="Arial"/>
          <w:b/>
          <w:bCs/>
          <w:color w:val="1F3864"/>
          <w:sz w:val="56"/>
          <w:szCs w:val="56"/>
        </w:rPr>
        <w:t xml:space="preserve">CUSTOMER BEHAVIOR ANALYSIS</w:t>
      </w:r>
    </w:p>
    <w:p>
      <w:pPr>
        <w:spacing w:after="0" w:before="120"/>
        <w:jc w:val="center"/>
      </w:pPr>
      <w:r>
        <w:rPr>
          <w:rFonts w:ascii="Arial" w:cs="Arial" w:eastAsia="Arial" w:hAnsi="Arial"/>
          <w:i/>
          <w:iCs/>
          <w:color w:val="C71585"/>
          <w:sz w:val="26"/>
          <w:szCs w:val="26"/>
        </w:rPr>
        <w:t xml:space="preserve">Retail Shopping Dataset — Comprehensive Project Report</w:t>
      </w:r>
    </w:p>
    <w:p>
      <w:r>
        <w:rPr>
          <w:sz w:val="24"/>
          <w:szCs w:val="24"/>
        </w:rPr>
        <w:t xml:space="preserve"/>
      </w:r>
    </w:p>
    <w:p>
      <w:pPr>
        <w:pBdr>
          <w:bottom w:val="single" w:color="C71585" w:sz="8" w:space="1"/>
        </w:pBdr>
        <w:jc w:val="center"/>
      </w:pPr>
      <w:r>
        <w:t xml:space="preserve"/>
      </w:r>
    </w:p>
    <w:p>
      <w:r>
        <w:rPr>
          <w:sz w:val="48"/>
          <w:szCs w:val="48"/>
        </w:rPr>
        <w:t xml:space="preserve"/>
      </w:r>
    </w:p>
    <w:p>
      <w:pPr>
        <w:jc w:val="center"/>
      </w:pPr>
      <w:r>
        <w:rPr>
          <w:rFonts w:ascii="Arial" w:cs="Arial" w:eastAsia="Arial" w:hAnsi="Arial"/>
          <w:color w:val="212121"/>
          <w:sz w:val="22"/>
          <w:szCs w:val="22"/>
        </w:rPr>
        <w:t xml:space="preserve">Prepared by: Data Analytics Team</w:t>
      </w:r>
    </w:p>
    <w:p>
      <w:pPr>
        <w:jc w:val="center"/>
      </w:pPr>
      <w:r>
        <w:rPr>
          <w:rFonts w:ascii="Arial" w:cs="Arial" w:eastAsia="Arial" w:hAnsi="Arial"/>
          <w:color w:val="212121"/>
          <w:sz w:val="22"/>
          <w:szCs w:val="22"/>
        </w:rPr>
        <w:t xml:space="preserve">Tool Stack: Python (Pandas) | PostgreSQL | Power BI</w:t>
      </w:r>
    </w:p>
    <w:p>
      <w:pPr>
        <w:jc w:val="center"/>
      </w:pPr>
      <w:r>
        <w:rPr>
          <w:rFonts w:ascii="Arial" w:cs="Arial" w:eastAsia="Arial" w:hAnsi="Arial"/>
          <w:color w:val="212121"/>
          <w:sz w:val="22"/>
          <w:szCs w:val="22"/>
        </w:rPr>
        <w:t xml:space="preserve">Date: April 2026</w:t>
      </w:r>
    </w:p>
    <w:p>
      <w:r>
        <w:rPr>
          <w:sz w:val="120"/>
          <w:szCs w:val="120"/>
        </w:rPr>
        <w:t xml:space="preserve"/>
      </w:r>
    </w:p>
    <w:p>
      <w:r>
        <w:br w:type="page"/>
      </w:r>
    </w:p>
    <w:p>
      <w:pPr>
        <w:pStyle w:val="Heading1"/>
        <w:spacing w:after="200" w:before="360"/>
      </w:pPr>
      <w:r>
        <w:rPr>
          <w:rFonts w:ascii="Arial" w:cs="Arial" w:eastAsia="Arial" w:hAnsi="Arial"/>
          <w:b/>
          <w:bCs/>
          <w:color w:val="1F3864"/>
          <w:sz w:val="32"/>
          <w:szCs w:val="32"/>
        </w:rPr>
        <w:t xml:space="preserve">1. Executive Summary</w:t>
      </w:r>
    </w:p>
    <w:p>
      <w:pPr>
        <w:pBdr>
          <w:bottom w:val="single" w:color="C71585" w:sz="4" w:space="1"/>
        </w:pBdr>
        <w:spacing w:after="100" w:before="100"/>
      </w:pPr>
      <w:r>
        <w:t xml:space="preserve"/>
      </w:r>
    </w:p>
    <w:p>
      <w:pPr>
        <w:spacing w:after="80" w:before="80"/>
        <w:jc w:val="both"/>
      </w:pPr>
      <w:r>
        <w:rPr>
          <w:rFonts w:ascii="Arial" w:cs="Arial" w:eastAsia="Arial" w:hAnsi="Arial"/>
          <w:b w:val="false"/>
          <w:bCs w:val="false"/>
          <w:i w:val="false"/>
          <w:iCs w:val="false"/>
          <w:color w:val="212121"/>
          <w:sz w:val="22"/>
          <w:szCs w:val="22"/>
        </w:rPr>
        <w:t xml:space="preserve">This report presents a comprehensive end-to-end data analysis of retail customer shopping behavior, encompassing data cleaning, feature engineering, relational database storage, structured SQL querying, and business intelligence visualization. The dataset comprises 3,900 customer records spanning four product categories — Clothing, Accessories, Footwear, and Outerwear — along with demographic, transactional, and behavioral attributes.</w:t>
      </w:r>
    </w:p>
    <w:p>
      <w:r>
        <w:rPr>
          <w:sz w:val="12"/>
          <w:szCs w:val="12"/>
        </w:rPr>
        <w:t xml:space="preserve"/>
      </w:r>
    </w:p>
    <w:p>
      <w:pPr>
        <w:spacing w:after="80" w:before="80"/>
        <w:jc w:val="both"/>
      </w:pPr>
      <w:r>
        <w:rPr>
          <w:rFonts w:ascii="Arial" w:cs="Arial" w:eastAsia="Arial" w:hAnsi="Arial"/>
          <w:b w:val="false"/>
          <w:bCs w:val="false"/>
          <w:i w:val="false"/>
          <w:iCs w:val="false"/>
          <w:color w:val="212121"/>
          <w:sz w:val="22"/>
          <w:szCs w:val="22"/>
        </w:rPr>
        <w:t xml:space="preserve">The analysis uncovers critical patterns in revenue generation, product performance, customer loyalty, subscription dynamics, and discount sensitivity. Key findings are summarized below:</w:t>
      </w:r>
    </w:p>
    <w:p>
      <w:r>
        <w:rPr>
          <w:sz w:val="12"/>
          <w:szCs w:val="12"/>
        </w:rPr>
        <w:t xml:space="preserve"/>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3020"/>
        <w:gridCol w:w="3020"/>
        <w:gridCol w:w="3020"/>
      </w:tblGrid>
      <w:tr>
        <w:tc>
          <w:tcPr>
            <w:tcW w:type="dxa" w:w="3020"/>
            <w:tcBorders>
              <w:top w:val="single" w:color="CCCCCC" w:sz="1"/>
              <w:left w:val="single" w:color="CCCCCC" w:sz="1"/>
              <w:bottom w:val="single" w:color="CCCCCC" w:sz="1"/>
              <w:right w:val="single" w:color="CCCCCC" w:sz="1"/>
            </w:tcBorders>
            <w:shd w:fill="D6E4F7" w:val="clear"/>
            <w:tcMar>
              <w:top w:type="dxa" w:w="120"/>
              <w:left w:type="dxa" w:w="120"/>
              <w:bottom w:type="dxa" w:w="120"/>
              <w:right w:type="dxa" w:w="120"/>
            </w:tcMar>
            <w:vAlign w:val="center"/>
          </w:tcPr>
          <w:p>
            <w:pPr>
              <w:jc w:val="center"/>
            </w:pPr>
            <w:r>
              <w:rPr>
                <w:rFonts w:ascii="Arial" w:cs="Arial" w:eastAsia="Arial" w:hAnsi="Arial"/>
                <w:b/>
                <w:bCs/>
                <w:color w:val="1F3864"/>
                <w:sz w:val="40"/>
                <w:szCs w:val="40"/>
              </w:rPr>
              <w:t xml:space="preserve">3,900</w:t>
            </w:r>
          </w:p>
          <w:p>
            <w:pPr>
              <w:jc w:val="center"/>
            </w:pPr>
            <w:r>
              <w:rPr>
                <w:rFonts w:ascii="Arial" w:cs="Arial" w:eastAsia="Arial" w:hAnsi="Arial"/>
                <w:b/>
                <w:bCs/>
                <w:color w:val="C71585"/>
                <w:sz w:val="18"/>
                <w:szCs w:val="18"/>
              </w:rPr>
              <w:t xml:space="preserve">Total Customers</w:t>
            </w:r>
          </w:p>
        </w:tc>
        <w:tc>
          <w:tcPr>
            <w:tcW w:type="dxa" w:w="3020"/>
            <w:tcBorders>
              <w:top w:val="single" w:color="CCCCCC" w:sz="1"/>
              <w:left w:val="single" w:color="CCCCCC" w:sz="1"/>
              <w:bottom w:val="single" w:color="CCCCCC" w:sz="1"/>
              <w:right w:val="single" w:color="CCCCCC" w:sz="1"/>
            </w:tcBorders>
            <w:shd w:fill="D6E4F7" w:val="clear"/>
            <w:tcMar>
              <w:top w:type="dxa" w:w="120"/>
              <w:left w:type="dxa" w:w="120"/>
              <w:bottom w:type="dxa" w:w="120"/>
              <w:right w:type="dxa" w:w="120"/>
            </w:tcMar>
            <w:vAlign w:val="center"/>
          </w:tcPr>
          <w:p>
            <w:pPr>
              <w:jc w:val="center"/>
            </w:pPr>
            <w:r>
              <w:rPr>
                <w:rFonts w:ascii="Arial" w:cs="Arial" w:eastAsia="Arial" w:hAnsi="Arial"/>
                <w:b/>
                <w:bCs/>
                <w:color w:val="1F3864"/>
                <w:sz w:val="40"/>
                <w:szCs w:val="40"/>
              </w:rPr>
              <w:t xml:space="preserve">3.75 / 5</w:t>
            </w:r>
          </w:p>
          <w:p>
            <w:pPr>
              <w:jc w:val="center"/>
            </w:pPr>
            <w:r>
              <w:rPr>
                <w:rFonts w:ascii="Arial" w:cs="Arial" w:eastAsia="Arial" w:hAnsi="Arial"/>
                <w:b/>
                <w:bCs/>
                <w:color w:val="C71585"/>
                <w:sz w:val="18"/>
                <w:szCs w:val="18"/>
              </w:rPr>
              <w:t xml:space="preserve">Avg Review Rating</w:t>
            </w:r>
          </w:p>
        </w:tc>
        <w:tc>
          <w:tcPr>
            <w:tcW w:type="dxa" w:w="3020"/>
            <w:tcBorders>
              <w:top w:val="single" w:color="CCCCCC" w:sz="1"/>
              <w:left w:val="single" w:color="CCCCCC" w:sz="1"/>
              <w:bottom w:val="single" w:color="CCCCCC" w:sz="1"/>
              <w:right w:val="single" w:color="CCCCCC" w:sz="1"/>
            </w:tcBorders>
            <w:shd w:fill="D6E4F7" w:val="clear"/>
            <w:tcMar>
              <w:top w:type="dxa" w:w="120"/>
              <w:left w:type="dxa" w:w="120"/>
              <w:bottom w:type="dxa" w:w="120"/>
              <w:right w:type="dxa" w:w="120"/>
            </w:tcMar>
            <w:vAlign w:val="center"/>
          </w:tcPr>
          <w:p>
            <w:pPr>
              <w:jc w:val="center"/>
            </w:pPr>
            <w:r>
              <w:rPr>
                <w:rFonts w:ascii="Arial" w:cs="Arial" w:eastAsia="Arial" w:hAnsi="Arial"/>
                <w:b/>
                <w:bCs/>
                <w:color w:val="1F3864"/>
                <w:sz w:val="40"/>
                <w:szCs w:val="40"/>
              </w:rPr>
              <w:t xml:space="preserve">$59.76</w:t>
            </w:r>
          </w:p>
          <w:p>
            <w:pPr>
              <w:jc w:val="center"/>
            </w:pPr>
            <w:r>
              <w:rPr>
                <w:rFonts w:ascii="Arial" w:cs="Arial" w:eastAsia="Arial" w:hAnsi="Arial"/>
                <w:b/>
                <w:bCs/>
                <w:color w:val="C71585"/>
                <w:sz w:val="18"/>
                <w:szCs w:val="18"/>
              </w:rPr>
              <w:t xml:space="preserve">Avg Purchase Amount</w:t>
            </w:r>
          </w:p>
        </w:tc>
      </w:tr>
    </w:tbl>
    <w:p>
      <w:r>
        <w:rPr>
          <w:sz w:val="12"/>
          <w:szCs w:val="12"/>
        </w:rPr>
        <w:t xml:space="preserve"/>
      </w:r>
    </w:p>
    <w:p>
      <w:pPr>
        <w:pStyle w:val="ListParagraph"/>
        <w:numPr>
          <w:ilvl w:val="0"/>
          <w:numId w:val="2"/>
        </w:numPr>
        <w:spacing w:after="60" w:before="60"/>
      </w:pPr>
      <w:r>
        <w:rPr>
          <w:rFonts w:ascii="Arial" w:cs="Arial" w:eastAsia="Arial" w:hAnsi="Arial"/>
          <w:color w:val="212121"/>
          <w:sz w:val="21"/>
          <w:szCs w:val="21"/>
        </w:rPr>
        <w:t xml:space="preserve">Male customers generate more than double the revenue of female customers ($157,890 vs $75,191).</w:t>
      </w:r>
    </w:p>
    <w:p>
      <w:pPr>
        <w:pStyle w:val="ListParagraph"/>
        <w:numPr>
          <w:ilvl w:val="0"/>
          <w:numId w:val="2"/>
        </w:numPr>
        <w:spacing w:after="60" w:before="60"/>
      </w:pPr>
      <w:r>
        <w:rPr>
          <w:rFonts w:ascii="Arial" w:cs="Arial" w:eastAsia="Arial" w:hAnsi="Arial"/>
          <w:color w:val="212121"/>
          <w:sz w:val="21"/>
          <w:szCs w:val="21"/>
        </w:rPr>
        <w:t xml:space="preserve">Young Adults are the highest-revenue age group at $62,143, followed closely by Middle-aged at $59,197.</w:t>
      </w:r>
    </w:p>
    <w:p>
      <w:pPr>
        <w:pStyle w:val="ListParagraph"/>
        <w:numPr>
          <w:ilvl w:val="0"/>
          <w:numId w:val="2"/>
        </w:numPr>
        <w:spacing w:after="60" w:before="60"/>
      </w:pPr>
      <w:r>
        <w:rPr>
          <w:rFonts w:ascii="Arial" w:cs="Arial" w:eastAsia="Arial" w:hAnsi="Arial"/>
          <w:color w:val="212121"/>
          <w:sz w:val="21"/>
          <w:szCs w:val="21"/>
        </w:rPr>
        <w:t xml:space="preserve">73% of customers are non-subscribers, yet they generate nearly 3x the total revenue of subscribers.</w:t>
      </w:r>
    </w:p>
    <w:p>
      <w:pPr>
        <w:pStyle w:val="ListParagraph"/>
        <w:numPr>
          <w:ilvl w:val="0"/>
          <w:numId w:val="2"/>
        </w:numPr>
        <w:spacing w:after="60" w:before="60"/>
      </w:pPr>
      <w:r>
        <w:rPr>
          <w:rFonts w:ascii="Arial" w:cs="Arial" w:eastAsia="Arial" w:hAnsi="Arial"/>
          <w:color w:val="212121"/>
          <w:sz w:val="21"/>
          <w:szCs w:val="21"/>
        </w:rPr>
        <w:t xml:space="preserve">Gloves rank as the top-rated product with an average review rating of 3.86 out of 5.</w:t>
      </w:r>
    </w:p>
    <w:p>
      <w:pPr>
        <w:pStyle w:val="ListParagraph"/>
        <w:numPr>
          <w:ilvl w:val="0"/>
          <w:numId w:val="2"/>
        </w:numPr>
        <w:spacing w:after="60" w:before="60"/>
      </w:pPr>
      <w:r>
        <w:rPr>
          <w:rFonts w:ascii="Arial" w:cs="Arial" w:eastAsia="Arial" w:hAnsi="Arial"/>
          <w:color w:val="212121"/>
          <w:sz w:val="21"/>
          <w:szCs w:val="21"/>
        </w:rPr>
        <w:t xml:space="preserve">Loyal customers (11+ purchases) account for 80% of the customer base, highlighting strong retention.</w:t>
      </w:r>
    </w:p>
    <w:p>
      <w:pPr>
        <w:pStyle w:val="ListParagraph"/>
        <w:numPr>
          <w:ilvl w:val="0"/>
          <w:numId w:val="2"/>
        </w:numPr>
        <w:spacing w:after="60" w:before="60"/>
      </w:pPr>
      <w:r>
        <w:rPr>
          <w:rFonts w:ascii="Arial" w:cs="Arial" w:eastAsia="Arial" w:hAnsi="Arial"/>
          <w:color w:val="212121"/>
          <w:sz w:val="21"/>
          <w:szCs w:val="21"/>
        </w:rPr>
        <w:t xml:space="preserve">Hat has the highest discount usage rate at 50%, suggesting strong price sensitivity in accessories.</w:t>
      </w:r>
    </w:p>
    <w:p>
      <w:r>
        <w:rPr>
          <w:sz w:val="12"/>
          <w:szCs w:val="12"/>
        </w:rPr>
        <w:t xml:space="preserve"/>
      </w:r>
    </w:p>
    <w:p>
      <w:r>
        <w:br w:type="page"/>
      </w:r>
    </w:p>
    <w:p>
      <w:pPr>
        <w:pStyle w:val="Heading1"/>
        <w:spacing w:after="200" w:before="360"/>
      </w:pPr>
      <w:r>
        <w:rPr>
          <w:rFonts w:ascii="Arial" w:cs="Arial" w:eastAsia="Arial" w:hAnsi="Arial"/>
          <w:b/>
          <w:bCs/>
          <w:color w:val="1F3864"/>
          <w:sz w:val="32"/>
          <w:szCs w:val="32"/>
        </w:rPr>
        <w:t xml:space="preserve">2. Project Overview</w:t>
      </w:r>
    </w:p>
    <w:p>
      <w:pPr>
        <w:pBdr>
          <w:bottom w:val="single" w:color="C71585" w:sz="4" w:space="1"/>
        </w:pBdr>
        <w:spacing w:after="100" w:before="100"/>
      </w:pPr>
      <w:r>
        <w:t xml:space="preserve"/>
      </w:r>
    </w:p>
    <w:p>
      <w:pPr>
        <w:pStyle w:val="Heading2"/>
        <w:spacing w:after="140" w:before="280"/>
      </w:pPr>
      <w:r>
        <w:rPr>
          <w:rFonts w:ascii="Arial" w:cs="Arial" w:eastAsia="Arial" w:hAnsi="Arial"/>
          <w:b/>
          <w:bCs/>
          <w:color w:val="C71585"/>
          <w:sz w:val="26"/>
          <w:szCs w:val="26"/>
        </w:rPr>
        <w:t xml:space="preserve">2.1 Objectives</w:t>
      </w:r>
    </w:p>
    <w:p>
      <w:pPr>
        <w:pStyle w:val="ListParagraph"/>
        <w:numPr>
          <w:ilvl w:val="0"/>
          <w:numId w:val="2"/>
        </w:numPr>
        <w:spacing w:after="60" w:before="60"/>
      </w:pPr>
      <w:r>
        <w:rPr>
          <w:rFonts w:ascii="Arial" w:cs="Arial" w:eastAsia="Arial" w:hAnsi="Arial"/>
          <w:color w:val="212121"/>
          <w:sz w:val="21"/>
          <w:szCs w:val="21"/>
        </w:rPr>
        <w:t xml:space="preserve">Perform data wrangling and preprocessing on a raw customer shopping dataset.</w:t>
      </w:r>
    </w:p>
    <w:p>
      <w:pPr>
        <w:pStyle w:val="ListParagraph"/>
        <w:numPr>
          <w:ilvl w:val="0"/>
          <w:numId w:val="2"/>
        </w:numPr>
        <w:spacing w:after="60" w:before="60"/>
      </w:pPr>
      <w:r>
        <w:rPr>
          <w:rFonts w:ascii="Arial" w:cs="Arial" w:eastAsia="Arial" w:hAnsi="Arial"/>
          <w:color w:val="212121"/>
          <w:sz w:val="21"/>
          <w:szCs w:val="21"/>
        </w:rPr>
        <w:t xml:space="preserve">Engineer meaningful features (age groups, purchase frequency in days) to enable richer analysis.</w:t>
      </w:r>
    </w:p>
    <w:p>
      <w:pPr>
        <w:pStyle w:val="ListParagraph"/>
        <w:numPr>
          <w:ilvl w:val="0"/>
          <w:numId w:val="2"/>
        </w:numPr>
        <w:spacing w:after="60" w:before="60"/>
      </w:pPr>
      <w:r>
        <w:rPr>
          <w:rFonts w:ascii="Arial" w:cs="Arial" w:eastAsia="Arial" w:hAnsi="Arial"/>
          <w:color w:val="212121"/>
          <w:sz w:val="21"/>
          <w:szCs w:val="21"/>
        </w:rPr>
        <w:t xml:space="preserve">Load cleaned data into a PostgreSQL relational database for structured querying.</w:t>
      </w:r>
    </w:p>
    <w:p>
      <w:pPr>
        <w:pStyle w:val="ListParagraph"/>
        <w:numPr>
          <w:ilvl w:val="0"/>
          <w:numId w:val="2"/>
        </w:numPr>
        <w:spacing w:after="60" w:before="60"/>
      </w:pPr>
      <w:r>
        <w:rPr>
          <w:rFonts w:ascii="Arial" w:cs="Arial" w:eastAsia="Arial" w:hAnsi="Arial"/>
          <w:color w:val="212121"/>
          <w:sz w:val="21"/>
          <w:szCs w:val="21"/>
        </w:rPr>
        <w:t xml:space="preserve">Answer 10 targeted business questions using SQL queries (aggregations, CTEs, window functions).</w:t>
      </w:r>
    </w:p>
    <w:p>
      <w:pPr>
        <w:pStyle w:val="ListParagraph"/>
        <w:numPr>
          <w:ilvl w:val="0"/>
          <w:numId w:val="2"/>
        </w:numPr>
        <w:spacing w:after="60" w:before="60"/>
      </w:pPr>
      <w:r>
        <w:rPr>
          <w:rFonts w:ascii="Arial" w:cs="Arial" w:eastAsia="Arial" w:hAnsi="Arial"/>
          <w:color w:val="212121"/>
          <w:sz w:val="21"/>
          <w:szCs w:val="21"/>
        </w:rPr>
        <w:t xml:space="preserve">Visualize key insights using a Power BI interactive dashboard.</w:t>
      </w:r>
    </w:p>
    <w:p>
      <w:r>
        <w:rPr>
          <w:sz w:val="12"/>
          <w:szCs w:val="12"/>
        </w:rPr>
        <w:t xml:space="preserve"/>
      </w:r>
    </w:p>
    <w:p>
      <w:pPr>
        <w:pStyle w:val="Heading2"/>
        <w:spacing w:after="140" w:before="280"/>
      </w:pPr>
      <w:r>
        <w:rPr>
          <w:rFonts w:ascii="Arial" w:cs="Arial" w:eastAsia="Arial" w:hAnsi="Arial"/>
          <w:b/>
          <w:bCs/>
          <w:color w:val="C71585"/>
          <w:sz w:val="26"/>
          <w:szCs w:val="26"/>
        </w:rPr>
        <w:t xml:space="preserve">2.2 Dataset Description</w:t>
      </w:r>
    </w:p>
    <w:p>
      <w:pPr>
        <w:spacing w:after="80" w:before="80"/>
        <w:jc w:val="both"/>
      </w:pPr>
      <w:r>
        <w:rPr>
          <w:rFonts w:ascii="Arial" w:cs="Arial" w:eastAsia="Arial" w:hAnsi="Arial"/>
          <w:b w:val="false"/>
          <w:bCs w:val="false"/>
          <w:i w:val="false"/>
          <w:iCs w:val="false"/>
          <w:color w:val="212121"/>
          <w:sz w:val="22"/>
          <w:szCs w:val="22"/>
        </w:rPr>
        <w:t xml:space="preserve">The dataset — customer_shopping_behavior.csv — contains retail transaction records with the following attributes:</w:t>
      </w:r>
    </w:p>
    <w:p>
      <w:r>
        <w:rPr>
          <w:sz w:val="12"/>
          <w:szCs w:val="12"/>
        </w:rPr>
        <w:t xml:space="preserve"/>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3560"/>
      </w:tblGrid>
      <w:tr>
        <w:trPr>
          <w:tblHeader/>
        </w:trPr>
        <w:tc>
          <w:tcPr>
            <w:tcW w:type="dxa" w:w="3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Field</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W w:type="dxa" w:w="3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212121"/>
                <w:sz w:val="20"/>
                <w:szCs w:val="20"/>
              </w:rPr>
              <w:t xml:space="preserve">customer_id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212121"/>
                <w:sz w:val="20"/>
                <w:szCs w:val="20"/>
              </w:rPr>
              <w:t xml:space="preserve">Integer</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212121"/>
                <w:sz w:val="20"/>
                <w:szCs w:val="20"/>
              </w:rPr>
              <w:t xml:space="preserve">Unique identifier per customer</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color w:val="212121"/>
                <w:sz w:val="20"/>
                <w:szCs w:val="20"/>
              </w:rPr>
              <w:t xml:space="preserve">age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color w:val="212121"/>
                <w:sz w:val="20"/>
                <w:szCs w:val="20"/>
              </w:rPr>
              <w:t xml:space="preserve">Integer</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color w:val="212121"/>
                <w:sz w:val="20"/>
                <w:szCs w:val="20"/>
              </w:rPr>
              <w:t xml:space="preserve">Customer age in years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212121"/>
                <w:sz w:val="20"/>
                <w:szCs w:val="20"/>
              </w:rPr>
              <w:t xml:space="preserve">gender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212121"/>
                <w:sz w:val="20"/>
                <w:szCs w:val="20"/>
              </w:rPr>
              <w:t xml:space="preserve">Text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212121"/>
                <w:sz w:val="20"/>
                <w:szCs w:val="20"/>
              </w:rPr>
              <w:t xml:space="preserve">Male / Female</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color w:val="212121"/>
                <w:sz w:val="20"/>
                <w:szCs w:val="20"/>
              </w:rPr>
              <w:t xml:space="preserve">item_purchased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color w:val="212121"/>
                <w:sz w:val="20"/>
                <w:szCs w:val="20"/>
              </w:rPr>
              <w:t xml:space="preserve">Text</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color w:val="212121"/>
                <w:sz w:val="20"/>
                <w:szCs w:val="20"/>
              </w:rPr>
              <w:t xml:space="preserve">Name of the product bought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212121"/>
                <w:sz w:val="20"/>
                <w:szCs w:val="20"/>
              </w:rPr>
              <w:t xml:space="preserve">category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212121"/>
                <w:sz w:val="20"/>
                <w:szCs w:val="20"/>
              </w:rPr>
              <w:t xml:space="preserve">Text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212121"/>
                <w:sz w:val="20"/>
                <w:szCs w:val="20"/>
              </w:rPr>
              <w:t xml:space="preserve">Clothing, Accessories, Footwear, Outerwear</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color w:val="212121"/>
                <w:sz w:val="20"/>
                <w:szCs w:val="20"/>
              </w:rPr>
              <w:t xml:space="preserve">purchase_amount (USD)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color w:val="212121"/>
                <w:sz w:val="20"/>
                <w:szCs w:val="20"/>
              </w:rPr>
              <w:t xml:space="preserve">Numeric</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color w:val="212121"/>
                <w:sz w:val="20"/>
                <w:szCs w:val="20"/>
              </w:rPr>
              <w:t xml:space="preserve">Transaction value in US dollars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212121"/>
                <w:sz w:val="20"/>
                <w:szCs w:val="20"/>
              </w:rPr>
              <w:t xml:space="preserve">review_rating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212121"/>
                <w:sz w:val="20"/>
                <w:szCs w:val="20"/>
              </w:rPr>
              <w:t xml:space="preserve">Float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212121"/>
                <w:sz w:val="20"/>
                <w:szCs w:val="20"/>
              </w:rPr>
              <w:t xml:space="preserve">Product rating given by customer (1–5)</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color w:val="212121"/>
                <w:sz w:val="20"/>
                <w:szCs w:val="20"/>
              </w:rPr>
              <w:t xml:space="preserve">subscription_status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color w:val="212121"/>
                <w:sz w:val="20"/>
                <w:szCs w:val="20"/>
              </w:rPr>
              <w:t xml:space="preserve">Text</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color w:val="212121"/>
                <w:sz w:val="20"/>
                <w:szCs w:val="20"/>
              </w:rPr>
              <w:t xml:space="preserve">Yes / No — premium subscriber</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212121"/>
                <w:sz w:val="20"/>
                <w:szCs w:val="20"/>
              </w:rPr>
              <w:t xml:space="preserve">shipping_type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212121"/>
                <w:sz w:val="20"/>
                <w:szCs w:val="20"/>
              </w:rPr>
              <w:t xml:space="preserve">Text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212121"/>
                <w:sz w:val="20"/>
                <w:szCs w:val="20"/>
              </w:rPr>
              <w:t xml:space="preserve">Standard, Express, 2-Day, Next Day Air, etc.</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color w:val="212121"/>
                <w:sz w:val="20"/>
                <w:szCs w:val="20"/>
              </w:rPr>
              <w:t xml:space="preserve">discount_applied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color w:val="212121"/>
                <w:sz w:val="20"/>
                <w:szCs w:val="20"/>
              </w:rPr>
              <w:t xml:space="preserve">Text</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color w:val="212121"/>
                <w:sz w:val="20"/>
                <w:szCs w:val="20"/>
              </w:rPr>
              <w:t xml:space="preserve">Whether a discount was applied (Yes/No)</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212121"/>
                <w:sz w:val="20"/>
                <w:szCs w:val="20"/>
              </w:rPr>
              <w:t xml:space="preserve">promo_code_used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212121"/>
                <w:sz w:val="20"/>
                <w:szCs w:val="20"/>
              </w:rPr>
              <w:t xml:space="preserve">Text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212121"/>
                <w:sz w:val="20"/>
                <w:szCs w:val="20"/>
              </w:rPr>
              <w:t xml:space="preserve">Whether a promo code was used (Yes/No)</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color w:val="212121"/>
                <w:sz w:val="20"/>
                <w:szCs w:val="20"/>
              </w:rPr>
              <w:t xml:space="preserve">previous_purchases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color w:val="212121"/>
                <w:sz w:val="20"/>
                <w:szCs w:val="20"/>
              </w:rPr>
              <w:t xml:space="preserve">Integer</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color w:val="212121"/>
                <w:sz w:val="20"/>
                <w:szCs w:val="20"/>
              </w:rPr>
              <w:t xml:space="preserve">Number of prior purchases by the customer</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212121"/>
                <w:sz w:val="20"/>
                <w:szCs w:val="20"/>
              </w:rPr>
              <w:t xml:space="preserve">frequency_of_purchases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212121"/>
                <w:sz w:val="20"/>
                <w:szCs w:val="20"/>
              </w:rPr>
              <w:t xml:space="preserve">Text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212121"/>
                <w:sz w:val="20"/>
                <w:szCs w:val="20"/>
              </w:rPr>
              <w:t xml:space="preserve">Verbal description of purchase cadence</w:t>
            </w:r>
          </w:p>
        </w:tc>
      </w:tr>
    </w:tbl>
    <w:p>
      <w:r>
        <w:rPr>
          <w:sz w:val="12"/>
          <w:szCs w:val="12"/>
        </w:rPr>
        <w:t xml:space="preserve"/>
      </w:r>
    </w:p>
    <w:p>
      <w:r>
        <w:br w:type="page"/>
      </w:r>
    </w:p>
    <w:p>
      <w:pPr>
        <w:pStyle w:val="Heading1"/>
        <w:spacing w:after="200" w:before="360"/>
      </w:pPr>
      <w:r>
        <w:rPr>
          <w:rFonts w:ascii="Arial" w:cs="Arial" w:eastAsia="Arial" w:hAnsi="Arial"/>
          <w:b/>
          <w:bCs/>
          <w:color w:val="1F3864"/>
          <w:sz w:val="32"/>
          <w:szCs w:val="32"/>
        </w:rPr>
        <w:t xml:space="preserve">3. Data Processing Pipeline</w:t>
      </w:r>
    </w:p>
    <w:p>
      <w:pPr>
        <w:pBdr>
          <w:bottom w:val="single" w:color="C71585" w:sz="4" w:space="1"/>
        </w:pBdr>
        <w:spacing w:after="100" w:before="100"/>
      </w:pPr>
      <w:r>
        <w:t xml:space="preserve"/>
      </w:r>
    </w:p>
    <w:p>
      <w:pPr>
        <w:pStyle w:val="Heading2"/>
        <w:spacing w:after="140" w:before="280"/>
      </w:pPr>
      <w:r>
        <w:rPr>
          <w:rFonts w:ascii="Arial" w:cs="Arial" w:eastAsia="Arial" w:hAnsi="Arial"/>
          <w:b/>
          <w:bCs/>
          <w:color w:val="C71585"/>
          <w:sz w:val="26"/>
          <w:szCs w:val="26"/>
        </w:rPr>
        <w:t xml:space="preserve">3.1 Data Cleaning</w:t>
      </w:r>
    </w:p>
    <w:p>
      <w:pPr>
        <w:spacing w:after="80" w:before="80"/>
        <w:jc w:val="both"/>
      </w:pPr>
      <w:r>
        <w:rPr>
          <w:rFonts w:ascii="Arial" w:cs="Arial" w:eastAsia="Arial" w:hAnsi="Arial"/>
          <w:b w:val="false"/>
          <w:bCs w:val="false"/>
          <w:i w:val="false"/>
          <w:iCs w:val="false"/>
          <w:color w:val="212121"/>
          <w:sz w:val="22"/>
          <w:szCs w:val="22"/>
        </w:rPr>
        <w:t xml:space="preserve">The raw CSV was loaded into a Pandas DataFrame and subjected to the following cleaning steps:</w:t>
      </w:r>
    </w:p>
    <w:p>
      <w:r>
        <w:rPr>
          <w:sz w:val="12"/>
          <w:szCs w:val="12"/>
        </w:rPr>
        <w:t xml:space="preserve"/>
      </w:r>
    </w:p>
    <w:p>
      <w:pPr>
        <w:pStyle w:val="ListParagraph"/>
        <w:numPr>
          <w:ilvl w:val="0"/>
          <w:numId w:val="2"/>
        </w:numPr>
        <w:spacing w:after="60" w:before="60"/>
      </w:pPr>
      <w:r>
        <w:rPr>
          <w:rFonts w:ascii="Arial" w:cs="Arial" w:eastAsia="Arial" w:hAnsi="Arial"/>
          <w:color w:val="212121"/>
          <w:sz w:val="21"/>
          <w:szCs w:val="21"/>
        </w:rPr>
        <w:t xml:space="preserve">Null Value Treatment: Missing values in review_rating were imputed with the category-level median using groupby().transform() — a robust strategy that preserves distribution within each product type.</w:t>
      </w:r>
    </w:p>
    <w:p>
      <w:pPr>
        <w:pStyle w:val="ListParagraph"/>
        <w:numPr>
          <w:ilvl w:val="0"/>
          <w:numId w:val="2"/>
        </w:numPr>
        <w:spacing w:after="60" w:before="60"/>
      </w:pPr>
      <w:r>
        <w:rPr>
          <w:rFonts w:ascii="Arial" w:cs="Arial" w:eastAsia="Arial" w:hAnsi="Arial"/>
          <w:color w:val="212121"/>
          <w:sz w:val="21"/>
          <w:szCs w:val="21"/>
        </w:rPr>
        <w:t xml:space="preserve">Column Standardization: All column names were converted to lowercase with spaces replaced by underscores for clean, SQL-compatible naming.</w:t>
      </w:r>
    </w:p>
    <w:p>
      <w:pPr>
        <w:pStyle w:val="ListParagraph"/>
        <w:numPr>
          <w:ilvl w:val="0"/>
          <w:numId w:val="2"/>
        </w:numPr>
        <w:spacing w:after="60" w:before="60"/>
      </w:pPr>
      <w:r>
        <w:rPr>
          <w:rFonts w:ascii="Arial" w:cs="Arial" w:eastAsia="Arial" w:hAnsi="Arial"/>
          <w:color w:val="212121"/>
          <w:sz w:val="21"/>
          <w:szCs w:val="21"/>
        </w:rPr>
        <w:t xml:space="preserve">Column Renaming: purchase_amount_(usd) was renamed to purchase_amount to remove special characters.</w:t>
      </w:r>
    </w:p>
    <w:p>
      <w:pPr>
        <w:pStyle w:val="ListParagraph"/>
        <w:numPr>
          <w:ilvl w:val="0"/>
          <w:numId w:val="2"/>
        </w:numPr>
        <w:spacing w:after="60" w:before="60"/>
      </w:pPr>
      <w:r>
        <w:rPr>
          <w:rFonts w:ascii="Arial" w:cs="Arial" w:eastAsia="Arial" w:hAnsi="Arial"/>
          <w:color w:val="212121"/>
          <w:sz w:val="21"/>
          <w:szCs w:val="21"/>
        </w:rPr>
        <w:t xml:space="preserve">Duplicate Column Removal: discount_applied and promo_code_used were found to be 100% identical (verified via boolean comparison), so promo_code_used was dropped to eliminate redundancy.</w:t>
      </w:r>
    </w:p>
    <w:p>
      <w:r>
        <w:rPr>
          <w:sz w:val="12"/>
          <w:szCs w:val="12"/>
        </w:rPr>
        <w:t xml:space="preserve"/>
      </w:r>
    </w:p>
    <w:p>
      <w:pPr>
        <w:pStyle w:val="Heading2"/>
        <w:spacing w:after="140" w:before="280"/>
      </w:pPr>
      <w:r>
        <w:rPr>
          <w:rFonts w:ascii="Arial" w:cs="Arial" w:eastAsia="Arial" w:hAnsi="Arial"/>
          <w:b/>
          <w:bCs/>
          <w:color w:val="C71585"/>
          <w:sz w:val="26"/>
          <w:szCs w:val="26"/>
        </w:rPr>
        <w:t xml:space="preserve">3.2 Feature Engineering</w:t>
      </w:r>
    </w:p>
    <w:p>
      <w:pPr>
        <w:spacing w:after="80" w:before="80"/>
        <w:jc w:val="both"/>
      </w:pPr>
      <w:r>
        <w:rPr>
          <w:rFonts w:ascii="Arial" w:cs="Arial" w:eastAsia="Arial" w:hAnsi="Arial"/>
          <w:b w:val="false"/>
          <w:bCs w:val="false"/>
          <w:i w:val="false"/>
          <w:iCs w:val="false"/>
          <w:color w:val="212121"/>
          <w:sz w:val="22"/>
          <w:szCs w:val="22"/>
        </w:rPr>
        <w:t xml:space="preserve">Two new features were derived to enhance analytical depth:</w:t>
      </w:r>
    </w:p>
    <w:p>
      <w:r>
        <w:rPr>
          <w:sz w:val="12"/>
          <w:szCs w:val="12"/>
        </w:rPr>
        <w:t xml:space="preserve"/>
      </w:r>
    </w:p>
    <w:p>
      <w:pPr>
        <w:spacing w:after="100" w:before="200"/>
      </w:pPr>
      <w:r>
        <w:rPr>
          <w:rFonts w:ascii="Arial" w:cs="Arial" w:eastAsia="Arial" w:hAnsi="Arial"/>
          <w:b/>
          <w:bCs/>
          <w:color w:val="1F3864"/>
          <w:sz w:val="22"/>
          <w:szCs w:val="22"/>
        </w:rPr>
        <w:t xml:space="preserve">Age Group (Quartile Binning)</w:t>
      </w:r>
    </w:p>
    <w:p>
      <w:pPr>
        <w:spacing w:after="80" w:before="80"/>
        <w:jc w:val="both"/>
      </w:pPr>
      <w:r>
        <w:rPr>
          <w:rFonts w:ascii="Arial" w:cs="Arial" w:eastAsia="Arial" w:hAnsi="Arial"/>
          <w:b w:val="false"/>
          <w:bCs w:val="false"/>
          <w:i w:val="false"/>
          <w:iCs w:val="false"/>
          <w:color w:val="212121"/>
          <w:sz w:val="22"/>
          <w:szCs w:val="22"/>
        </w:rPr>
        <w:t xml:space="preserve">Customers were segmented into four age groups using pd.qcut() for equal-frequency binning:</w:t>
      </w:r>
    </w:p>
    <w:p>
      <w:r>
        <w:rPr>
          <w:sz w:val="12"/>
          <w:szCs w:val="12"/>
        </w:rPr>
        <w:t xml:space="preserve"/>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4500"/>
        <w:gridCol w:w="4560"/>
      </w:tblGrid>
      <w:tr>
        <w:trPr>
          <w:tblHeader/>
        </w:trPr>
        <w:tc>
          <w:tcPr>
            <w:tcW w:type="dxa" w:w="4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Age Group</w:t>
            </w:r>
          </w:p>
        </w:tc>
        <w:tc>
          <w:tcPr>
            <w:tcW w:type="dxa" w:w="4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212121"/>
                <w:sz w:val="20"/>
                <w:szCs w:val="20"/>
              </w:rPr>
              <w:t xml:space="preserve">Young Adult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212121"/>
                <w:sz w:val="20"/>
                <w:szCs w:val="20"/>
              </w:rPr>
              <w:t xml:space="preserve">Lowest quartile of ages</w:t>
            </w:r>
          </w:p>
        </w:tc>
      </w:tr>
      <w:tr>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color w:val="212121"/>
                <w:sz w:val="20"/>
                <w:szCs w:val="20"/>
              </w:rPr>
              <w:t xml:space="preserve">Adult</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color w:val="212121"/>
                <w:sz w:val="20"/>
                <w:szCs w:val="20"/>
              </w:rPr>
              <w:t xml:space="preserve">Second quartile</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212121"/>
                <w:sz w:val="20"/>
                <w:szCs w:val="20"/>
              </w:rPr>
              <w:t xml:space="preserve">Middle-aged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212121"/>
                <w:sz w:val="20"/>
                <w:szCs w:val="20"/>
              </w:rPr>
              <w:t xml:space="preserve">Third quartile</w:t>
            </w:r>
          </w:p>
        </w:tc>
      </w:tr>
      <w:tr>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color w:val="212121"/>
                <w:sz w:val="20"/>
                <w:szCs w:val="20"/>
              </w:rPr>
              <w:t xml:space="preserve">Senior</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color w:val="212121"/>
                <w:sz w:val="20"/>
                <w:szCs w:val="20"/>
              </w:rPr>
              <w:t xml:space="preserve">Highest quartile of ages</w:t>
            </w:r>
          </w:p>
        </w:tc>
      </w:tr>
    </w:tbl>
    <w:p>
      <w:r>
        <w:rPr>
          <w:sz w:val="12"/>
          <w:szCs w:val="12"/>
        </w:rPr>
        <w:t xml:space="preserve"/>
      </w:r>
    </w:p>
    <w:p>
      <w:pPr>
        <w:spacing w:after="100" w:before="200"/>
      </w:pPr>
      <w:r>
        <w:rPr>
          <w:rFonts w:ascii="Arial" w:cs="Arial" w:eastAsia="Arial" w:hAnsi="Arial"/>
          <w:b/>
          <w:bCs/>
          <w:color w:val="1F3864"/>
          <w:sz w:val="22"/>
          <w:szCs w:val="22"/>
        </w:rPr>
        <w:t xml:space="preserve">Purchase Frequency in Days</w:t>
      </w:r>
    </w:p>
    <w:p>
      <w:pPr>
        <w:spacing w:after="80" w:before="80"/>
        <w:jc w:val="both"/>
      </w:pPr>
      <w:r>
        <w:rPr>
          <w:rFonts w:ascii="Arial" w:cs="Arial" w:eastAsia="Arial" w:hAnsi="Arial"/>
          <w:b w:val="false"/>
          <w:bCs w:val="false"/>
          <w:i w:val="false"/>
          <w:iCs w:val="false"/>
          <w:color w:val="212121"/>
          <w:sz w:val="22"/>
          <w:szCs w:val="22"/>
        </w:rPr>
        <w:t xml:space="preserve">The textual frequency_of_purchases field was mapped to numeric days for quantitative use:</w:t>
      </w:r>
    </w:p>
    <w:p>
      <w:r>
        <w:rPr>
          <w:sz w:val="12"/>
          <w:szCs w:val="12"/>
        </w:rPr>
        <w:t xml:space="preserve"/>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4500"/>
        <w:gridCol w:w="4560"/>
      </w:tblGrid>
      <w:tr>
        <w:trPr>
          <w:tblHeader/>
        </w:trPr>
        <w:tc>
          <w:tcPr>
            <w:tcW w:type="dxa" w:w="4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Frequency Label</w:t>
            </w:r>
          </w:p>
        </w:tc>
        <w:tc>
          <w:tcPr>
            <w:tcW w:type="dxa" w:w="4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Days</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212121"/>
                <w:sz w:val="20"/>
                <w:szCs w:val="20"/>
              </w:rPr>
              <w:t xml:space="preserve">Weekly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212121"/>
                <w:sz w:val="20"/>
                <w:szCs w:val="20"/>
              </w:rPr>
              <w:t xml:space="preserve">7</w:t>
            </w:r>
          </w:p>
        </w:tc>
      </w:tr>
      <w:tr>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color w:val="212121"/>
                <w:sz w:val="20"/>
                <w:szCs w:val="20"/>
              </w:rPr>
              <w:t xml:space="preserve">Bi-Weekly / Fortnightly</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color w:val="212121"/>
                <w:sz w:val="20"/>
                <w:szCs w:val="20"/>
              </w:rPr>
              <w:t xml:space="preserve">14</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212121"/>
                <w:sz w:val="20"/>
                <w:szCs w:val="20"/>
              </w:rPr>
              <w:t xml:space="preserve">Monthly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212121"/>
                <w:sz w:val="20"/>
                <w:szCs w:val="20"/>
              </w:rPr>
              <w:t xml:space="preserve">30</w:t>
            </w:r>
          </w:p>
        </w:tc>
      </w:tr>
      <w:tr>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color w:val="212121"/>
                <w:sz w:val="20"/>
                <w:szCs w:val="20"/>
              </w:rPr>
              <w:t xml:space="preserve">Quarterly / Every 3 Months</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color w:val="212121"/>
                <w:sz w:val="20"/>
                <w:szCs w:val="20"/>
              </w:rPr>
              <w:t xml:space="preserve">90</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212121"/>
                <w:sz w:val="20"/>
                <w:szCs w:val="20"/>
              </w:rPr>
              <w:t xml:space="preserve">Annually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212121"/>
                <w:sz w:val="20"/>
                <w:szCs w:val="20"/>
              </w:rPr>
              <w:t xml:space="preserve">365</w:t>
            </w:r>
          </w:p>
        </w:tc>
      </w:tr>
    </w:tbl>
    <w:p>
      <w:r>
        <w:rPr>
          <w:sz w:val="12"/>
          <w:szCs w:val="12"/>
        </w:rPr>
        <w:t xml:space="preserve"/>
      </w:r>
    </w:p>
    <w:p>
      <w:pPr>
        <w:pStyle w:val="Heading2"/>
        <w:spacing w:after="140" w:before="280"/>
      </w:pPr>
      <w:r>
        <w:rPr>
          <w:rFonts w:ascii="Arial" w:cs="Arial" w:eastAsia="Arial" w:hAnsi="Arial"/>
          <w:b/>
          <w:bCs/>
          <w:color w:val="C71585"/>
          <w:sz w:val="26"/>
          <w:szCs w:val="26"/>
        </w:rPr>
        <w:t xml:space="preserve">3.3 Database Loading</w:t>
      </w:r>
    </w:p>
    <w:p>
      <w:pPr>
        <w:spacing w:after="80" w:before="80"/>
        <w:jc w:val="both"/>
      </w:pPr>
      <w:r>
        <w:rPr>
          <w:rFonts w:ascii="Arial" w:cs="Arial" w:eastAsia="Arial" w:hAnsi="Arial"/>
          <w:b w:val="false"/>
          <w:bCs w:val="false"/>
          <w:i w:val="false"/>
          <w:iCs w:val="false"/>
          <w:color w:val="212121"/>
          <w:sz w:val="22"/>
          <w:szCs w:val="22"/>
        </w:rPr>
        <w:t xml:space="preserve">The cleaned DataFrame was pushed to a PostgreSQL database named customer_behavior using SQLAlchemy's create_engine() with the psycopg2 driver. The table was named customer and loaded with if_exists='replace' to ensure idempotency. This enables persistent, query-optimized data storage accessible via SQL clients such as pgAdmin or DBeaver.</w:t>
      </w:r>
    </w:p>
    <w:p>
      <w:r>
        <w:rPr>
          <w:sz w:val="12"/>
          <w:szCs w:val="12"/>
        </w:rPr>
        <w:t xml:space="preserve"/>
      </w:r>
    </w:p>
    <w:p>
      <w:r>
        <w:br w:type="page"/>
      </w:r>
    </w:p>
    <w:p>
      <w:pPr>
        <w:pStyle w:val="Heading1"/>
        <w:spacing w:after="200" w:before="360"/>
      </w:pPr>
      <w:r>
        <w:rPr>
          <w:rFonts w:ascii="Arial" w:cs="Arial" w:eastAsia="Arial" w:hAnsi="Arial"/>
          <w:b/>
          <w:bCs/>
          <w:color w:val="1F3864"/>
          <w:sz w:val="32"/>
          <w:szCs w:val="32"/>
        </w:rPr>
        <w:t xml:space="preserve">4. SQL Query Analysis &amp; Results</w:t>
      </w:r>
    </w:p>
    <w:p>
      <w:pPr>
        <w:pBdr>
          <w:bottom w:val="single" w:color="C71585" w:sz="4" w:space="1"/>
        </w:pBdr>
        <w:spacing w:after="100" w:before="100"/>
      </w:pPr>
      <w:r>
        <w:t xml:space="preserve"/>
      </w:r>
    </w:p>
    <w:p>
      <w:pPr>
        <w:spacing w:after="80" w:before="80"/>
        <w:jc w:val="both"/>
      </w:pPr>
      <w:r>
        <w:rPr>
          <w:rFonts w:ascii="Arial" w:cs="Arial" w:eastAsia="Arial" w:hAnsi="Arial"/>
          <w:b w:val="false"/>
          <w:bCs w:val="false"/>
          <w:i w:val="false"/>
          <w:iCs w:val="false"/>
          <w:color w:val="212121"/>
          <w:sz w:val="22"/>
          <w:szCs w:val="22"/>
        </w:rPr>
        <w:t xml:space="preserve">Ten business questions were formulated and answered using PostgreSQL. Each query was designed to stress-test different SQL competencies including aggregation, subqueries, CTEs, and window functions.</w:t>
      </w:r>
    </w:p>
    <w:p>
      <w:r>
        <w:rPr>
          <w:sz w:val="12"/>
          <w:szCs w:val="12"/>
        </w:rPr>
        <w:t xml:space="preserve"/>
      </w:r>
    </w:p>
    <w:p>
      <w:pPr>
        <w:pStyle w:val="Heading2"/>
        <w:spacing w:after="140" w:before="280"/>
      </w:pPr>
      <w:r>
        <w:rPr>
          <w:rFonts w:ascii="Arial" w:cs="Arial" w:eastAsia="Arial" w:hAnsi="Arial"/>
          <w:b/>
          <w:bCs/>
          <w:color w:val="C71585"/>
          <w:sz w:val="26"/>
          <w:szCs w:val="26"/>
        </w:rPr>
        <w:t xml:space="preserve">Q1. Revenue by Gender</w:t>
      </w:r>
    </w:p>
    <w:p>
      <w:pPr>
        <w:spacing w:after="80" w:before="80"/>
        <w:jc w:val="both"/>
      </w:pPr>
      <w:r>
        <w:rPr>
          <w:rFonts w:ascii="Arial" w:cs="Arial" w:eastAsia="Arial" w:hAnsi="Arial"/>
          <w:b w:val="false"/>
          <w:bCs w:val="false"/>
          <w:i/>
          <w:iCs/>
          <w:color w:val="212121"/>
          <w:sz w:val="22"/>
          <w:szCs w:val="22"/>
        </w:rPr>
        <w:t xml:space="preserve">Query Type: Simple GROUP BY Aggregation</w:t>
      </w:r>
    </w:p>
    <w:p>
      <w:r>
        <w:rPr>
          <w:sz w:val="12"/>
          <w:szCs w:val="12"/>
        </w:rPr>
        <w:t xml:space="preserve"/>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4500"/>
        <w:gridCol w:w="4560"/>
      </w:tblGrid>
      <w:tr>
        <w:trPr>
          <w:tblHeader/>
        </w:trPr>
        <w:tc>
          <w:tcPr>
            <w:tcW w:type="dxa" w:w="4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Gender</w:t>
            </w:r>
          </w:p>
        </w:tc>
        <w:tc>
          <w:tcPr>
            <w:tcW w:type="dxa" w:w="4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Total Revenue (USD)</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212121"/>
                <w:sz w:val="20"/>
                <w:szCs w:val="20"/>
              </w:rPr>
              <w:t xml:space="preserve">Male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212121"/>
                <w:sz w:val="20"/>
                <w:szCs w:val="20"/>
              </w:rPr>
              <w:t xml:space="preserve">$157,890</w:t>
            </w:r>
          </w:p>
        </w:tc>
      </w:tr>
      <w:tr>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color w:val="212121"/>
                <w:sz w:val="20"/>
                <w:szCs w:val="20"/>
              </w:rPr>
              <w:t xml:space="preserve">Female</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color w:val="212121"/>
                <w:sz w:val="20"/>
                <w:szCs w:val="20"/>
              </w:rPr>
              <w:t xml:space="preserve">$75,191</w:t>
            </w:r>
          </w:p>
        </w:tc>
      </w:tr>
    </w:tbl>
    <w:p>
      <w:r>
        <w:rPr>
          <w:sz w:val="12"/>
          <w:szCs w:val="12"/>
        </w:rPr>
        <w:t xml:space="preserve"/>
      </w:r>
    </w:p>
    <w:p>
      <w:pPr>
        <w:spacing w:after="80" w:before="80"/>
        <w:jc w:val="both"/>
      </w:pPr>
      <w:r>
        <w:rPr>
          <w:rFonts w:ascii="Arial" w:cs="Arial" w:eastAsia="Arial" w:hAnsi="Arial"/>
          <w:b w:val="false"/>
          <w:bCs w:val="false"/>
          <w:i w:val="false"/>
          <w:iCs w:val="false"/>
          <w:color w:val="212121"/>
          <w:sz w:val="22"/>
          <w:szCs w:val="22"/>
        </w:rPr>
        <w:t xml:space="preserve">Insight: Male customers contribute over 67% of total revenue — more than double that of female customers. Marketing and product assortment decisions should prioritize male shopping preferences while also strategizing to grow female customer spend.</w:t>
      </w:r>
    </w:p>
    <w:p>
      <w:r>
        <w:rPr>
          <w:sz w:val="12"/>
          <w:szCs w:val="12"/>
        </w:rPr>
        <w:t xml:space="preserve"/>
      </w:r>
    </w:p>
    <w:p>
      <w:pPr>
        <w:pStyle w:val="Heading2"/>
        <w:spacing w:after="140" w:before="280"/>
      </w:pPr>
      <w:r>
        <w:rPr>
          <w:rFonts w:ascii="Arial" w:cs="Arial" w:eastAsia="Arial" w:hAnsi="Arial"/>
          <w:b/>
          <w:bCs/>
          <w:color w:val="C71585"/>
          <w:sz w:val="26"/>
          <w:szCs w:val="26"/>
        </w:rPr>
        <w:t xml:space="preserve">Q2. High-Value Discount Users</w:t>
      </w:r>
    </w:p>
    <w:p>
      <w:pPr>
        <w:spacing w:after="80" w:before="80"/>
        <w:jc w:val="both"/>
      </w:pPr>
      <w:r>
        <w:rPr>
          <w:rFonts w:ascii="Arial" w:cs="Arial" w:eastAsia="Arial" w:hAnsi="Arial"/>
          <w:b w:val="false"/>
          <w:bCs w:val="false"/>
          <w:i/>
          <w:iCs/>
          <w:color w:val="212121"/>
          <w:sz w:val="22"/>
          <w:szCs w:val="22"/>
        </w:rPr>
        <w:t xml:space="preserve">Query Type: Subquery with Scalar Aggregation</w:t>
      </w:r>
    </w:p>
    <w:p>
      <w:pPr>
        <w:spacing w:after="80" w:before="80"/>
        <w:jc w:val="both"/>
      </w:pPr>
      <w:r>
        <w:rPr>
          <w:rFonts w:ascii="Arial" w:cs="Arial" w:eastAsia="Arial" w:hAnsi="Arial"/>
          <w:b w:val="false"/>
          <w:bCs w:val="false"/>
          <w:i w:val="false"/>
          <w:iCs w:val="false"/>
          <w:color w:val="212121"/>
          <w:sz w:val="22"/>
          <w:szCs w:val="22"/>
        </w:rPr>
        <w:t xml:space="preserve">Customers who used a discount but still spent above the average purchase amount were identified. A sample of results (Customer IDs: 2, 3, 4, 7, 9, 12, 13, 16, 20...) shows that a significant segment of buyers leverage discounts strategically without reducing spend meaningfully. This represents an opportunity to target these users with loyalty rewards to retain them without heavy discounting.</w:t>
      </w:r>
    </w:p>
    <w:p>
      <w:r>
        <w:rPr>
          <w:sz w:val="12"/>
          <w:szCs w:val="12"/>
        </w:rPr>
        <w:t xml:space="preserve"/>
      </w:r>
    </w:p>
    <w:p>
      <w:pPr>
        <w:pStyle w:val="Heading2"/>
        <w:spacing w:after="140" w:before="280"/>
      </w:pPr>
      <w:r>
        <w:rPr>
          <w:rFonts w:ascii="Arial" w:cs="Arial" w:eastAsia="Arial" w:hAnsi="Arial"/>
          <w:b/>
          <w:bCs/>
          <w:color w:val="C71585"/>
          <w:sz w:val="26"/>
          <w:szCs w:val="26"/>
        </w:rPr>
        <w:t xml:space="preserve">Q3. Top 5 Highest-Rated Products</w:t>
      </w:r>
    </w:p>
    <w:p>
      <w:pPr>
        <w:spacing w:after="80" w:before="80"/>
        <w:jc w:val="both"/>
      </w:pPr>
      <w:r>
        <w:rPr>
          <w:rFonts w:ascii="Arial" w:cs="Arial" w:eastAsia="Arial" w:hAnsi="Arial"/>
          <w:b w:val="false"/>
          <w:bCs w:val="false"/>
          <w:i/>
          <w:iCs/>
          <w:color w:val="212121"/>
          <w:sz w:val="22"/>
          <w:szCs w:val="22"/>
        </w:rPr>
        <w:t xml:space="preserve">Query Type: GROUP BY + ROUND + ORDER BY</w:t>
      </w:r>
    </w:p>
    <w:p>
      <w:r>
        <w:rPr>
          <w:sz w:val="12"/>
          <w:szCs w:val="12"/>
        </w:rPr>
        <w:t xml:space="preserve"/>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1500"/>
        <w:gridCol w:w="4000"/>
        <w:gridCol w:w="3560"/>
      </w:tblGrid>
      <w:tr>
        <w:trPr>
          <w:tblHeader/>
        </w:trPr>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Rank</w:t>
            </w:r>
          </w:p>
        </w:tc>
        <w:tc>
          <w:tcPr>
            <w:tcW w:type="dxa" w:w="4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Product</w:t>
            </w:r>
          </w:p>
        </w:tc>
        <w:tc>
          <w:tcPr>
            <w:tcW w:type="dxa" w:w="3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Avg Rating</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212121"/>
                <w:sz w:val="20"/>
                <w:szCs w:val="20"/>
              </w:rPr>
              <w:t xml:space="preserve">1</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212121"/>
                <w:sz w:val="20"/>
                <w:szCs w:val="20"/>
              </w:rPr>
              <w:t xml:space="preserve">Gloves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212121"/>
                <w:sz w:val="20"/>
                <w:szCs w:val="20"/>
              </w:rPr>
              <w:t xml:space="preserve">3.86</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color w:val="212121"/>
                <w:sz w:val="20"/>
                <w:szCs w:val="20"/>
              </w:rPr>
              <w:t xml:space="preserve">2</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color w:val="212121"/>
                <w:sz w:val="20"/>
                <w:szCs w:val="20"/>
              </w:rPr>
              <w:t xml:space="preserve">Sandals</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color w:val="212121"/>
                <w:sz w:val="20"/>
                <w:szCs w:val="20"/>
              </w:rPr>
              <w:t xml:space="preserve">3.84</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212121"/>
                <w:sz w:val="20"/>
                <w:szCs w:val="20"/>
              </w:rPr>
              <w:t xml:space="preserve">3</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212121"/>
                <w:sz w:val="20"/>
                <w:szCs w:val="20"/>
              </w:rPr>
              <w:t xml:space="preserve">Boots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212121"/>
                <w:sz w:val="20"/>
                <w:szCs w:val="20"/>
              </w:rPr>
              <w:t xml:space="preserve">3.82</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color w:val="212121"/>
                <w:sz w:val="20"/>
                <w:szCs w:val="20"/>
              </w:rPr>
              <w:t xml:space="preserve">4</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color w:val="212121"/>
                <w:sz w:val="20"/>
                <w:szCs w:val="20"/>
              </w:rPr>
              <w:t xml:space="preserve">Hat</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color w:val="212121"/>
                <w:sz w:val="20"/>
                <w:szCs w:val="20"/>
              </w:rPr>
              <w:t xml:space="preserve">3.80</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212121"/>
                <w:sz w:val="20"/>
                <w:szCs w:val="20"/>
              </w:rPr>
              <w:t xml:space="preserve">5</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212121"/>
                <w:sz w:val="20"/>
                <w:szCs w:val="20"/>
              </w:rPr>
              <w:t xml:space="preserve">Skirt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212121"/>
                <w:sz w:val="20"/>
                <w:szCs w:val="20"/>
              </w:rPr>
              <w:t xml:space="preserve">3.78</w:t>
            </w:r>
          </w:p>
        </w:tc>
      </w:tr>
    </w:tbl>
    <w:p>
      <w:r>
        <w:rPr>
          <w:sz w:val="12"/>
          <w:szCs w:val="12"/>
        </w:rPr>
        <w:t xml:space="preserve"/>
      </w:r>
    </w:p>
    <w:p>
      <w:pPr>
        <w:spacing w:after="80" w:before="80"/>
        <w:jc w:val="both"/>
      </w:pPr>
      <w:r>
        <w:rPr>
          <w:rFonts w:ascii="Arial" w:cs="Arial" w:eastAsia="Arial" w:hAnsi="Arial"/>
          <w:b w:val="false"/>
          <w:bCs w:val="false"/>
          <w:i w:val="false"/>
          <w:iCs w:val="false"/>
          <w:color w:val="212121"/>
          <w:sz w:val="22"/>
          <w:szCs w:val="22"/>
        </w:rPr>
        <w:t xml:space="preserve">Insight: All top-rated products are accessories or footwear, suggesting high customer satisfaction in these categories. Gloves lead the chart and may benefit from expanded stock and promotional featuring.</w:t>
      </w:r>
    </w:p>
    <w:p>
      <w:r>
        <w:rPr>
          <w:sz w:val="12"/>
          <w:szCs w:val="12"/>
        </w:rPr>
        <w:t xml:space="preserve"/>
      </w:r>
    </w:p>
    <w:p>
      <w:pPr>
        <w:pStyle w:val="Heading2"/>
        <w:spacing w:after="140" w:before="280"/>
      </w:pPr>
      <w:r>
        <w:rPr>
          <w:rFonts w:ascii="Arial" w:cs="Arial" w:eastAsia="Arial" w:hAnsi="Arial"/>
          <w:b/>
          <w:bCs/>
          <w:color w:val="C71585"/>
          <w:sz w:val="26"/>
          <w:szCs w:val="26"/>
        </w:rPr>
        <w:t xml:space="preserve">Q4. Shipping Type vs. Purchase Amount</w:t>
      </w:r>
    </w:p>
    <w:p>
      <w:pPr>
        <w:spacing w:after="80" w:before="80"/>
        <w:jc w:val="both"/>
      </w:pPr>
      <w:r>
        <w:rPr>
          <w:rFonts w:ascii="Arial" w:cs="Arial" w:eastAsia="Arial" w:hAnsi="Arial"/>
          <w:b w:val="false"/>
          <w:bCs w:val="false"/>
          <w:i/>
          <w:iCs/>
          <w:color w:val="212121"/>
          <w:sz w:val="22"/>
          <w:szCs w:val="22"/>
        </w:rPr>
        <w:t xml:space="preserve">Query Type: Filtered GROUP BY</w:t>
      </w:r>
    </w:p>
    <w:p>
      <w:pPr>
        <w:spacing w:after="80" w:before="80"/>
        <w:jc w:val="both"/>
      </w:pPr>
      <w:r>
        <w:rPr>
          <w:rFonts w:ascii="Arial" w:cs="Arial" w:eastAsia="Arial" w:hAnsi="Arial"/>
          <w:b w:val="false"/>
          <w:bCs w:val="false"/>
          <w:i w:val="false"/>
          <w:iCs w:val="false"/>
          <w:color w:val="212121"/>
          <w:sz w:val="22"/>
          <w:szCs w:val="22"/>
        </w:rPr>
        <w:t xml:space="preserve">Standard vs. Express shipping was compared for average spend. Results showed negligible difference in average spend between Standard and Express shipping customers, indicating that shipping preference is driven by delivery needs rather than customer spending tier. Free shipping promotions may be more impactful than shipping upgrades.</w:t>
      </w:r>
    </w:p>
    <w:p>
      <w:r>
        <w:rPr>
          <w:sz w:val="12"/>
          <w:szCs w:val="12"/>
        </w:rPr>
        <w:t xml:space="preserve"/>
      </w:r>
    </w:p>
    <w:p>
      <w:pPr>
        <w:pStyle w:val="Heading2"/>
        <w:spacing w:after="140" w:before="280"/>
      </w:pPr>
      <w:r>
        <w:rPr>
          <w:rFonts w:ascii="Arial" w:cs="Arial" w:eastAsia="Arial" w:hAnsi="Arial"/>
          <w:b/>
          <w:bCs/>
          <w:color w:val="C71585"/>
          <w:sz w:val="26"/>
          <w:szCs w:val="26"/>
        </w:rPr>
        <w:t xml:space="preserve">Q5. Subscriber vs. Non-Subscriber Spend</w:t>
      </w:r>
    </w:p>
    <w:p>
      <w:pPr>
        <w:spacing w:after="80" w:before="80"/>
        <w:jc w:val="both"/>
      </w:pPr>
      <w:r>
        <w:rPr>
          <w:rFonts w:ascii="Arial" w:cs="Arial" w:eastAsia="Arial" w:hAnsi="Arial"/>
          <w:b w:val="false"/>
          <w:bCs w:val="false"/>
          <w:i/>
          <w:iCs/>
          <w:color w:val="212121"/>
          <w:sz w:val="22"/>
          <w:szCs w:val="22"/>
        </w:rPr>
        <w:t xml:space="preserve">Query Type: GROUP BY with Multiple Aggregations</w:t>
      </w:r>
    </w:p>
    <w:p>
      <w:r>
        <w:rPr>
          <w:sz w:val="12"/>
          <w:szCs w:val="12"/>
        </w:rPr>
        <w:t xml:space="preserve"/>
      </w:r>
    </w:p>
    <w:tbl>
      <w:tblPr>
        <w:tblW w:type="dxa" w:w="80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880"/>
        <w:gridCol w:w="158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Subscription Status</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Customers</w:t>
            </w:r>
          </w:p>
        </w:tc>
        <w:tc>
          <w:tcPr>
            <w:tcW w:type="dxa" w:w="18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Avg Spend</w:t>
            </w:r>
          </w:p>
        </w:tc>
        <w:tc>
          <w:tcPr>
            <w:tcW w:type="dxa" w:w="15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Total Revenue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212121"/>
                <w:sz w:val="20"/>
                <w:szCs w:val="20"/>
              </w:rPr>
              <w:t xml:space="preserve">No (Non-Subscriber)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212121"/>
                <w:sz w:val="20"/>
                <w:szCs w:val="20"/>
              </w:rPr>
              <w:t xml:space="preserve">2,847</w:t>
            </w:r>
          </w:p>
        </w:tc>
        <w:tc>
          <w:tcPr>
            <w:tcW w:type="dxa" w:w="1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212121"/>
                <w:sz w:val="20"/>
                <w:szCs w:val="20"/>
              </w:rPr>
              <w:t xml:space="preserve">$59.87</w:t>
            </w:r>
          </w:p>
        </w:tc>
        <w:tc>
          <w:tcPr>
            <w:tcW w:type="dxa" w:w="1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212121"/>
                <w:sz w:val="20"/>
                <w:szCs w:val="20"/>
              </w:rPr>
              <w:t xml:space="preserve">$170,436</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color w:val="212121"/>
                <w:sz w:val="20"/>
                <w:szCs w:val="20"/>
              </w:rPr>
              <w:t xml:space="preserve">Yes (Subscriber)</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color w:val="212121"/>
                <w:sz w:val="20"/>
                <w:szCs w:val="20"/>
              </w:rPr>
              <w:t xml:space="preserve">1,053</w:t>
            </w:r>
          </w:p>
        </w:tc>
        <w:tc>
          <w:tcPr>
            <w:tcW w:type="dxa" w:w="1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color w:val="212121"/>
                <w:sz w:val="20"/>
                <w:szCs w:val="20"/>
              </w:rPr>
              <w:t xml:space="preserve">$59.49</w:t>
            </w:r>
          </w:p>
        </w:tc>
        <w:tc>
          <w:tcPr>
            <w:tcW w:type="dxa" w:w="15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color w:val="212121"/>
                <w:sz w:val="20"/>
                <w:szCs w:val="20"/>
              </w:rPr>
              <w:t xml:space="preserve">$62,645</w:t>
            </w:r>
          </w:p>
        </w:tc>
      </w:tr>
    </w:tbl>
    <w:p>
      <w:r>
        <w:rPr>
          <w:sz w:val="12"/>
          <w:szCs w:val="12"/>
        </w:rPr>
        <w:t xml:space="preserve"/>
      </w:r>
    </w:p>
    <w:p>
      <w:pPr>
        <w:spacing w:after="80" w:before="80"/>
        <w:jc w:val="both"/>
      </w:pPr>
      <w:r>
        <w:rPr>
          <w:rFonts w:ascii="Arial" w:cs="Arial" w:eastAsia="Arial" w:hAnsi="Arial"/>
          <w:b w:val="false"/>
          <w:bCs w:val="false"/>
          <w:i w:val="false"/>
          <w:iCs w:val="false"/>
          <w:color w:val="212121"/>
          <w:sz w:val="22"/>
          <w:szCs w:val="22"/>
        </w:rPr>
        <w:t xml:space="preserve">Insight: Subscribers and non-subscribers have nearly identical average spend (~$59.70), but non-subscribers dominate total revenue due to sheer volume (73% of customers). The subscription program may need to be re-examined for value proposition — current subscribers are not spending proportionally more.</w:t>
      </w:r>
    </w:p>
    <w:p>
      <w:r>
        <w:rPr>
          <w:sz w:val="12"/>
          <w:szCs w:val="12"/>
        </w:rPr>
        <w:t xml:space="preserve"/>
      </w:r>
    </w:p>
    <w:p>
      <w:pPr>
        <w:pStyle w:val="Heading2"/>
        <w:spacing w:after="140" w:before="280"/>
      </w:pPr>
      <w:r>
        <w:rPr>
          <w:rFonts w:ascii="Arial" w:cs="Arial" w:eastAsia="Arial" w:hAnsi="Arial"/>
          <w:b/>
          <w:bCs/>
          <w:color w:val="C71585"/>
          <w:sz w:val="26"/>
          <w:szCs w:val="26"/>
        </w:rPr>
        <w:t xml:space="preserve">Q6. Top 5 Products by Discount Rate</w:t>
      </w:r>
    </w:p>
    <w:p>
      <w:pPr>
        <w:spacing w:after="80" w:before="80"/>
        <w:jc w:val="both"/>
      </w:pPr>
      <w:r>
        <w:rPr>
          <w:rFonts w:ascii="Arial" w:cs="Arial" w:eastAsia="Arial" w:hAnsi="Arial"/>
          <w:b w:val="false"/>
          <w:bCs w:val="false"/>
          <w:i/>
          <w:iCs/>
          <w:color w:val="212121"/>
          <w:sz w:val="22"/>
          <w:szCs w:val="22"/>
        </w:rPr>
        <w:t xml:space="preserve">Query Type: Conditional Aggregation with CASE WHEN</w:t>
      </w:r>
    </w:p>
    <w:p>
      <w:r>
        <w:rPr>
          <w:sz w:val="12"/>
          <w:szCs w:val="12"/>
        </w:rPr>
        <w:t xml:space="preserve"/>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1500"/>
        <w:gridCol w:w="4000"/>
        <w:gridCol w:w="3560"/>
      </w:tblGrid>
      <w:tr>
        <w:trPr>
          <w:tblHeader/>
        </w:trPr>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Rank</w:t>
            </w:r>
          </w:p>
        </w:tc>
        <w:tc>
          <w:tcPr>
            <w:tcW w:type="dxa" w:w="4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Product</w:t>
            </w:r>
          </w:p>
        </w:tc>
        <w:tc>
          <w:tcPr>
            <w:tcW w:type="dxa" w:w="3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Discount Rate (%)</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212121"/>
                <w:sz w:val="20"/>
                <w:szCs w:val="20"/>
              </w:rPr>
              <w:t xml:space="preserve">1</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212121"/>
                <w:sz w:val="20"/>
                <w:szCs w:val="20"/>
              </w:rPr>
              <w:t xml:space="preserve">Hat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212121"/>
                <w:sz w:val="20"/>
                <w:szCs w:val="20"/>
              </w:rPr>
              <w:t xml:space="preserve">50.00%</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color w:val="212121"/>
                <w:sz w:val="20"/>
                <w:szCs w:val="20"/>
              </w:rPr>
              <w:t xml:space="preserve">2</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color w:val="212121"/>
                <w:sz w:val="20"/>
                <w:szCs w:val="20"/>
              </w:rPr>
              <w:t xml:space="preserve">Sneakers</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color w:val="212121"/>
                <w:sz w:val="20"/>
                <w:szCs w:val="20"/>
              </w:rPr>
              <w:t xml:space="preserve">49.66%</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212121"/>
                <w:sz w:val="20"/>
                <w:szCs w:val="20"/>
              </w:rPr>
              <w:t xml:space="preserve">3</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212121"/>
                <w:sz w:val="20"/>
                <w:szCs w:val="20"/>
              </w:rPr>
              <w:t xml:space="preserve">Coat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212121"/>
                <w:sz w:val="20"/>
                <w:szCs w:val="20"/>
              </w:rPr>
              <w:t xml:space="preserve">49.07%</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color w:val="212121"/>
                <w:sz w:val="20"/>
                <w:szCs w:val="20"/>
              </w:rPr>
              <w:t xml:space="preserve">4</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color w:val="212121"/>
                <w:sz w:val="20"/>
                <w:szCs w:val="20"/>
              </w:rPr>
              <w:t xml:space="preserve">Sweater</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color w:val="212121"/>
                <w:sz w:val="20"/>
                <w:szCs w:val="20"/>
              </w:rPr>
              <w:t xml:space="preserve">48.17%</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212121"/>
                <w:sz w:val="20"/>
                <w:szCs w:val="20"/>
              </w:rPr>
              <w:t xml:space="preserve">5</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212121"/>
                <w:sz w:val="20"/>
                <w:szCs w:val="20"/>
              </w:rPr>
              <w:t xml:space="preserve">Pants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212121"/>
                <w:sz w:val="20"/>
                <w:szCs w:val="20"/>
              </w:rPr>
              <w:t xml:space="preserve">47.37%</w:t>
            </w:r>
          </w:p>
        </w:tc>
      </w:tr>
    </w:tbl>
    <w:p>
      <w:r>
        <w:rPr>
          <w:sz w:val="12"/>
          <w:szCs w:val="12"/>
        </w:rPr>
        <w:t xml:space="preserve"/>
      </w:r>
    </w:p>
    <w:p>
      <w:pPr>
        <w:spacing w:after="80" w:before="80"/>
        <w:jc w:val="both"/>
      </w:pPr>
      <w:r>
        <w:rPr>
          <w:rFonts w:ascii="Arial" w:cs="Arial" w:eastAsia="Arial" w:hAnsi="Arial"/>
          <w:b w:val="false"/>
          <w:bCs w:val="false"/>
          <w:i w:val="false"/>
          <w:iCs w:val="false"/>
          <w:color w:val="212121"/>
          <w:sz w:val="22"/>
          <w:szCs w:val="22"/>
        </w:rPr>
        <w:t xml:space="preserve">Insight: All top-discount products hover around ~47–50% discount application rate. Hat leads with exactly 50% — meaning half of all Hat purchases use a discount. This raises concerns about margin erosion for these products.</w:t>
      </w:r>
    </w:p>
    <w:p>
      <w:r>
        <w:rPr>
          <w:sz w:val="12"/>
          <w:szCs w:val="12"/>
        </w:rPr>
        <w:t xml:space="preserve"/>
      </w:r>
    </w:p>
    <w:p>
      <w:pPr>
        <w:pStyle w:val="Heading2"/>
        <w:spacing w:after="140" w:before="280"/>
      </w:pPr>
      <w:r>
        <w:rPr>
          <w:rFonts w:ascii="Arial" w:cs="Arial" w:eastAsia="Arial" w:hAnsi="Arial"/>
          <w:b/>
          <w:bCs/>
          <w:color w:val="C71585"/>
          <w:sz w:val="26"/>
          <w:szCs w:val="26"/>
        </w:rPr>
        <w:t xml:space="preserve">Q7. Customer Segmentation by Purchase History</w:t>
      </w:r>
    </w:p>
    <w:p>
      <w:pPr>
        <w:spacing w:after="80" w:before="80"/>
        <w:jc w:val="both"/>
      </w:pPr>
      <w:r>
        <w:rPr>
          <w:rFonts w:ascii="Arial" w:cs="Arial" w:eastAsia="Arial" w:hAnsi="Arial"/>
          <w:b w:val="false"/>
          <w:bCs w:val="false"/>
          <w:i/>
          <w:iCs/>
          <w:color w:val="212121"/>
          <w:sz w:val="22"/>
          <w:szCs w:val="22"/>
        </w:rPr>
        <w:t xml:space="preserve">Query Type: CTE + CASE WHEN Segmentation</w:t>
      </w:r>
    </w:p>
    <w:p>
      <w:r>
        <w:rPr>
          <w:sz w:val="12"/>
          <w:szCs w:val="12"/>
        </w:rPr>
        <w:t xml:space="preserve"/>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Segment</w:t>
            </w:r>
          </w:p>
        </w:tc>
        <w:tc>
          <w:tcPr>
            <w:tcW w:type="dxa" w:w="3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Definition</w:t>
            </w:r>
          </w:p>
        </w:tc>
        <w:tc>
          <w:tcPr>
            <w:tcW w:type="dxa" w:w="3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Customer Count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212121"/>
                <w:sz w:val="20"/>
                <w:szCs w:val="20"/>
              </w:rPr>
              <w:t xml:space="preserve">Loyal</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212121"/>
                <w:sz w:val="20"/>
                <w:szCs w:val="20"/>
              </w:rPr>
              <w:t xml:space="preserve">11+ previous purchases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212121"/>
                <w:sz w:val="20"/>
                <w:szCs w:val="20"/>
              </w:rPr>
              <w:t xml:space="preserve">3,116</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color w:val="212121"/>
                <w:sz w:val="20"/>
                <w:szCs w:val="20"/>
              </w:rPr>
              <w:t xml:space="preserve">Returning</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color w:val="212121"/>
                <w:sz w:val="20"/>
                <w:szCs w:val="20"/>
              </w:rPr>
              <w:t xml:space="preserve">2–10 previous purchases</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color w:val="212121"/>
                <w:sz w:val="20"/>
                <w:szCs w:val="20"/>
              </w:rPr>
              <w:t xml:space="preserve">701</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212121"/>
                <w:sz w:val="20"/>
                <w:szCs w:val="20"/>
              </w:rPr>
              <w:t xml:space="preserve">New</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212121"/>
                <w:sz w:val="20"/>
                <w:szCs w:val="20"/>
              </w:rPr>
              <w:t xml:space="preserve">1 previous purchase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212121"/>
                <w:sz w:val="20"/>
                <w:szCs w:val="20"/>
              </w:rPr>
              <w:t xml:space="preserve">83</w:t>
            </w:r>
          </w:p>
        </w:tc>
      </w:tr>
    </w:tbl>
    <w:p>
      <w:r>
        <w:rPr>
          <w:sz w:val="12"/>
          <w:szCs w:val="12"/>
        </w:rPr>
        <w:t xml:space="preserve"/>
      </w:r>
    </w:p>
    <w:p>
      <w:pPr>
        <w:spacing w:after="80" w:before="80"/>
        <w:jc w:val="both"/>
      </w:pPr>
      <w:r>
        <w:rPr>
          <w:rFonts w:ascii="Arial" w:cs="Arial" w:eastAsia="Arial" w:hAnsi="Arial"/>
          <w:b w:val="false"/>
          <w:bCs w:val="false"/>
          <w:i w:val="false"/>
          <w:iCs w:val="false"/>
          <w:color w:val="212121"/>
          <w:sz w:val="22"/>
          <w:szCs w:val="22"/>
        </w:rPr>
        <w:t xml:space="preserve">Insight: A striking 80% of customers are classified as Loyal. This indicates exceptionally strong customer retention. However, only 83 New customers exist in the dataset — acquisition campaigns may be needed to grow the top of the funnel.</w:t>
      </w:r>
    </w:p>
    <w:p>
      <w:r>
        <w:rPr>
          <w:sz w:val="12"/>
          <w:szCs w:val="12"/>
        </w:rPr>
        <w:t xml:space="preserve"/>
      </w:r>
    </w:p>
    <w:p>
      <w:pPr>
        <w:pStyle w:val="Heading2"/>
        <w:spacing w:after="140" w:before="280"/>
      </w:pPr>
      <w:r>
        <w:rPr>
          <w:rFonts w:ascii="Arial" w:cs="Arial" w:eastAsia="Arial" w:hAnsi="Arial"/>
          <w:b/>
          <w:bCs/>
          <w:color w:val="C71585"/>
          <w:sz w:val="26"/>
          <w:szCs w:val="26"/>
        </w:rPr>
        <w:t xml:space="preserve">Q8. Top 3 Products per Category</w:t>
      </w:r>
    </w:p>
    <w:p>
      <w:pPr>
        <w:spacing w:after="80" w:before="80"/>
        <w:jc w:val="both"/>
      </w:pPr>
      <w:r>
        <w:rPr>
          <w:rFonts w:ascii="Arial" w:cs="Arial" w:eastAsia="Arial" w:hAnsi="Arial"/>
          <w:b w:val="false"/>
          <w:bCs w:val="false"/>
          <w:i/>
          <w:iCs/>
          <w:color w:val="212121"/>
          <w:sz w:val="22"/>
          <w:szCs w:val="22"/>
        </w:rPr>
        <w:t xml:space="preserve">Query Type: Window Function (ROW_NUMBER + PARTITION BY)</w:t>
      </w:r>
    </w:p>
    <w:p>
      <w:r>
        <w:rPr>
          <w:sz w:val="12"/>
          <w:szCs w:val="12"/>
        </w:rPr>
        <w:t xml:space="preserve"/>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1000"/>
        <w:gridCol w:w="2500"/>
        <w:gridCol w:w="2500"/>
        <w:gridCol w:w="3060"/>
      </w:tblGrid>
      <w:tr>
        <w:trPr>
          <w:tblHeader/>
        </w:trPr>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Rank</w:t>
            </w:r>
          </w:p>
        </w:tc>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Category</w:t>
            </w:r>
          </w:p>
        </w:tc>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Product</w:t>
            </w:r>
          </w:p>
        </w:tc>
        <w:tc>
          <w:tcPr>
            <w:tcW w:type="dxa" w:w="30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Orders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212121"/>
                <w:sz w:val="20"/>
                <w:szCs w:val="20"/>
              </w:rPr>
              <w:t xml:space="preserve">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212121"/>
                <w:sz w:val="20"/>
                <w:szCs w:val="20"/>
              </w:rPr>
              <w:t xml:space="preserve">Accessories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212121"/>
                <w:sz w:val="20"/>
                <w:szCs w:val="20"/>
              </w:rPr>
              <w:t xml:space="preserve">Jewelry</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212121"/>
                <w:sz w:val="20"/>
                <w:szCs w:val="20"/>
              </w:rPr>
              <w:t xml:space="preserve">171</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color w:val="212121"/>
                <w:sz w:val="20"/>
                <w:szCs w:val="20"/>
              </w:rPr>
              <w:t xml:space="preserve">2</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color w:val="212121"/>
                <w:sz w:val="20"/>
                <w:szCs w:val="20"/>
              </w:rPr>
              <w:t xml:space="preserve">Accessories</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color w:val="212121"/>
                <w:sz w:val="20"/>
                <w:szCs w:val="20"/>
              </w:rPr>
              <w:t xml:space="preserve">Sunglasses</w:t>
            </w:r>
          </w:p>
        </w:tc>
        <w:tc>
          <w:tcPr>
            <w:tcW w:type="dxa" w:w="3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color w:val="212121"/>
                <w:sz w:val="20"/>
                <w:szCs w:val="20"/>
              </w:rPr>
              <w:t xml:space="preserve">161</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212121"/>
                <w:sz w:val="20"/>
                <w:szCs w:val="20"/>
              </w:rPr>
              <w:t xml:space="preserve">3</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212121"/>
                <w:sz w:val="20"/>
                <w:szCs w:val="20"/>
              </w:rPr>
              <w:t xml:space="preserve">Accessories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212121"/>
                <w:sz w:val="20"/>
                <w:szCs w:val="20"/>
              </w:rPr>
              <w:t xml:space="preserve">Belt</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212121"/>
                <w:sz w:val="20"/>
                <w:szCs w:val="20"/>
              </w:rPr>
              <w:t xml:space="preserve">161</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color w:val="212121"/>
                <w:sz w:val="20"/>
                <w:szCs w:val="20"/>
              </w:rPr>
              <w:t xml:space="preserve">1</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color w:val="212121"/>
                <w:sz w:val="20"/>
                <w:szCs w:val="20"/>
              </w:rPr>
              <w:t xml:space="preserve">Clothing</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color w:val="212121"/>
                <w:sz w:val="20"/>
                <w:szCs w:val="20"/>
              </w:rPr>
              <w:t xml:space="preserve">Blouse</w:t>
            </w:r>
          </w:p>
        </w:tc>
        <w:tc>
          <w:tcPr>
            <w:tcW w:type="dxa" w:w="3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color w:val="212121"/>
                <w:sz w:val="20"/>
                <w:szCs w:val="20"/>
              </w:rPr>
              <w:t xml:space="preserve">171</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212121"/>
                <w:sz w:val="20"/>
                <w:szCs w:val="20"/>
              </w:rPr>
              <w:t xml:space="preserve">2</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212121"/>
                <w:sz w:val="20"/>
                <w:szCs w:val="20"/>
              </w:rPr>
              <w:t xml:space="preserve">Clothing</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212121"/>
                <w:sz w:val="20"/>
                <w:szCs w:val="20"/>
              </w:rPr>
              <w:t xml:space="preserve">Pants</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212121"/>
                <w:sz w:val="20"/>
                <w:szCs w:val="20"/>
              </w:rPr>
              <w:t xml:space="preserve">171</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color w:val="212121"/>
                <w:sz w:val="20"/>
                <w:szCs w:val="20"/>
              </w:rPr>
              <w:t xml:space="preserve">3</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color w:val="212121"/>
                <w:sz w:val="20"/>
                <w:szCs w:val="20"/>
              </w:rPr>
              <w:t xml:space="preserve">Clothing</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color w:val="212121"/>
                <w:sz w:val="20"/>
                <w:szCs w:val="20"/>
              </w:rPr>
              <w:t xml:space="preserve">Shirt</w:t>
            </w:r>
          </w:p>
        </w:tc>
        <w:tc>
          <w:tcPr>
            <w:tcW w:type="dxa" w:w="3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color w:val="212121"/>
                <w:sz w:val="20"/>
                <w:szCs w:val="20"/>
              </w:rPr>
              <w:t xml:space="preserve">169</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212121"/>
                <w:sz w:val="20"/>
                <w:szCs w:val="20"/>
              </w:rPr>
              <w:t xml:space="preserve">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212121"/>
                <w:sz w:val="20"/>
                <w:szCs w:val="20"/>
              </w:rPr>
              <w:t xml:space="preserve">Footwear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212121"/>
                <w:sz w:val="20"/>
                <w:szCs w:val="20"/>
              </w:rPr>
              <w:t xml:space="preserve">Sandals</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212121"/>
                <w:sz w:val="20"/>
                <w:szCs w:val="20"/>
              </w:rPr>
              <w:t xml:space="preserve">160</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color w:val="212121"/>
                <w:sz w:val="20"/>
                <w:szCs w:val="20"/>
              </w:rPr>
              <w:t xml:space="preserve">2</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color w:val="212121"/>
                <w:sz w:val="20"/>
                <w:szCs w:val="20"/>
              </w:rPr>
              <w:t xml:space="preserve">Footwear</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color w:val="212121"/>
                <w:sz w:val="20"/>
                <w:szCs w:val="20"/>
              </w:rPr>
              <w:t xml:space="preserve">Shoes</w:t>
            </w:r>
          </w:p>
        </w:tc>
        <w:tc>
          <w:tcPr>
            <w:tcW w:type="dxa" w:w="3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color w:val="212121"/>
                <w:sz w:val="20"/>
                <w:szCs w:val="20"/>
              </w:rPr>
              <w:t xml:space="preserve">150</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212121"/>
                <w:sz w:val="20"/>
                <w:szCs w:val="20"/>
              </w:rPr>
              <w:t xml:space="preserve">3</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212121"/>
                <w:sz w:val="20"/>
                <w:szCs w:val="20"/>
              </w:rPr>
              <w:t xml:space="preserve">Footwear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212121"/>
                <w:sz w:val="20"/>
                <w:szCs w:val="20"/>
              </w:rPr>
              <w:t xml:space="preserve">Sneakers</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212121"/>
                <w:sz w:val="20"/>
                <w:szCs w:val="20"/>
              </w:rPr>
              <w:t xml:space="preserve">145</w:t>
            </w:r>
          </w:p>
        </w:tc>
      </w:tr>
    </w:tbl>
    <w:p>
      <w:r>
        <w:rPr>
          <w:sz w:val="12"/>
          <w:szCs w:val="12"/>
        </w:rPr>
        <w:t xml:space="preserve"/>
      </w:r>
    </w:p>
    <w:p>
      <w:pPr>
        <w:spacing w:after="80" w:before="80"/>
        <w:jc w:val="both"/>
      </w:pPr>
      <w:r>
        <w:rPr>
          <w:rFonts w:ascii="Arial" w:cs="Arial" w:eastAsia="Arial" w:hAnsi="Arial"/>
          <w:b w:val="false"/>
          <w:bCs w:val="false"/>
          <w:i w:val="false"/>
          <w:iCs w:val="false"/>
          <w:color w:val="212121"/>
          <w:sz w:val="22"/>
          <w:szCs w:val="22"/>
        </w:rPr>
        <w:t xml:space="preserve">Insight: Jewelry dominates Accessories at 171 orders. Clothing has a near-tie between Blouse and Pants (both 171). Sandals lead Footwear. These flagship products should be prioritized for inventory and marketing.</w:t>
      </w:r>
    </w:p>
    <w:p>
      <w:r>
        <w:rPr>
          <w:sz w:val="12"/>
          <w:szCs w:val="12"/>
        </w:rPr>
        <w:t xml:space="preserve"/>
      </w:r>
    </w:p>
    <w:p>
      <w:pPr>
        <w:pStyle w:val="Heading2"/>
        <w:spacing w:after="140" w:before="280"/>
      </w:pPr>
      <w:r>
        <w:rPr>
          <w:rFonts w:ascii="Arial" w:cs="Arial" w:eastAsia="Arial" w:hAnsi="Arial"/>
          <w:b/>
          <w:bCs/>
          <w:color w:val="C71585"/>
          <w:sz w:val="26"/>
          <w:szCs w:val="26"/>
        </w:rPr>
        <w:t xml:space="preserve">Q9. Repeat Buyers and Subscription Tendency</w:t>
      </w:r>
    </w:p>
    <w:p>
      <w:pPr>
        <w:spacing w:after="80" w:before="80"/>
        <w:jc w:val="both"/>
      </w:pPr>
      <w:r>
        <w:rPr>
          <w:rFonts w:ascii="Arial" w:cs="Arial" w:eastAsia="Arial" w:hAnsi="Arial"/>
          <w:b w:val="false"/>
          <w:bCs w:val="false"/>
          <w:i/>
          <w:iCs/>
          <w:color w:val="212121"/>
          <w:sz w:val="22"/>
          <w:szCs w:val="22"/>
        </w:rPr>
        <w:t xml:space="preserve">Query Type: Filtered Aggregation</w:t>
      </w:r>
    </w:p>
    <w:p>
      <w:r>
        <w:rPr>
          <w:sz w:val="12"/>
          <w:szCs w:val="12"/>
        </w:rPr>
        <w:t xml:space="preserve"/>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4500"/>
        <w:gridCol w:w="4560"/>
      </w:tblGrid>
      <w:tr>
        <w:trPr>
          <w:tblHeader/>
        </w:trPr>
        <w:tc>
          <w:tcPr>
            <w:tcW w:type="dxa" w:w="4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Subscription Status</w:t>
            </w:r>
          </w:p>
        </w:tc>
        <w:tc>
          <w:tcPr>
            <w:tcW w:type="dxa" w:w="4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Repeat Buyers (&gt;5 Purchases)</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212121"/>
                <w:sz w:val="20"/>
                <w:szCs w:val="20"/>
              </w:rPr>
              <w:t xml:space="preserve">No (Non-Subscriber)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212121"/>
                <w:sz w:val="20"/>
                <w:szCs w:val="20"/>
              </w:rPr>
              <w:t xml:space="preserve">2,518</w:t>
            </w:r>
          </w:p>
        </w:tc>
      </w:tr>
      <w:tr>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color w:val="212121"/>
                <w:sz w:val="20"/>
                <w:szCs w:val="20"/>
              </w:rPr>
              <w:t xml:space="preserve">Yes (Subscriber)</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color w:val="212121"/>
                <w:sz w:val="20"/>
                <w:szCs w:val="20"/>
              </w:rPr>
              <w:t xml:space="preserve">958</w:t>
            </w:r>
          </w:p>
        </w:tc>
      </w:tr>
    </w:tbl>
    <w:p>
      <w:r>
        <w:rPr>
          <w:sz w:val="12"/>
          <w:szCs w:val="12"/>
        </w:rPr>
        <w:t xml:space="preserve"/>
      </w:r>
    </w:p>
    <w:p>
      <w:pPr>
        <w:spacing w:after="80" w:before="80"/>
        <w:jc w:val="both"/>
      </w:pPr>
      <w:r>
        <w:rPr>
          <w:rFonts w:ascii="Arial" w:cs="Arial" w:eastAsia="Arial" w:hAnsi="Arial"/>
          <w:b w:val="false"/>
          <w:bCs w:val="false"/>
          <w:i w:val="false"/>
          <w:iCs w:val="false"/>
          <w:color w:val="212121"/>
          <w:sz w:val="22"/>
          <w:szCs w:val="22"/>
        </w:rPr>
        <w:t xml:space="preserve">Insight: Among repeat buyers with more than 5 previous purchases, ~72% are non-subscribers. This reveals that repeat purchasing behavior does not strongly correlate with subscription uptake — loyal shoppers can be re-engaged with targeted subscription offers.</w:t>
      </w:r>
    </w:p>
    <w:p>
      <w:r>
        <w:rPr>
          <w:sz w:val="12"/>
          <w:szCs w:val="12"/>
        </w:rPr>
        <w:t xml:space="preserve"/>
      </w:r>
    </w:p>
    <w:p>
      <w:pPr>
        <w:pStyle w:val="Heading2"/>
        <w:spacing w:after="140" w:before="280"/>
      </w:pPr>
      <w:r>
        <w:rPr>
          <w:rFonts w:ascii="Arial" w:cs="Arial" w:eastAsia="Arial" w:hAnsi="Arial"/>
          <w:b/>
          <w:bCs/>
          <w:color w:val="C71585"/>
          <w:sz w:val="26"/>
          <w:szCs w:val="26"/>
        </w:rPr>
        <w:t xml:space="preserve">Q10. Revenue by Age Group</w:t>
      </w:r>
    </w:p>
    <w:p>
      <w:pPr>
        <w:spacing w:after="80" w:before="80"/>
        <w:jc w:val="both"/>
      </w:pPr>
      <w:r>
        <w:rPr>
          <w:rFonts w:ascii="Arial" w:cs="Arial" w:eastAsia="Arial" w:hAnsi="Arial"/>
          <w:b w:val="false"/>
          <w:bCs w:val="false"/>
          <w:i/>
          <w:iCs/>
          <w:color w:val="212121"/>
          <w:sz w:val="22"/>
          <w:szCs w:val="22"/>
        </w:rPr>
        <w:t xml:space="preserve">Query Type: GROUP BY + ORDER BY on Engineered Column</w:t>
      </w:r>
    </w:p>
    <w:p>
      <w:r>
        <w:rPr>
          <w:sz w:val="12"/>
          <w:szCs w:val="12"/>
        </w:rPr>
        <w:t xml:space="preserve"/>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1000"/>
        <w:gridCol w:w="4000"/>
        <w:gridCol w:w="4060"/>
      </w:tblGrid>
      <w:tr>
        <w:trPr>
          <w:tblHeader/>
        </w:trPr>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Rank</w:t>
            </w:r>
          </w:p>
        </w:tc>
        <w:tc>
          <w:tcPr>
            <w:tcW w:type="dxa" w:w="4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Age Group</w:t>
            </w:r>
          </w:p>
        </w:tc>
        <w:tc>
          <w:tcPr>
            <w:tcW w:type="dxa" w:w="40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Total Revenue (USD)</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212121"/>
                <w:sz w:val="20"/>
                <w:szCs w:val="20"/>
              </w:rPr>
              <w:t xml:space="preserve">1</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212121"/>
                <w:sz w:val="20"/>
                <w:szCs w:val="20"/>
              </w:rPr>
              <w:t xml:space="preserve">Young Adult</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212121"/>
                <w:sz w:val="20"/>
                <w:szCs w:val="20"/>
              </w:rPr>
              <w:t xml:space="preserve">$62,143</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color w:val="212121"/>
                <w:sz w:val="20"/>
                <w:szCs w:val="20"/>
              </w:rPr>
              <w:t xml:space="preserve">2</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color w:val="212121"/>
                <w:sz w:val="20"/>
                <w:szCs w:val="20"/>
              </w:rPr>
              <w:t xml:space="preserve">Middle-aged</w:t>
            </w:r>
          </w:p>
        </w:tc>
        <w:tc>
          <w:tcPr>
            <w:tcW w:type="dxa" w:w="4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color w:val="212121"/>
                <w:sz w:val="20"/>
                <w:szCs w:val="20"/>
              </w:rPr>
              <w:t xml:space="preserve">$59,197</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212121"/>
                <w:sz w:val="20"/>
                <w:szCs w:val="20"/>
              </w:rPr>
              <w:t xml:space="preserve">3</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212121"/>
                <w:sz w:val="20"/>
                <w:szCs w:val="20"/>
              </w:rPr>
              <w:t xml:space="preserve">Adult</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212121"/>
                <w:sz w:val="20"/>
                <w:szCs w:val="20"/>
              </w:rPr>
              <w:t xml:space="preserve">$55,978</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color w:val="212121"/>
                <w:sz w:val="20"/>
                <w:szCs w:val="20"/>
              </w:rPr>
              <w:t xml:space="preserve">4</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color w:val="212121"/>
                <w:sz w:val="20"/>
                <w:szCs w:val="20"/>
              </w:rPr>
              <w:t xml:space="preserve">Senior</w:t>
            </w:r>
          </w:p>
        </w:tc>
        <w:tc>
          <w:tcPr>
            <w:tcW w:type="dxa" w:w="4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color w:val="212121"/>
                <w:sz w:val="20"/>
                <w:szCs w:val="20"/>
              </w:rPr>
              <w:t xml:space="preserve">$55,763</w:t>
            </w:r>
          </w:p>
        </w:tc>
      </w:tr>
    </w:tbl>
    <w:p>
      <w:r>
        <w:rPr>
          <w:sz w:val="12"/>
          <w:szCs w:val="12"/>
        </w:rPr>
        <w:t xml:space="preserve"/>
      </w:r>
    </w:p>
    <w:p>
      <w:pPr>
        <w:spacing w:after="80" w:before="80"/>
        <w:jc w:val="both"/>
      </w:pPr>
      <w:r>
        <w:rPr>
          <w:rFonts w:ascii="Arial" w:cs="Arial" w:eastAsia="Arial" w:hAnsi="Arial"/>
          <w:b w:val="false"/>
          <w:bCs w:val="false"/>
          <w:i w:val="false"/>
          <w:iCs w:val="false"/>
          <w:color w:val="212121"/>
          <w:sz w:val="22"/>
          <w:szCs w:val="22"/>
        </w:rPr>
        <w:t xml:space="preserve">Insight: Revenue is distributed fairly evenly across age groups (~$55K–$62K), with Young Adults leading. This suggests a broad appeal across demographics, making age-agnostic marketing strategies effective. Targeted promotions for Seniors and Adults could bridge the ~$6K gap with Young Adults.</w:t>
      </w:r>
    </w:p>
    <w:p>
      <w:r>
        <w:rPr>
          <w:sz w:val="12"/>
          <w:szCs w:val="12"/>
        </w:rPr>
        <w:t xml:space="preserve"/>
      </w:r>
    </w:p>
    <w:p>
      <w:r>
        <w:br w:type="page"/>
      </w:r>
    </w:p>
    <w:p>
      <w:pPr>
        <w:pStyle w:val="Heading1"/>
        <w:spacing w:after="200" w:before="360"/>
      </w:pPr>
      <w:r>
        <w:rPr>
          <w:rFonts w:ascii="Arial" w:cs="Arial" w:eastAsia="Arial" w:hAnsi="Arial"/>
          <w:b/>
          <w:bCs/>
          <w:color w:val="1F3864"/>
          <w:sz w:val="32"/>
          <w:szCs w:val="32"/>
        </w:rPr>
        <w:t xml:space="preserve">5. Power BI Dashboard Summary</w:t>
      </w:r>
    </w:p>
    <w:p>
      <w:pPr>
        <w:pBdr>
          <w:bottom w:val="single" w:color="C71585" w:sz="4" w:space="1"/>
        </w:pBdr>
        <w:spacing w:after="100" w:before="100"/>
      </w:pPr>
      <w:r>
        <w:t xml:space="preserve"/>
      </w:r>
    </w:p>
    <w:p>
      <w:pPr>
        <w:spacing w:after="80" w:before="80"/>
        <w:jc w:val="both"/>
      </w:pPr>
      <w:r>
        <w:rPr>
          <w:rFonts w:ascii="Arial" w:cs="Arial" w:eastAsia="Arial" w:hAnsi="Arial"/>
          <w:b w:val="false"/>
          <w:bCs w:val="false"/>
          <w:i w:val="false"/>
          <w:iCs w:val="false"/>
          <w:color w:val="212121"/>
          <w:sz w:val="22"/>
          <w:szCs w:val="22"/>
        </w:rPr>
        <w:t xml:space="preserve">An interactive Power BI dashboard titled Customer Behavior Dashboard was developed to visualize the key metrics and trends from the analysis. The dashboard features dynamic filters for subscription status, gender, product category, and shipping type, allowing stakeholders to drill down into specific segments.</w:t>
      </w:r>
    </w:p>
    <w:p>
      <w:r>
        <w:rPr>
          <w:sz w:val="12"/>
          <w:szCs w:val="12"/>
        </w:rPr>
        <w:t xml:space="preserve"/>
      </w:r>
    </w:p>
    <w:p>
      <w:pPr>
        <w:pStyle w:val="Heading2"/>
        <w:spacing w:after="140" w:before="280"/>
      </w:pPr>
      <w:r>
        <w:rPr>
          <w:rFonts w:ascii="Arial" w:cs="Arial" w:eastAsia="Arial" w:hAnsi="Arial"/>
          <w:b/>
          <w:bCs/>
          <w:color w:val="C71585"/>
          <w:sz w:val="26"/>
          <w:szCs w:val="26"/>
        </w:rPr>
        <w:t xml:space="preserve">5.1 Dashboard KPI Cards</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4500"/>
        <w:gridCol w:w="4560"/>
      </w:tblGrid>
      <w:tr>
        <w:trPr>
          <w:tblHeader/>
        </w:trPr>
        <w:tc>
          <w:tcPr>
            <w:tcW w:type="dxa" w:w="4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KPI</w:t>
            </w:r>
          </w:p>
        </w:tc>
        <w:tc>
          <w:tcPr>
            <w:tcW w:type="dxa" w:w="4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Value</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212121"/>
                <w:sz w:val="20"/>
                <w:szCs w:val="20"/>
              </w:rPr>
              <w:t xml:space="preserve">Number of Customers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212121"/>
                <w:sz w:val="20"/>
                <w:szCs w:val="20"/>
              </w:rPr>
              <w:t xml:space="preserve">3,900</w:t>
            </w:r>
          </w:p>
        </w:tc>
      </w:tr>
      <w:tr>
        <w:tc>
          <w:tcPr>
            <w:tcW w:type="dxa" w:w="4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color w:val="212121"/>
                <w:sz w:val="20"/>
                <w:szCs w:val="20"/>
              </w:rPr>
              <w:t xml:space="preserve">Average Review Rating</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color w:val="212121"/>
                <w:sz w:val="20"/>
                <w:szCs w:val="20"/>
              </w:rPr>
              <w:t xml:space="preserve">3.75 / 5.00</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212121"/>
                <w:sz w:val="20"/>
                <w:szCs w:val="20"/>
              </w:rPr>
              <w:t xml:space="preserve">Average Purchase Amount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212121"/>
                <w:sz w:val="20"/>
                <w:szCs w:val="20"/>
              </w:rPr>
              <w:t xml:space="preserve">$59.76</w:t>
            </w:r>
          </w:p>
        </w:tc>
      </w:tr>
    </w:tbl>
    <w:p>
      <w:r>
        <w:rPr>
          <w:sz w:val="12"/>
          <w:szCs w:val="12"/>
        </w:rPr>
        <w:t xml:space="preserve"/>
      </w:r>
    </w:p>
    <w:p>
      <w:pPr>
        <w:pStyle w:val="Heading2"/>
        <w:spacing w:after="140" w:before="280"/>
      </w:pPr>
      <w:r>
        <w:rPr>
          <w:rFonts w:ascii="Arial" w:cs="Arial" w:eastAsia="Arial" w:hAnsi="Arial"/>
          <w:b/>
          <w:bCs/>
          <w:color w:val="C71585"/>
          <w:sz w:val="26"/>
          <w:szCs w:val="26"/>
        </w:rPr>
        <w:t xml:space="preserve">5.2 Dashboard Visualizations</w:t>
      </w:r>
    </w:p>
    <w:p>
      <w:r>
        <w:rPr>
          <w:sz w:val="12"/>
          <w:szCs w:val="12"/>
        </w:rPr>
        <w:t xml:space="preserve"/>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48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Chart</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W w:type="dxa" w:w="4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Key Finding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212121"/>
                <w:sz w:val="20"/>
                <w:szCs w:val="20"/>
              </w:rPr>
              <w:t xml:space="preserve">% Customers by Subscription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212121"/>
                <w:sz w:val="20"/>
                <w:szCs w:val="20"/>
              </w:rPr>
              <w:t xml:space="preserve">Donut Chart</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212121"/>
                <w:sz w:val="20"/>
                <w:szCs w:val="20"/>
              </w:rPr>
              <w:t xml:space="preserve">73% Non-Subscriber, 27% Subscriber</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color w:val="212121"/>
                <w:sz w:val="20"/>
                <w:szCs w:val="20"/>
              </w:rPr>
              <w:t xml:space="preserve">Sales by Category</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color w:val="212121"/>
                <w:sz w:val="20"/>
                <w:szCs w:val="20"/>
              </w:rPr>
              <w:t xml:space="preserve">Bar Chart</w:t>
            </w:r>
          </w:p>
        </w:tc>
        <w:tc>
          <w:tcPr>
            <w:tcW w:type="dxa" w:w="4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color w:val="212121"/>
                <w:sz w:val="20"/>
                <w:szCs w:val="20"/>
              </w:rPr>
              <w:t xml:space="preserve">Clothing leads in volume (~1,800+ orders)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212121"/>
                <w:sz w:val="20"/>
                <w:szCs w:val="20"/>
              </w:rPr>
              <w:t xml:space="preserve">Revenue by Category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212121"/>
                <w:sz w:val="20"/>
                <w:szCs w:val="20"/>
              </w:rPr>
              <w:t xml:space="preserve">Bar Chart</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212121"/>
                <w:sz w:val="20"/>
                <w:szCs w:val="20"/>
              </w:rPr>
              <w:t xml:space="preserve">Clothing also leads in revenue (~$0.1M+)</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color w:val="212121"/>
                <w:sz w:val="20"/>
                <w:szCs w:val="20"/>
              </w:rPr>
              <w:t xml:space="preserve">Revenue by Age Group</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color w:val="212121"/>
                <w:sz w:val="20"/>
                <w:szCs w:val="20"/>
              </w:rPr>
              <w:t xml:space="preserve">Horizontal Bar</w:t>
            </w:r>
          </w:p>
        </w:tc>
        <w:tc>
          <w:tcPr>
            <w:tcW w:type="dxa" w:w="4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color w:val="212121"/>
                <w:sz w:val="20"/>
                <w:szCs w:val="20"/>
              </w:rPr>
              <w:t xml:space="preserve">Young Adult leads; relatively balanced across groups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212121"/>
                <w:sz w:val="20"/>
                <w:szCs w:val="20"/>
              </w:rPr>
              <w:t xml:space="preserve">Sales by Age Group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212121"/>
                <w:sz w:val="20"/>
                <w:szCs w:val="20"/>
              </w:rPr>
              <w:t xml:space="preserve">Horizontal Bar</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212121"/>
                <w:sz w:val="20"/>
                <w:szCs w:val="20"/>
              </w:rPr>
              <w:t xml:space="preserve">Young Adults highest; Adults lowest</w:t>
            </w:r>
          </w:p>
        </w:tc>
      </w:tr>
    </w:tbl>
    <w:p>
      <w:r>
        <w:rPr>
          <w:sz w:val="12"/>
          <w:szCs w:val="12"/>
        </w:rPr>
        <w:t xml:space="preserve"/>
      </w:r>
    </w:p>
    <w:p>
      <w:pPr>
        <w:pStyle w:val="Heading2"/>
        <w:spacing w:after="140" w:before="280"/>
      </w:pPr>
      <w:r>
        <w:rPr>
          <w:rFonts w:ascii="Arial" w:cs="Arial" w:eastAsia="Arial" w:hAnsi="Arial"/>
          <w:b/>
          <w:bCs/>
          <w:color w:val="C71585"/>
          <w:sz w:val="26"/>
          <w:szCs w:val="26"/>
        </w:rPr>
        <w:t xml:space="preserve">5.3 Dashboard Filters</w:t>
      </w:r>
    </w:p>
    <w:p>
      <w:pPr>
        <w:pStyle w:val="ListParagraph"/>
        <w:numPr>
          <w:ilvl w:val="0"/>
          <w:numId w:val="2"/>
        </w:numPr>
        <w:spacing w:after="60" w:before="60"/>
      </w:pPr>
      <w:r>
        <w:rPr>
          <w:rFonts w:ascii="Arial" w:cs="Arial" w:eastAsia="Arial" w:hAnsi="Arial"/>
          <w:color w:val="212121"/>
          <w:sz w:val="21"/>
          <w:szCs w:val="21"/>
        </w:rPr>
        <w:t xml:space="preserve">Subscription Status: Toggle between subscriber and non-subscriber segments.</w:t>
      </w:r>
    </w:p>
    <w:p>
      <w:pPr>
        <w:pStyle w:val="ListParagraph"/>
        <w:numPr>
          <w:ilvl w:val="0"/>
          <w:numId w:val="2"/>
        </w:numPr>
        <w:spacing w:after="60" w:before="60"/>
      </w:pPr>
      <w:r>
        <w:rPr>
          <w:rFonts w:ascii="Arial" w:cs="Arial" w:eastAsia="Arial" w:hAnsi="Arial"/>
          <w:color w:val="212121"/>
          <w:sz w:val="21"/>
          <w:szCs w:val="21"/>
        </w:rPr>
        <w:t xml:space="preserve">Gender: Filter metrics by Male or Female.</w:t>
      </w:r>
    </w:p>
    <w:p>
      <w:pPr>
        <w:pStyle w:val="ListParagraph"/>
        <w:numPr>
          <w:ilvl w:val="0"/>
          <w:numId w:val="2"/>
        </w:numPr>
        <w:spacing w:after="60" w:before="60"/>
      </w:pPr>
      <w:r>
        <w:rPr>
          <w:rFonts w:ascii="Arial" w:cs="Arial" w:eastAsia="Arial" w:hAnsi="Arial"/>
          <w:color w:val="212121"/>
          <w:sz w:val="21"/>
          <w:szCs w:val="21"/>
        </w:rPr>
        <w:t xml:space="preserve">Category: Drill into Accessories, Clothing, Footwear, or Outerwear.</w:t>
      </w:r>
    </w:p>
    <w:p>
      <w:pPr>
        <w:pStyle w:val="ListParagraph"/>
        <w:numPr>
          <w:ilvl w:val="0"/>
          <w:numId w:val="2"/>
        </w:numPr>
        <w:spacing w:after="60" w:before="60"/>
      </w:pPr>
      <w:r>
        <w:rPr>
          <w:rFonts w:ascii="Arial" w:cs="Arial" w:eastAsia="Arial" w:hAnsi="Arial"/>
          <w:color w:val="212121"/>
          <w:sz w:val="21"/>
          <w:szCs w:val="21"/>
        </w:rPr>
        <w:t xml:space="preserve">Shipping Type: Compare behavior across 2-Day, Express, Free, Next Day Air, Standard, and Store Pickup.</w:t>
      </w:r>
    </w:p>
    <w:p>
      <w:r>
        <w:rPr>
          <w:sz w:val="12"/>
          <w:szCs w:val="12"/>
        </w:rPr>
        <w:t xml:space="preserve"/>
      </w:r>
    </w:p>
    <w:p>
      <w:r>
        <w:br w:type="page"/>
      </w:r>
    </w:p>
    <w:p>
      <w:pPr>
        <w:pStyle w:val="Heading1"/>
        <w:spacing w:after="200" w:before="360"/>
      </w:pPr>
      <w:r>
        <w:rPr>
          <w:rFonts w:ascii="Arial" w:cs="Arial" w:eastAsia="Arial" w:hAnsi="Arial"/>
          <w:b/>
          <w:bCs/>
          <w:color w:val="1F3864"/>
          <w:sz w:val="32"/>
          <w:szCs w:val="32"/>
        </w:rPr>
        <w:t xml:space="preserve">6. Key Business Insights &amp; Recommendations</w:t>
      </w:r>
    </w:p>
    <w:p>
      <w:pPr>
        <w:pBdr>
          <w:bottom w:val="single" w:color="C71585" w:sz="4" w:space="1"/>
        </w:pBdr>
        <w:spacing w:after="100" w:before="100"/>
      </w:pPr>
      <w:r>
        <w:t xml:space="preserve"/>
      </w:r>
    </w:p>
    <w:p>
      <w:pPr>
        <w:pStyle w:val="Heading2"/>
        <w:spacing w:after="140" w:before="280"/>
      </w:pPr>
      <w:r>
        <w:rPr>
          <w:rFonts w:ascii="Arial" w:cs="Arial" w:eastAsia="Arial" w:hAnsi="Arial"/>
          <w:b/>
          <w:bCs/>
          <w:color w:val="C71585"/>
          <w:sz w:val="26"/>
          <w:szCs w:val="26"/>
        </w:rPr>
        <w:t xml:space="preserve">6.1 Revenue &amp; Demographics</w:t>
      </w:r>
    </w:p>
    <w:p>
      <w:pPr>
        <w:pStyle w:val="ListParagraph"/>
        <w:numPr>
          <w:ilvl w:val="0"/>
          <w:numId w:val="2"/>
        </w:numPr>
        <w:spacing w:after="60" w:before="60"/>
      </w:pPr>
      <w:r>
        <w:rPr>
          <w:rFonts w:ascii="Arial" w:cs="Arial" w:eastAsia="Arial" w:hAnsi="Arial"/>
          <w:color w:val="212121"/>
          <w:sz w:val="21"/>
          <w:szCs w:val="21"/>
        </w:rPr>
        <w:t xml:space="preserve">Gender Revenue Gap: Male customers generate 2.1x more revenue. Consider expanding male-targeted product lines or investing in campaigns to grow female customer revenue.</w:t>
      </w:r>
    </w:p>
    <w:p>
      <w:pPr>
        <w:pStyle w:val="ListParagraph"/>
        <w:numPr>
          <w:ilvl w:val="0"/>
          <w:numId w:val="2"/>
        </w:numPr>
        <w:spacing w:after="60" w:before="60"/>
      </w:pPr>
      <w:r>
        <w:rPr>
          <w:rFonts w:ascii="Arial" w:cs="Arial" w:eastAsia="Arial" w:hAnsi="Arial"/>
          <w:color w:val="212121"/>
          <w:sz w:val="21"/>
          <w:szCs w:val="21"/>
        </w:rPr>
        <w:t xml:space="preserve">Age Group Equity: Revenue is nearly uniform across age groups (~$55K–$62K), indicating strong cross-demographic appeal. Seasonal or age-targeted promotions could unlock incremental revenue.</w:t>
      </w:r>
    </w:p>
    <w:p>
      <w:r>
        <w:rPr>
          <w:sz w:val="12"/>
          <w:szCs w:val="12"/>
        </w:rPr>
        <w:t xml:space="preserve"/>
      </w:r>
    </w:p>
    <w:p>
      <w:pPr>
        <w:pStyle w:val="Heading2"/>
        <w:spacing w:after="140" w:before="280"/>
      </w:pPr>
      <w:r>
        <w:rPr>
          <w:rFonts w:ascii="Arial" w:cs="Arial" w:eastAsia="Arial" w:hAnsi="Arial"/>
          <w:b/>
          <w:bCs/>
          <w:color w:val="C71585"/>
          <w:sz w:val="26"/>
          <w:szCs w:val="26"/>
        </w:rPr>
        <w:t xml:space="preserve">6.2 Product Performance</w:t>
      </w:r>
    </w:p>
    <w:p>
      <w:pPr>
        <w:pStyle w:val="ListParagraph"/>
        <w:numPr>
          <w:ilvl w:val="0"/>
          <w:numId w:val="2"/>
        </w:numPr>
        <w:spacing w:after="60" w:before="60"/>
      </w:pPr>
      <w:r>
        <w:rPr>
          <w:rFonts w:ascii="Arial" w:cs="Arial" w:eastAsia="Arial" w:hAnsi="Arial"/>
          <w:color w:val="212121"/>
          <w:sz w:val="21"/>
          <w:szCs w:val="21"/>
        </w:rPr>
        <w:t xml:space="preserve">Top-Rated Products: Gloves, Sandals, and Boots are the highest-rated items. These should be prominently featured in marketing as customer-satisfaction leaders.</w:t>
      </w:r>
    </w:p>
    <w:p>
      <w:pPr>
        <w:pStyle w:val="ListParagraph"/>
        <w:numPr>
          <w:ilvl w:val="0"/>
          <w:numId w:val="2"/>
        </w:numPr>
        <w:spacing w:after="60" w:before="60"/>
      </w:pPr>
      <w:r>
        <w:rPr>
          <w:rFonts w:ascii="Arial" w:cs="Arial" w:eastAsia="Arial" w:hAnsi="Arial"/>
          <w:color w:val="212121"/>
          <w:sz w:val="21"/>
          <w:szCs w:val="21"/>
        </w:rPr>
        <w:t xml:space="preserve">Category Leadership: Clothing dominates both in sales volume and revenue, but Accessories show competitive unit counts. Footwear has growth potential given strong ratings for Sandals.</w:t>
      </w:r>
    </w:p>
    <w:p>
      <w:pPr>
        <w:pStyle w:val="ListParagraph"/>
        <w:numPr>
          <w:ilvl w:val="0"/>
          <w:numId w:val="2"/>
        </w:numPr>
        <w:spacing w:after="60" w:before="60"/>
      </w:pPr>
      <w:r>
        <w:rPr>
          <w:rFonts w:ascii="Arial" w:cs="Arial" w:eastAsia="Arial" w:hAnsi="Arial"/>
          <w:color w:val="212121"/>
          <w:sz w:val="21"/>
          <w:szCs w:val="21"/>
        </w:rPr>
        <w:t xml:space="preserve">Best-Sellers by Category: Jewelry (Accessories), Blouse (Clothing), and Sandals (Footwear) are the top products — prioritize inventory management for these items.</w:t>
      </w:r>
    </w:p>
    <w:p>
      <w:r>
        <w:rPr>
          <w:sz w:val="12"/>
          <w:szCs w:val="12"/>
        </w:rPr>
        <w:t xml:space="preserve"/>
      </w:r>
    </w:p>
    <w:p>
      <w:pPr>
        <w:pStyle w:val="Heading2"/>
        <w:spacing w:after="140" w:before="280"/>
      </w:pPr>
      <w:r>
        <w:rPr>
          <w:rFonts w:ascii="Arial" w:cs="Arial" w:eastAsia="Arial" w:hAnsi="Arial"/>
          <w:b/>
          <w:bCs/>
          <w:color w:val="C71585"/>
          <w:sz w:val="26"/>
          <w:szCs w:val="26"/>
        </w:rPr>
        <w:t xml:space="preserve">6.3 Discount &amp; Pricing Strategy</w:t>
      </w:r>
    </w:p>
    <w:p>
      <w:pPr>
        <w:pStyle w:val="ListParagraph"/>
        <w:numPr>
          <w:ilvl w:val="0"/>
          <w:numId w:val="2"/>
        </w:numPr>
        <w:spacing w:after="60" w:before="60"/>
      </w:pPr>
      <w:r>
        <w:rPr>
          <w:rFonts w:ascii="Arial" w:cs="Arial" w:eastAsia="Arial" w:hAnsi="Arial"/>
          <w:color w:val="212121"/>
          <w:sz w:val="21"/>
          <w:szCs w:val="21"/>
        </w:rPr>
        <w:t xml:space="preserve">High Discount Exposure: Products like Hat, Sneakers, and Coat have ~48–50% discount rates, threatening margins. A/B test reduced discounting on these items to assess price elasticity.</w:t>
      </w:r>
    </w:p>
    <w:p>
      <w:pPr>
        <w:pStyle w:val="ListParagraph"/>
        <w:numPr>
          <w:ilvl w:val="0"/>
          <w:numId w:val="2"/>
        </w:numPr>
        <w:spacing w:after="60" w:before="60"/>
      </w:pPr>
      <w:r>
        <w:rPr>
          <w:rFonts w:ascii="Arial" w:cs="Arial" w:eastAsia="Arial" w:hAnsi="Arial"/>
          <w:color w:val="212121"/>
          <w:sz w:val="21"/>
          <w:szCs w:val="21"/>
        </w:rPr>
        <w:t xml:space="preserve">High-Value Discount Users: A notable segment of customers applies discounts but still spends above average. These are ideal candidates for loyalty or VIP programs rather than continued deep discounting.</w:t>
      </w:r>
    </w:p>
    <w:p>
      <w:r>
        <w:rPr>
          <w:sz w:val="12"/>
          <w:szCs w:val="12"/>
        </w:rPr>
        <w:t xml:space="preserve"/>
      </w:r>
    </w:p>
    <w:p>
      <w:pPr>
        <w:pStyle w:val="Heading2"/>
        <w:spacing w:after="140" w:before="280"/>
      </w:pPr>
      <w:r>
        <w:rPr>
          <w:rFonts w:ascii="Arial" w:cs="Arial" w:eastAsia="Arial" w:hAnsi="Arial"/>
          <w:b/>
          <w:bCs/>
          <w:color w:val="C71585"/>
          <w:sz w:val="26"/>
          <w:szCs w:val="26"/>
        </w:rPr>
        <w:t xml:space="preserve">6.4 Customer Loyalty &amp; Retention</w:t>
      </w:r>
    </w:p>
    <w:p>
      <w:pPr>
        <w:pStyle w:val="ListParagraph"/>
        <w:numPr>
          <w:ilvl w:val="0"/>
          <w:numId w:val="2"/>
        </w:numPr>
        <w:spacing w:after="60" w:before="60"/>
      </w:pPr>
      <w:r>
        <w:rPr>
          <w:rFonts w:ascii="Arial" w:cs="Arial" w:eastAsia="Arial" w:hAnsi="Arial"/>
          <w:color w:val="212121"/>
          <w:sz w:val="21"/>
          <w:szCs w:val="21"/>
        </w:rPr>
        <w:t xml:space="preserve">Strong Loyal Base: 80% of customers are classified as Loyal (11+ purchases). Retention is excellent, but new customer acquisition is critically low (only 83 New customers).</w:t>
      </w:r>
    </w:p>
    <w:p>
      <w:pPr>
        <w:pStyle w:val="ListParagraph"/>
        <w:numPr>
          <w:ilvl w:val="0"/>
          <w:numId w:val="2"/>
        </w:numPr>
        <w:spacing w:after="60" w:before="60"/>
      </w:pPr>
      <w:r>
        <w:rPr>
          <w:rFonts w:ascii="Arial" w:cs="Arial" w:eastAsia="Arial" w:hAnsi="Arial"/>
          <w:color w:val="212121"/>
          <w:sz w:val="21"/>
          <w:szCs w:val="21"/>
        </w:rPr>
        <w:t xml:space="preserve">Repeat Buyers Not Converting to Subscriptions: 72% of repeat buyers are non-subscribers. Targeted subscription offers — especially with exclusive perks — could significantly grow the subscriber base.</w:t>
      </w:r>
    </w:p>
    <w:p>
      <w:pPr>
        <w:pStyle w:val="ListParagraph"/>
        <w:numPr>
          <w:ilvl w:val="0"/>
          <w:numId w:val="2"/>
        </w:numPr>
        <w:spacing w:after="60" w:before="60"/>
      </w:pPr>
      <w:r>
        <w:rPr>
          <w:rFonts w:ascii="Arial" w:cs="Arial" w:eastAsia="Arial" w:hAnsi="Arial"/>
          <w:color w:val="212121"/>
          <w:sz w:val="21"/>
          <w:szCs w:val="21"/>
        </w:rPr>
        <w:t xml:space="preserve">Subscription ROI: Subscribers represent 27% of customers but generate only 27% of revenue, meaning subscriptions are not driving incremental spend. Subscription benefits should be restructured to incentivize higher basket sizes.</w:t>
      </w:r>
    </w:p>
    <w:p>
      <w:r>
        <w:rPr>
          <w:sz w:val="12"/>
          <w:szCs w:val="12"/>
        </w:rPr>
        <w:t xml:space="preserve"/>
      </w:r>
    </w:p>
    <w:p>
      <w:r>
        <w:br w:type="page"/>
      </w:r>
    </w:p>
    <w:p>
      <w:pPr>
        <w:pStyle w:val="Heading1"/>
        <w:spacing w:after="200" w:before="360"/>
      </w:pPr>
      <w:r>
        <w:rPr>
          <w:rFonts w:ascii="Arial" w:cs="Arial" w:eastAsia="Arial" w:hAnsi="Arial"/>
          <w:b/>
          <w:bCs/>
          <w:color w:val="1F3864"/>
          <w:sz w:val="32"/>
          <w:szCs w:val="32"/>
        </w:rPr>
        <w:t xml:space="preserve">7. Technology Stack</w:t>
      </w:r>
    </w:p>
    <w:p>
      <w:pPr>
        <w:pBdr>
          <w:bottom w:val="single" w:color="C71585" w:sz="4" w:space="1"/>
        </w:pBdr>
        <w:spacing w:after="100" w:before="100"/>
      </w:pPr>
      <w:r>
        <w:t xml:space="preserve"/>
      </w:r>
    </w:p>
    <w:p>
      <w:r>
        <w:rPr>
          <w:sz w:val="12"/>
          <w:szCs w:val="12"/>
        </w:rPr>
        <w:t xml:space="preserve"/>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0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Layer</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Tool / Technology</w:t>
            </w:r>
          </w:p>
        </w:tc>
        <w:tc>
          <w:tcPr>
            <w:tcW w:type="dxa" w:w="40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212121"/>
                <w:sz w:val="20"/>
                <w:szCs w:val="20"/>
              </w:rPr>
              <w:t xml:space="preserve">Data Ingestion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212121"/>
                <w:sz w:val="20"/>
                <w:szCs w:val="20"/>
              </w:rPr>
              <w:t xml:space="preserve">Python (Pandas)</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212121"/>
                <w:sz w:val="20"/>
                <w:szCs w:val="20"/>
              </w:rPr>
              <w:t xml:space="preserve">CSV loading, exploration, cleaning</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color w:val="212121"/>
                <w:sz w:val="20"/>
                <w:szCs w:val="20"/>
              </w:rPr>
              <w:t xml:space="preserve">Feature Engineering</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color w:val="212121"/>
                <w:sz w:val="20"/>
                <w:szCs w:val="20"/>
              </w:rPr>
              <w:t xml:space="preserve">Python (Pandas)</w:t>
            </w:r>
          </w:p>
        </w:tc>
        <w:tc>
          <w:tcPr>
            <w:tcW w:type="dxa" w:w="4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color w:val="212121"/>
                <w:sz w:val="20"/>
                <w:szCs w:val="20"/>
              </w:rPr>
              <w:t xml:space="preserve">Age grouping, frequency mapping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212121"/>
                <w:sz w:val="20"/>
                <w:szCs w:val="20"/>
              </w:rPr>
              <w:t xml:space="preserve">Data Storage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212121"/>
                <w:sz w:val="20"/>
                <w:szCs w:val="20"/>
              </w:rPr>
              <w:t xml:space="preserve">PostgreSQL</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212121"/>
                <w:sz w:val="20"/>
                <w:szCs w:val="20"/>
              </w:rPr>
              <w:t xml:space="preserve">Relational database for structured querying</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color w:val="212121"/>
                <w:sz w:val="20"/>
                <w:szCs w:val="20"/>
              </w:rPr>
              <w:t xml:space="preserve">ORM / Connector</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color w:val="212121"/>
                <w:sz w:val="20"/>
                <w:szCs w:val="20"/>
              </w:rPr>
              <w:t xml:space="preserve">SQLAlchemy + psycopg2</w:t>
            </w:r>
          </w:p>
        </w:tc>
        <w:tc>
          <w:tcPr>
            <w:tcW w:type="dxa" w:w="4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color w:val="212121"/>
                <w:sz w:val="20"/>
                <w:szCs w:val="20"/>
              </w:rPr>
              <w:t xml:space="preserve">Python-to-PostgreSQL data pipeline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212121"/>
                <w:sz w:val="20"/>
                <w:szCs w:val="20"/>
              </w:rPr>
              <w:t xml:space="preserve">SQL Analysis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212121"/>
                <w:sz w:val="20"/>
                <w:szCs w:val="20"/>
              </w:rPr>
              <w:t xml:space="preserve">PostgreSQL (pgAdmin)</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212121"/>
                <w:sz w:val="20"/>
                <w:szCs w:val="20"/>
              </w:rPr>
              <w:t xml:space="preserve">10 business queries using SQL</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color w:val="212121"/>
                <w:sz w:val="20"/>
                <w:szCs w:val="20"/>
              </w:rPr>
              <w:t xml:space="preserve">Visualization</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color w:val="212121"/>
                <w:sz w:val="20"/>
                <w:szCs w:val="20"/>
              </w:rPr>
              <w:t xml:space="preserve">Microsoft Power BI</w:t>
            </w:r>
          </w:p>
        </w:tc>
        <w:tc>
          <w:tcPr>
            <w:tcW w:type="dxa" w:w="4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color w:val="212121"/>
                <w:sz w:val="20"/>
                <w:szCs w:val="20"/>
              </w:rPr>
              <w:t xml:space="preserve">Interactive dashboard with filters</w:t>
            </w:r>
          </w:p>
        </w:tc>
      </w:tr>
    </w:tbl>
    <w:p>
      <w:r>
        <w:rPr>
          <w:sz w:val="24"/>
          <w:szCs w:val="24"/>
        </w:rPr>
        <w:t xml:space="preserve"/>
      </w:r>
    </w:p>
    <w:p>
      <w:pPr>
        <w:pStyle w:val="Heading1"/>
        <w:spacing w:after="200" w:before="360"/>
      </w:pPr>
      <w:r>
        <w:rPr>
          <w:rFonts w:ascii="Arial" w:cs="Arial" w:eastAsia="Arial" w:hAnsi="Arial"/>
          <w:b/>
          <w:bCs/>
          <w:color w:val="1F3864"/>
          <w:sz w:val="32"/>
          <w:szCs w:val="32"/>
        </w:rPr>
        <w:t xml:space="preserve">8. Conclusion</w:t>
      </w:r>
    </w:p>
    <w:p>
      <w:pPr>
        <w:pBdr>
          <w:bottom w:val="single" w:color="C71585" w:sz="4" w:space="1"/>
        </w:pBdr>
        <w:spacing w:after="100" w:before="100"/>
      </w:pPr>
      <w:r>
        <w:t xml:space="preserve"/>
      </w:r>
    </w:p>
    <w:p>
      <w:pPr>
        <w:spacing w:after="80" w:before="80"/>
        <w:jc w:val="both"/>
      </w:pPr>
      <w:r>
        <w:rPr>
          <w:rFonts w:ascii="Arial" w:cs="Arial" w:eastAsia="Arial" w:hAnsi="Arial"/>
          <w:b w:val="false"/>
          <w:bCs w:val="false"/>
          <w:i w:val="false"/>
          <w:iCs w:val="false"/>
          <w:color w:val="212121"/>
          <w:sz w:val="22"/>
          <w:szCs w:val="22"/>
        </w:rPr>
        <w:t xml:space="preserve">This project demonstrates a complete data analytics pipeline — from raw CSV ingestion through Python-based preprocessing, to relational database storage, structured SQL querying, and business intelligence visualization. The customer behavior dataset yielded rich insights into revenue distribution, product performance, loyalty dynamics, and pricing strategy.</w:t>
      </w:r>
    </w:p>
    <w:p>
      <w:r>
        <w:rPr>
          <w:sz w:val="12"/>
          <w:szCs w:val="12"/>
        </w:rPr>
        <w:t xml:space="preserve"/>
      </w:r>
    </w:p>
    <w:p>
      <w:pPr>
        <w:spacing w:after="80" w:before="80"/>
        <w:jc w:val="both"/>
      </w:pPr>
      <w:r>
        <w:rPr>
          <w:rFonts w:ascii="Arial" w:cs="Arial" w:eastAsia="Arial" w:hAnsi="Arial"/>
          <w:b w:val="false"/>
          <w:bCs w:val="false"/>
          <w:i w:val="false"/>
          <w:iCs w:val="false"/>
          <w:color w:val="212121"/>
          <w:sz w:val="22"/>
          <w:szCs w:val="22"/>
        </w:rPr>
        <w:t xml:space="preserve">The analysis reveals a business with a mature, loyal customer base, strong category concentration in Clothing, and significant opportunities in subscription growth, female customer engagement, and discount optimization. The Power BI dashboard empowers business stakeholders to explore these insights interactively and make data-driven decisions.</w:t>
      </w:r>
    </w:p>
    <w:p>
      <w:r>
        <w:rPr>
          <w:sz w:val="12"/>
          <w:szCs w:val="12"/>
        </w:rPr>
        <w:t xml:space="preserve"/>
      </w:r>
    </w:p>
    <w:p>
      <w:pPr>
        <w:spacing w:after="80" w:before="80"/>
        <w:jc w:val="both"/>
      </w:pPr>
      <w:r>
        <w:rPr>
          <w:rFonts w:ascii="Arial" w:cs="Arial" w:eastAsia="Arial" w:hAnsi="Arial"/>
          <w:b w:val="false"/>
          <w:bCs w:val="false"/>
          <w:i/>
          <w:iCs/>
          <w:color w:val="212121"/>
          <w:sz w:val="22"/>
          <w:szCs w:val="22"/>
        </w:rPr>
        <w:t xml:space="preserve">Future enhancements to this project could include predictive modeling (churn prediction, CLV estimation), cohort analysis by acquisition period, and real-time database connectivity for live dashboard updates.</w:t>
      </w:r>
    </w:p>
    <w:p>
      <w:r>
        <w:rPr>
          <w:sz w:val="24"/>
          <w:szCs w:val="24"/>
        </w:rPr>
        <w:t xml:space="preserve"/>
      </w:r>
    </w:p>
    <w:p>
      <w:pPr>
        <w:pBdr>
          <w:bottom w:val="single" w:color="C71585" w:sz="4" w:space="1"/>
        </w:pBdr>
        <w:spacing w:after="100" w:before="100"/>
      </w:pPr>
      <w:r>
        <w:t xml:space="preserve"/>
      </w:r>
    </w:p>
    <w:p>
      <w:pPr>
        <w:spacing w:before="120"/>
        <w:jc w:val="center"/>
      </w:pPr>
      <w:r>
        <w:rPr>
          <w:rFonts w:ascii="Arial" w:cs="Arial" w:eastAsia="Arial" w:hAnsi="Arial"/>
          <w:i/>
          <w:iCs/>
          <w:color w:val="888888"/>
          <w:sz w:val="20"/>
          <w:szCs w:val="20"/>
        </w:rPr>
        <w:t xml:space="preserve">--- End of Report ---</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864" w:sz="4" w:space="1"/>
      </w:pBdr>
      <w:tabs>
        <w:tab w:val="right" w:pos="9080"/>
      </w:tabs>
    </w:pPr>
    <w:r>
      <w:rPr>
        <w:rFonts w:ascii="Arial" w:cs="Arial" w:eastAsia="Arial" w:hAnsi="Arial"/>
        <w:color w:val="888888"/>
        <w:sz w:val="16"/>
        <w:szCs w:val="16"/>
      </w:rPr>
      <w:t xml:space="preserve">Confidential  |  Internal Use Only</w:t>
    </w:r>
    <w:r>
      <w:rPr>
        <w:rFonts w:ascii="Arial" w:cs="Arial" w:eastAsia="Arial" w:hAnsi="Arial"/>
        <w:color w:val="888888"/>
        <w:sz w:val="16"/>
        <w:szCs w:val="16"/>
      </w:rPr>
      <w:t xml:space="preserve">	Page [auto]</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1585" w:sz="6" w:space="1"/>
      </w:pBdr>
    </w:pPr>
    <w:r>
      <w:rPr>
        <w:rFonts w:ascii="Arial" w:cs="Arial" w:eastAsia="Arial" w:hAnsi="Arial"/>
        <w:b/>
        <w:bCs/>
        <w:color w:val="1F3864"/>
        <w:sz w:val="18"/>
        <w:szCs w:val="18"/>
      </w:rPr>
      <w:t xml:space="preserve">Customer Behavior Analysis  |  Data Analytics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C7158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2026-04-10T13:19:53.472Z</dcterms:created>
  <dcterms:modified xsi:type="dcterms:W3CDTF">2026-04-10T13:19:53.473Z</dcterms:modified>
</cp:coreProperties>
</file>

<file path=docProps/custom.xml><?xml version="1.0" encoding="utf-8"?>
<Properties xmlns="http://schemas.openxmlformats.org/officeDocument/2006/custom-properties" xmlns:vt="http://schemas.openxmlformats.org/officeDocument/2006/docPropsVTypes"/>
</file>