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Outfit" w:hAnsi="Outfit"/>
          <w:b/>
          <w:color w:val="6366F1"/>
          <w:sz w:val="56"/>
        </w:rPr>
        <w:t>PROJECT PLAN &amp; ROADMAP</w:t>
      </w:r>
    </w:p>
    <w:p>
      <w:pPr>
        <w:spacing w:after="960"/>
        <w:jc w:val="center"/>
      </w:pPr>
      <w:r>
        <w:rPr>
          <w:rFonts w:ascii="Outfit" w:hAnsi="Outfit"/>
          <w:i/>
          <w:color w:val="64748B"/>
          <w:sz w:val="28"/>
        </w:rPr>
        <w:t>Scaling the Aiam Multi-Agent Job Search Platform to Enterprise SaaS</w:t>
      </w:r>
    </w:p>
    <w:p>
      <w:pPr>
        <w:spacing w:before="2880"/>
        <w:jc w:val="center"/>
      </w:pPr>
      <w:r>
        <w:rPr>
          <w:rFonts w:ascii="Plus Jakarta Sans" w:hAnsi="Plus Jakarta Sans"/>
          <w:b/>
          <w:color w:val="334155"/>
          <w:sz w:val="21"/>
        </w:rPr>
        <w:t xml:space="preserve">Prepared For: </w:t>
      </w:r>
      <w:r>
        <w:rPr>
          <w:rFonts w:ascii="Plus Jakarta Sans" w:hAnsi="Plus Jakarta Sans"/>
          <w:color w:val="334155"/>
          <w:sz w:val="21"/>
        </w:rPr>
        <w:t>Enterprise Scaling Team</w:t>
        <w:br/>
      </w:r>
      <w:r>
        <w:rPr>
          <w:rFonts w:ascii="Plus Jakarta Sans" w:hAnsi="Plus Jakarta Sans"/>
          <w:b/>
          <w:color w:val="334155"/>
          <w:sz w:val="21"/>
        </w:rPr>
        <w:t xml:space="preserve">Prepared By: </w:t>
      </w:r>
      <w:r>
        <w:rPr>
          <w:rFonts w:ascii="Plus Jakarta Sans" w:hAnsi="Plus Jakarta Sans"/>
          <w:color w:val="334155"/>
          <w:sz w:val="21"/>
        </w:rPr>
        <w:t>Aiam Core Architecture Board</w:t>
        <w:br/>
      </w:r>
      <w:r>
        <w:rPr>
          <w:rFonts w:ascii="Plus Jakarta Sans" w:hAnsi="Plus Jakarta Sans"/>
          <w:b/>
          <w:color w:val="334155"/>
          <w:sz w:val="21"/>
        </w:rPr>
        <w:t xml:space="preserve">Date: </w:t>
      </w:r>
      <w:r>
        <w:rPr>
          <w:rFonts w:ascii="Plus Jakarta Sans" w:hAnsi="Plus Jakarta Sans"/>
          <w:color w:val="334155"/>
          <w:sz w:val="21"/>
        </w:rPr>
        <w:t>August 2026</w:t>
        <w:br/>
      </w:r>
      <w:r>
        <w:rPr>
          <w:rFonts w:ascii="Plus Jakarta Sans" w:hAnsi="Plus Jakarta Sans"/>
          <w:b/>
          <w:color w:val="334155"/>
          <w:sz w:val="21"/>
        </w:rPr>
        <w:t xml:space="preserve">Version: </w:t>
      </w:r>
      <w:r>
        <w:rPr>
          <w:rFonts w:ascii="Plus Jakarta Sans" w:hAnsi="Plus Jakarta Sans"/>
          <w:color w:val="334155"/>
          <w:sz w:val="21"/>
        </w:rPr>
        <w:t>1.0.0 (Scalable Release Draft)</w:t>
        <w:br/>
      </w:r>
    </w:p>
    <w:p>
      <w:r>
        <w:br w:type="page"/>
      </w:r>
    </w:p>
    <w:p>
      <w:pPr>
        <w:pStyle w:val="Heading1"/>
        <w:keepNext/>
        <w:spacing w:before="360" w:after="240"/>
      </w:pPr>
      <w:r>
        <w:t>1. Executive Summary</w:t>
      </w:r>
    </w:p>
    <w:p>
      <w:pPr>
        <w:spacing w:after="160"/>
      </w:pPr>
      <w:r>
        <w:rPr>
          <w:rFonts w:ascii="Plus Jakarta Sans" w:hAnsi="Plus Jakarta Sans"/>
          <w:color w:val="0F172A"/>
          <w:sz w:val="22"/>
        </w:rPr>
        <w:t>The Aiam Agentic Job Search Engine prototype has successfully proven the capability of a 5-Agent pipeline working sequentially to ingest candidate profiles, record user preferences, crawl matching jobs, run fitment calculations, and compile dashboard recommendations. This Project Plan outlines the architectural shift to transition this prototype into a resilient, production-ready, and highly scalable cloud platform.</w:t>
      </w:r>
    </w:p>
    <w:p>
      <w:pPr>
        <w:pStyle w:val="ListBullet"/>
        <w:spacing w:after="80"/>
      </w:pPr>
      <w:r>
        <w:rPr>
          <w:rFonts w:ascii="Plus Jakarta Sans" w:hAnsi="Plus Jakarta Sans"/>
          <w:b/>
          <w:color w:val="6366F1"/>
          <w:sz w:val="22"/>
        </w:rPr>
        <w:t xml:space="preserve">Asynchronous Agent Workflows: </w:t>
      </w:r>
      <w:r>
        <w:rPr>
          <w:rFonts w:ascii="Plus Jakarta Sans" w:hAnsi="Plus Jakarta Sans"/>
          <w:color w:val="334155"/>
          <w:sz w:val="22"/>
        </w:rPr>
        <w:t>Decoupling parsing, crawling, and fitment scoring using Kafka message queues to ensure high throughput.</w:t>
      </w:r>
    </w:p>
    <w:p>
      <w:pPr>
        <w:pStyle w:val="ListBullet"/>
        <w:spacing w:after="80"/>
      </w:pPr>
      <w:r>
        <w:rPr>
          <w:rFonts w:ascii="Plus Jakarta Sans" w:hAnsi="Plus Jakarta Sans"/>
          <w:b/>
          <w:color w:val="6366F1"/>
          <w:sz w:val="22"/>
        </w:rPr>
        <w:t xml:space="preserve">Distributed Fetch Operations: </w:t>
      </w:r>
      <w:r>
        <w:rPr>
          <w:rFonts w:ascii="Plus Jakarta Sans" w:hAnsi="Plus Jakarta Sans"/>
          <w:color w:val="334155"/>
          <w:sz w:val="22"/>
        </w:rPr>
        <w:t>Utilizing concurrent scrapers and rotating proxy gateways to query Google Jobs (SerpAPI) and LinkedIn safely.</w:t>
      </w:r>
    </w:p>
    <w:p>
      <w:pPr>
        <w:pStyle w:val="ListBullet"/>
        <w:spacing w:after="80"/>
      </w:pPr>
      <w:r>
        <w:rPr>
          <w:rFonts w:ascii="Plus Jakarta Sans" w:hAnsi="Plus Jakarta Sans"/>
          <w:b/>
          <w:color w:val="6366F1"/>
          <w:sz w:val="22"/>
        </w:rPr>
        <w:t xml:space="preserve">Semantic Embeddings Model: </w:t>
      </w:r>
      <w:r>
        <w:rPr>
          <w:rFonts w:ascii="Plus Jakarta Sans" w:hAnsi="Plus Jakarta Sans"/>
          <w:color w:val="334155"/>
          <w:sz w:val="22"/>
        </w:rPr>
        <w:t>Replacing raw-string matching with pgvector cosine similarity to capture conceptual overlaps between user skills and job requirements.</w:t>
      </w:r>
    </w:p>
    <w:p>
      <w:pPr>
        <w:pStyle w:val="ListBullet"/>
        <w:spacing w:after="80"/>
      </w:pPr>
      <w:r>
        <w:rPr>
          <w:rFonts w:ascii="Plus Jakarta Sans" w:hAnsi="Plus Jakarta Sans"/>
          <w:b/>
          <w:color w:val="6366F1"/>
          <w:sz w:val="22"/>
        </w:rPr>
        <w:t xml:space="preserve">Enterprise Orchestration: </w:t>
      </w:r>
      <w:r>
        <w:rPr>
          <w:rFonts w:ascii="Plus Jakarta Sans" w:hAnsi="Plus Jakarta Sans"/>
          <w:color w:val="334155"/>
          <w:sz w:val="22"/>
        </w:rPr>
        <w:t>Adopting Temporal.io workflows to manage stateful retry logic, state machine tracking, and potential human-in-the-loop audit gates.</w:t>
      </w:r>
    </w:p>
    <w:p>
      <w:pPr>
        <w:pStyle w:val="Heading1"/>
        <w:keepNext/>
        <w:spacing w:before="360" w:after="240"/>
      </w:pPr>
      <w:r>
        <w:t>2. System Architecture &amp; Component Mapping</w:t>
      </w:r>
    </w:p>
    <w:p>
      <w:pPr>
        <w:spacing w:after="240"/>
      </w:pPr>
      <w:r>
        <w:rPr>
          <w:rFonts w:ascii="Plus Jakarta Sans" w:hAnsi="Plus Jakarta Sans"/>
          <w:sz w:val="22"/>
        </w:rPr>
        <w:t>The target system relies on an event-driven microservices architecture hosted on managed Kubernetes. Below is a specification breakdown of key service components:</w:t>
      </w:r>
    </w:p>
    <w:tbl>
      <w:tblPr>
        <w:tblW w:type="auto" w:w="0"/>
        <w:jc w:val="center"/>
        <w:tblLook w:firstColumn="1" w:firstRow="1" w:lastColumn="0" w:lastRow="0" w:noHBand="0" w:noVBand="1" w:val="04A0"/>
      </w:tblPr>
      <w:tblGrid>
        <w:gridCol w:w="2340"/>
        <w:gridCol w:w="2340"/>
        <w:gridCol w:w="2340"/>
        <w:gridCol w:w="2340"/>
      </w:tblGrid>
      <w:tr>
        <w:tc>
          <w:tcPr>
            <w:tcW w:type="dxa" w:w="2340"/>
            <w:shd w:fill="6366F1"/>
            <w:tcMar>
              <w:top w:w="120" w:type="dxa"/>
              <w:bottom w:w="120" w:type="dxa"/>
              <w:left w:w="150" w:type="dxa"/>
              <w:right w:w="150" w:type="dxa"/>
            </w:tcMar>
          </w:tcPr>
          <w:p>
            <w:pPr>
              <w:jc w:val="center"/>
            </w:pPr>
            <w:r>
              <w:rPr>
                <w:rFonts w:ascii="Plus Jakarta Sans" w:hAnsi="Plus Jakarta Sans"/>
                <w:b/>
                <w:color w:val="FFFFFF"/>
                <w:sz w:val="20"/>
              </w:rPr>
              <w:t>Service Component</w:t>
            </w:r>
          </w:p>
        </w:tc>
        <w:tc>
          <w:tcPr>
            <w:tcW w:type="dxa" w:w="2340"/>
            <w:shd w:fill="6366F1"/>
            <w:tcMar>
              <w:top w:w="120" w:type="dxa"/>
              <w:bottom w:w="120" w:type="dxa"/>
              <w:left w:w="150" w:type="dxa"/>
              <w:right w:w="150" w:type="dxa"/>
            </w:tcMar>
          </w:tcPr>
          <w:p>
            <w:pPr>
              <w:jc w:val="center"/>
            </w:pPr>
            <w:r>
              <w:rPr>
                <w:rFonts w:ascii="Plus Jakarta Sans" w:hAnsi="Plus Jakarta Sans"/>
                <w:b/>
                <w:color w:val="FFFFFF"/>
                <w:sz w:val="20"/>
              </w:rPr>
              <w:t>Tech Stack</w:t>
            </w:r>
          </w:p>
        </w:tc>
        <w:tc>
          <w:tcPr>
            <w:tcW w:type="dxa" w:w="2340"/>
            <w:shd w:fill="6366F1"/>
            <w:tcMar>
              <w:top w:w="120" w:type="dxa"/>
              <w:bottom w:w="120" w:type="dxa"/>
              <w:left w:w="150" w:type="dxa"/>
              <w:right w:w="150" w:type="dxa"/>
            </w:tcMar>
          </w:tcPr>
          <w:p>
            <w:pPr>
              <w:jc w:val="center"/>
            </w:pPr>
            <w:r>
              <w:rPr>
                <w:rFonts w:ascii="Plus Jakarta Sans" w:hAnsi="Plus Jakarta Sans"/>
                <w:b/>
                <w:color w:val="FFFFFF"/>
                <w:sz w:val="20"/>
              </w:rPr>
              <w:t>Core Responsibility</w:t>
            </w:r>
          </w:p>
        </w:tc>
        <w:tc>
          <w:tcPr>
            <w:tcW w:type="dxa" w:w="2340"/>
            <w:shd w:fill="6366F1"/>
            <w:tcMar>
              <w:top w:w="120" w:type="dxa"/>
              <w:bottom w:w="120" w:type="dxa"/>
              <w:left w:w="150" w:type="dxa"/>
              <w:right w:w="150" w:type="dxa"/>
            </w:tcMar>
          </w:tcPr>
          <w:p>
            <w:pPr>
              <w:jc w:val="center"/>
            </w:pPr>
            <w:r>
              <w:rPr>
                <w:rFonts w:ascii="Plus Jakarta Sans" w:hAnsi="Plus Jakarta Sans"/>
                <w:b/>
                <w:color w:val="FFFFFF"/>
                <w:sz w:val="20"/>
              </w:rPr>
              <w:t>Scalability Strategy</w:t>
            </w:r>
          </w:p>
        </w:tc>
      </w:tr>
      <w:tr>
        <w:tc>
          <w:tcPr>
            <w:tcW w:type="dxa" w:w="2340"/>
            <w:tcMar>
              <w:top w:w="80" w:type="dxa"/>
              <w:bottom w:w="80" w:type="dxa"/>
              <w:left w:w="120" w:type="dxa"/>
              <w:right w:w="120" w:type="dxa"/>
            </w:tcMar>
            <w:shd w:fill="FFFFFF"/>
          </w:tcPr>
          <w:p>
            <w:r>
              <w:rPr>
                <w:rFonts w:ascii="Plus Jakarta Sans" w:hAnsi="Plus Jakarta Sans"/>
                <w:b/>
                <w:color w:val="334155"/>
                <w:sz w:val="19"/>
              </w:rPr>
              <w:t>A1: Resume Parser</w:t>
            </w:r>
          </w:p>
        </w:tc>
        <w:tc>
          <w:tcPr>
            <w:tcW w:type="dxa" w:w="2340"/>
            <w:tcMar>
              <w:top w:w="80" w:type="dxa"/>
              <w:bottom w:w="80" w:type="dxa"/>
              <w:left w:w="120" w:type="dxa"/>
              <w:right w:w="120" w:type="dxa"/>
            </w:tcMar>
            <w:shd w:fill="FFFFFF"/>
          </w:tcPr>
          <w:p>
            <w:r>
              <w:rPr>
                <w:rFonts w:ascii="Plus Jakarta Sans" w:hAnsi="Plus Jakarta Sans"/>
                <w:color w:val="334155"/>
                <w:sz w:val="19"/>
              </w:rPr>
              <w:t>FastAPI, PyMuPDF, Pydantic</w:t>
            </w:r>
          </w:p>
        </w:tc>
        <w:tc>
          <w:tcPr>
            <w:tcW w:type="dxa" w:w="2340"/>
            <w:tcMar>
              <w:top w:w="80" w:type="dxa"/>
              <w:bottom w:w="80" w:type="dxa"/>
              <w:left w:w="120" w:type="dxa"/>
              <w:right w:w="120" w:type="dxa"/>
            </w:tcMar>
            <w:shd w:fill="FFFFFF"/>
          </w:tcPr>
          <w:p>
            <w:r>
              <w:rPr>
                <w:rFonts w:ascii="Plus Jakarta Sans" w:hAnsi="Plus Jakarta Sans"/>
                <w:color w:val="334155"/>
                <w:sz w:val="19"/>
              </w:rPr>
              <w:t>Extract candidate metadata and skills matrix into JSON</w:t>
            </w:r>
          </w:p>
        </w:tc>
        <w:tc>
          <w:tcPr>
            <w:tcW w:type="dxa" w:w="2340"/>
            <w:tcMar>
              <w:top w:w="80" w:type="dxa"/>
              <w:bottom w:w="80" w:type="dxa"/>
              <w:left w:w="120" w:type="dxa"/>
              <w:right w:w="120" w:type="dxa"/>
            </w:tcMar>
            <w:shd w:fill="FFFFFF"/>
          </w:tcPr>
          <w:p>
            <w:r>
              <w:rPr>
                <w:rFonts w:ascii="Plus Jakarta Sans" w:hAnsi="Plus Jakarta Sans"/>
                <w:color w:val="334155"/>
                <w:sz w:val="19"/>
              </w:rPr>
              <w:t>Horizontal Pod Autoscaler (HPA) scaling based on CPU metrics</w:t>
            </w:r>
          </w:p>
        </w:tc>
      </w:tr>
      <w:tr>
        <w:tc>
          <w:tcPr>
            <w:tcW w:type="dxa" w:w="2340"/>
            <w:tcMar>
              <w:top w:w="80" w:type="dxa"/>
              <w:bottom w:w="80" w:type="dxa"/>
              <w:left w:w="120" w:type="dxa"/>
              <w:right w:w="120" w:type="dxa"/>
            </w:tcMar>
            <w:shd w:fill="F8FAFC"/>
          </w:tcPr>
          <w:p>
            <w:r>
              <w:rPr>
                <w:rFonts w:ascii="Plus Jakarta Sans" w:hAnsi="Plus Jakarta Sans"/>
                <w:b/>
                <w:color w:val="334155"/>
                <w:sz w:val="19"/>
              </w:rPr>
              <w:t>A2: Preference Config</w:t>
            </w:r>
          </w:p>
        </w:tc>
        <w:tc>
          <w:tcPr>
            <w:tcW w:type="dxa" w:w="2340"/>
            <w:tcMar>
              <w:top w:w="80" w:type="dxa"/>
              <w:bottom w:w="80" w:type="dxa"/>
              <w:left w:w="120" w:type="dxa"/>
              <w:right w:w="120" w:type="dxa"/>
            </w:tcMar>
            <w:shd w:fill="F8FAFC"/>
          </w:tcPr>
          <w:p>
            <w:r>
              <w:rPr>
                <w:rFonts w:ascii="Plus Jakarta Sans" w:hAnsi="Plus Jakarta Sans"/>
                <w:color w:val="334155"/>
                <w:sz w:val="19"/>
              </w:rPr>
              <w:t>Node.js, Express</w:t>
            </w:r>
          </w:p>
        </w:tc>
        <w:tc>
          <w:tcPr>
            <w:tcW w:type="dxa" w:w="2340"/>
            <w:tcMar>
              <w:top w:w="80" w:type="dxa"/>
              <w:bottom w:w="80" w:type="dxa"/>
              <w:left w:w="120" w:type="dxa"/>
              <w:right w:w="120" w:type="dxa"/>
            </w:tcMar>
            <w:shd w:fill="F8FAFC"/>
          </w:tcPr>
          <w:p>
            <w:r>
              <w:rPr>
                <w:rFonts w:ascii="Plus Jakarta Sans" w:hAnsi="Plus Jakarta Sans"/>
                <w:color w:val="334155"/>
                <w:sz w:val="19"/>
              </w:rPr>
              <w:t>Ingest and validate candidate filter criteria</w:t>
            </w:r>
          </w:p>
        </w:tc>
        <w:tc>
          <w:tcPr>
            <w:tcW w:type="dxa" w:w="2340"/>
            <w:tcMar>
              <w:top w:w="80" w:type="dxa"/>
              <w:bottom w:w="80" w:type="dxa"/>
              <w:left w:w="120" w:type="dxa"/>
              <w:right w:w="120" w:type="dxa"/>
            </w:tcMar>
            <w:shd w:fill="F8FAFC"/>
          </w:tcPr>
          <w:p>
            <w:r>
              <w:rPr>
                <w:rFonts w:ascii="Plus Jakarta Sans" w:hAnsi="Plus Jakarta Sans"/>
                <w:color w:val="334155"/>
                <w:sz w:val="19"/>
              </w:rPr>
              <w:t>Lightweight REST container; minimal memory overhead</w:t>
            </w:r>
          </w:p>
        </w:tc>
      </w:tr>
      <w:tr>
        <w:tc>
          <w:tcPr>
            <w:tcW w:type="dxa" w:w="2340"/>
            <w:tcMar>
              <w:top w:w="80" w:type="dxa"/>
              <w:bottom w:w="80" w:type="dxa"/>
              <w:left w:w="120" w:type="dxa"/>
              <w:right w:w="120" w:type="dxa"/>
            </w:tcMar>
            <w:shd w:fill="FFFFFF"/>
          </w:tcPr>
          <w:p>
            <w:r>
              <w:rPr>
                <w:rFonts w:ascii="Plus Jakarta Sans" w:hAnsi="Plus Jakarta Sans"/>
                <w:b/>
                <w:color w:val="334155"/>
                <w:sz w:val="19"/>
              </w:rPr>
              <w:t>A3: Search Crawler</w:t>
            </w:r>
          </w:p>
        </w:tc>
        <w:tc>
          <w:tcPr>
            <w:tcW w:type="dxa" w:w="2340"/>
            <w:tcMar>
              <w:top w:w="80" w:type="dxa"/>
              <w:bottom w:w="80" w:type="dxa"/>
              <w:left w:w="120" w:type="dxa"/>
              <w:right w:w="120" w:type="dxa"/>
            </w:tcMar>
            <w:shd w:fill="FFFFFF"/>
          </w:tcPr>
          <w:p>
            <w:r>
              <w:rPr>
                <w:rFonts w:ascii="Plus Jakarta Sans" w:hAnsi="Plus Jakarta Sans"/>
                <w:color w:val="334155"/>
                <w:sz w:val="19"/>
              </w:rPr>
              <w:t>Go, Colly, gRPC</w:t>
            </w:r>
          </w:p>
        </w:tc>
        <w:tc>
          <w:tcPr>
            <w:tcW w:type="dxa" w:w="2340"/>
            <w:tcMar>
              <w:top w:w="80" w:type="dxa"/>
              <w:bottom w:w="80" w:type="dxa"/>
              <w:left w:w="120" w:type="dxa"/>
              <w:right w:w="120" w:type="dxa"/>
            </w:tcMar>
            <w:shd w:fill="FFFFFF"/>
          </w:tcPr>
          <w:p>
            <w:r>
              <w:rPr>
                <w:rFonts w:ascii="Plus Jakarta Sans" w:hAnsi="Plus Jakarta Sans"/>
                <w:color w:val="334155"/>
                <w:sz w:val="19"/>
              </w:rPr>
              <w:t>Concurrent crawling of jobs, proxy rotation, caching</w:t>
            </w:r>
          </w:p>
        </w:tc>
        <w:tc>
          <w:tcPr>
            <w:tcW w:type="dxa" w:w="2340"/>
            <w:tcMar>
              <w:top w:w="80" w:type="dxa"/>
              <w:bottom w:w="80" w:type="dxa"/>
              <w:left w:w="120" w:type="dxa"/>
              <w:right w:w="120" w:type="dxa"/>
            </w:tcMar>
            <w:shd w:fill="FFFFFF"/>
          </w:tcPr>
          <w:p>
            <w:r>
              <w:rPr>
                <w:rFonts w:ascii="Plus Jakarta Sans" w:hAnsi="Plus Jakarta Sans"/>
                <w:color w:val="334155"/>
                <w:sz w:val="19"/>
              </w:rPr>
              <w:t>Scales out dynamic workers; uses Redis caching to prevent rate-limits</w:t>
            </w:r>
          </w:p>
        </w:tc>
      </w:tr>
      <w:tr>
        <w:tc>
          <w:tcPr>
            <w:tcW w:type="dxa" w:w="2340"/>
            <w:tcMar>
              <w:top w:w="80" w:type="dxa"/>
              <w:bottom w:w="80" w:type="dxa"/>
              <w:left w:w="120" w:type="dxa"/>
              <w:right w:w="120" w:type="dxa"/>
            </w:tcMar>
            <w:shd w:fill="F8FAFC"/>
          </w:tcPr>
          <w:p>
            <w:r>
              <w:rPr>
                <w:rFonts w:ascii="Plus Jakarta Sans" w:hAnsi="Plus Jakarta Sans"/>
                <w:b/>
                <w:color w:val="334155"/>
                <w:sz w:val="19"/>
              </w:rPr>
              <w:t>A4: Fitment Engine</w:t>
            </w:r>
          </w:p>
        </w:tc>
        <w:tc>
          <w:tcPr>
            <w:tcW w:type="dxa" w:w="2340"/>
            <w:tcMar>
              <w:top w:w="80" w:type="dxa"/>
              <w:bottom w:w="80" w:type="dxa"/>
              <w:left w:w="120" w:type="dxa"/>
              <w:right w:w="120" w:type="dxa"/>
            </w:tcMar>
            <w:shd w:fill="F8FAFC"/>
          </w:tcPr>
          <w:p>
            <w:r>
              <w:rPr>
                <w:rFonts w:ascii="Plus Jakarta Sans" w:hAnsi="Plus Jakarta Sans"/>
                <w:color w:val="334155"/>
                <w:sz w:val="19"/>
              </w:rPr>
              <w:t>FastAPI, NumPy, pgvector</w:t>
            </w:r>
          </w:p>
        </w:tc>
        <w:tc>
          <w:tcPr>
            <w:tcW w:type="dxa" w:w="2340"/>
            <w:tcMar>
              <w:top w:w="80" w:type="dxa"/>
              <w:bottom w:w="80" w:type="dxa"/>
              <w:left w:w="120" w:type="dxa"/>
              <w:right w:w="120" w:type="dxa"/>
            </w:tcMar>
            <w:shd w:fill="F8FAFC"/>
          </w:tcPr>
          <w:p>
            <w:r>
              <w:rPr>
                <w:rFonts w:ascii="Plus Jakarta Sans" w:hAnsi="Plus Jakarta Sans"/>
                <w:color w:val="334155"/>
                <w:sz w:val="19"/>
              </w:rPr>
              <w:t>Calculate vector cosine similarity &amp; heuristic alignment</w:t>
            </w:r>
          </w:p>
        </w:tc>
        <w:tc>
          <w:tcPr>
            <w:tcW w:type="dxa" w:w="2340"/>
            <w:tcMar>
              <w:top w:w="80" w:type="dxa"/>
              <w:bottom w:w="80" w:type="dxa"/>
              <w:left w:w="120" w:type="dxa"/>
              <w:right w:w="120" w:type="dxa"/>
            </w:tcMar>
            <w:shd w:fill="F8FAFC"/>
          </w:tcPr>
          <w:p>
            <w:r>
              <w:rPr>
                <w:rFonts w:ascii="Plus Jakarta Sans" w:hAnsi="Plus Jakarta Sans"/>
                <w:color w:val="334155"/>
                <w:sz w:val="19"/>
              </w:rPr>
              <w:t>GPU nodes acceleration for heavy embed generation tasks</w:t>
            </w:r>
          </w:p>
        </w:tc>
      </w:tr>
      <w:tr>
        <w:tc>
          <w:tcPr>
            <w:tcW w:type="dxa" w:w="2340"/>
            <w:tcMar>
              <w:top w:w="80" w:type="dxa"/>
              <w:bottom w:w="80" w:type="dxa"/>
              <w:left w:w="120" w:type="dxa"/>
              <w:right w:w="120" w:type="dxa"/>
            </w:tcMar>
            <w:shd w:fill="FFFFFF"/>
          </w:tcPr>
          <w:p>
            <w:r>
              <w:rPr>
                <w:rFonts w:ascii="Plus Jakarta Sans" w:hAnsi="Plus Jakarta Sans"/>
                <w:b/>
                <w:color w:val="334155"/>
                <w:sz w:val="19"/>
              </w:rPr>
              <w:t>A5: Executive Hub</w:t>
            </w:r>
          </w:p>
        </w:tc>
        <w:tc>
          <w:tcPr>
            <w:tcW w:type="dxa" w:w="2340"/>
            <w:tcMar>
              <w:top w:w="80" w:type="dxa"/>
              <w:bottom w:w="80" w:type="dxa"/>
              <w:left w:w="120" w:type="dxa"/>
              <w:right w:w="120" w:type="dxa"/>
            </w:tcMar>
            <w:shd w:fill="FFFFFF"/>
          </w:tcPr>
          <w:p>
            <w:r>
              <w:rPr>
                <w:rFonts w:ascii="Plus Jakarta Sans" w:hAnsi="Plus Jakarta Sans"/>
                <w:color w:val="334155"/>
                <w:sz w:val="19"/>
              </w:rPr>
              <w:t>Node.js, Express</w:t>
            </w:r>
          </w:p>
        </w:tc>
        <w:tc>
          <w:tcPr>
            <w:tcW w:type="dxa" w:w="2340"/>
            <w:tcMar>
              <w:top w:w="80" w:type="dxa"/>
              <w:bottom w:w="80" w:type="dxa"/>
              <w:left w:w="120" w:type="dxa"/>
              <w:right w:w="120" w:type="dxa"/>
            </w:tcMar>
            <w:shd w:fill="FFFFFF"/>
          </w:tcPr>
          <w:p>
            <w:r>
              <w:rPr>
                <w:rFonts w:ascii="Plus Jakarta Sans" w:hAnsi="Plus Jakarta Sans"/>
                <w:color w:val="334155"/>
                <w:sz w:val="19"/>
              </w:rPr>
              <w:t>Aggregate analytics dashboard metrics, generate cover letters</w:t>
            </w:r>
          </w:p>
        </w:tc>
        <w:tc>
          <w:tcPr>
            <w:tcW w:type="dxa" w:w="2340"/>
            <w:tcMar>
              <w:top w:w="80" w:type="dxa"/>
              <w:bottom w:w="80" w:type="dxa"/>
              <w:left w:w="120" w:type="dxa"/>
              <w:right w:w="120" w:type="dxa"/>
            </w:tcMar>
            <w:shd w:fill="FFFFFF"/>
          </w:tcPr>
          <w:p>
            <w:r>
              <w:rPr>
                <w:rFonts w:ascii="Plus Jakarta Sans" w:hAnsi="Plus Jakarta Sans"/>
                <w:color w:val="334155"/>
                <w:sz w:val="19"/>
              </w:rPr>
              <w:t>Static template caching; asynchronous worker queues</w:t>
            </w:r>
          </w:p>
        </w:tc>
      </w:tr>
    </w:tbl>
    <w:p>
      <w:r>
        <w:br w:type="page"/>
      </w:r>
    </w:p>
    <w:p>
      <w:pPr>
        <w:pStyle w:val="Heading1"/>
        <w:keepNext/>
        <w:spacing w:before="360" w:after="240"/>
      </w:pPr>
      <w:r>
        <w:t>3. Implementation Roadmap &amp; Milestones</w:t>
      </w:r>
    </w:p>
    <w:p>
      <w:pPr>
        <w:spacing w:after="240"/>
      </w:pPr>
      <w:r>
        <w:rPr>
          <w:rFonts w:ascii="Plus Jakarta Sans" w:hAnsi="Plus Jakarta Sans"/>
          <w:sz w:val="22"/>
        </w:rPr>
        <w:t>The migration is organized into 4 logical deployment phases. Each phase establishes a functional agent checkpoint that integrates with the database tier.</w:t>
      </w:r>
    </w:p>
    <w:p>
      <w:pPr>
        <w:pStyle w:val="Heading2"/>
        <w:keepNext/>
        <w:spacing w:before="200" w:after="80"/>
      </w:pPr>
      <w:r>
        <w:t>Phase 1: Database Setup &amp; Resume Intake Service (Weeks 1 - 3)</w:t>
      </w:r>
    </w:p>
    <w:p>
      <w:pPr>
        <w:spacing w:after="240"/>
      </w:pPr>
      <w:r>
        <w:rPr>
          <w:rFonts w:ascii="Plus Jakarta Sans" w:hAnsi="Plus Jakarta Sans"/>
          <w:color w:val="334155"/>
          <w:sz w:val="22"/>
        </w:rPr>
        <w:t>Initialize PostgreSQL, pgvector, and AWS S3 storage attachments. Deploy the Python-based Resume Intake FastAPI microservice. Extract parsing definitions automatically via LLM integration and map them into the relation database tables.</w:t>
      </w:r>
    </w:p>
    <w:p>
      <w:pPr>
        <w:pStyle w:val="Heading2"/>
        <w:keepNext/>
        <w:spacing w:before="200" w:after="80"/>
      </w:pPr>
      <w:r>
        <w:t>Phase 2: Go Crawler &amp; Proxy Integration (Weeks 4 - 6)</w:t>
      </w:r>
    </w:p>
    <w:p>
      <w:pPr>
        <w:spacing w:after="240"/>
      </w:pPr>
      <w:r>
        <w:rPr>
          <w:rFonts w:ascii="Plus Jakarta Sans" w:hAnsi="Plus Jakarta Sans"/>
          <w:color w:val="334155"/>
          <w:sz w:val="22"/>
        </w:rPr>
        <w:t>Build the concurrency-friendly Go Search Crawler. Implement SerpAPI proxy tunnels and cache job results inside Redis. Establish cron-based polling structures to auto-update live listings with a 12-hour TTL cycle.</w:t>
      </w:r>
    </w:p>
    <w:p>
      <w:pPr>
        <w:pStyle w:val="Heading2"/>
        <w:keepNext/>
        <w:spacing w:before="200" w:after="80"/>
      </w:pPr>
      <w:r>
        <w:t>Phase 3: Semantic Embeddings &amp; Analytical Scorer (Weeks 7 - 9)</w:t>
      </w:r>
    </w:p>
    <w:p>
      <w:pPr>
        <w:spacing w:after="240"/>
      </w:pPr>
      <w:r>
        <w:rPr>
          <w:rFonts w:ascii="Plus Jakarta Sans" w:hAnsi="Plus Jakarta Sans"/>
          <w:color w:val="334155"/>
          <w:sz w:val="22"/>
        </w:rPr>
        <w:t>Integrate vector parsing pipelines in pgvector. Generate embeddings for job requirements dynamically. Construct the aggregate stats aggregator for dashboard reporting and cover letter generators.</w:t>
      </w:r>
    </w:p>
    <w:p>
      <w:pPr>
        <w:pStyle w:val="Heading2"/>
        <w:keepNext/>
        <w:spacing w:before="200" w:after="80"/>
      </w:pPr>
      <w:r>
        <w:t>Phase 4: Temporal Workflow &amp; UI Redesign (Weeks 10 - 12)</w:t>
      </w:r>
    </w:p>
    <w:p>
      <w:pPr>
        <w:spacing w:after="240"/>
      </w:pPr>
      <w:r>
        <w:rPr>
          <w:rFonts w:ascii="Plus Jakarta Sans" w:hAnsi="Plus Jakarta Sans"/>
          <w:color w:val="334155"/>
          <w:sz w:val="22"/>
        </w:rPr>
        <w:t>Deploy Temporal.io cluster inside Kubernetes. Move step-by-step orchestrations into typescript workflows with error handling. Replace raw HTML pages with a responsive, modern Next.js frontend.</w:t>
      </w:r>
    </w:p>
    <w:p>
      <w:pPr>
        <w:pStyle w:val="Heading1"/>
        <w:keepNext/>
        <w:spacing w:before="360" w:after="240"/>
      </w:pPr>
      <w:r>
        <w:t>4. Risk Assessment &amp; Data Security</w:t>
      </w:r>
    </w:p>
    <w:p>
      <w:pPr>
        <w:spacing w:after="160"/>
      </w:pPr>
      <w:r>
        <w:rPr>
          <w:rFonts w:ascii="Plus Jakarta Sans" w:hAnsi="Plus Jakarta Sans"/>
          <w:sz w:val="22"/>
        </w:rPr>
        <w:t>Operating an AI job matching platform requires managing sensitive Candidate Personally Identifiable Information (PII) and coordinating external API costs.</w:t>
      </w:r>
    </w:p>
    <w:p>
      <w:pPr>
        <w:pStyle w:val="ListBullet"/>
        <w:spacing w:after="80"/>
      </w:pPr>
      <w:r>
        <w:rPr>
          <w:rFonts w:ascii="Plus Jakarta Sans" w:hAnsi="Plus Jakarta Sans"/>
          <w:b/>
          <w:color w:val="E11D48"/>
          <w:sz w:val="22"/>
        </w:rPr>
        <w:t xml:space="preserve">PII Leakage &amp; File Security: </w:t>
      </w:r>
      <w:r>
        <w:rPr>
          <w:rFonts w:ascii="Plus Jakarta Sans" w:hAnsi="Plus Jakarta Sans"/>
          <w:color w:val="334155"/>
          <w:sz w:val="22"/>
        </w:rPr>
        <w:t>All uploaded resumes will be scanned for viruses and encrypted at rest in S3 using KMS keys. Candidate contact details are masked during the fitment process.</w:t>
      </w:r>
    </w:p>
    <w:p>
      <w:pPr>
        <w:pStyle w:val="ListBullet"/>
        <w:spacing w:after="80"/>
      </w:pPr>
      <w:r>
        <w:rPr>
          <w:rFonts w:ascii="Plus Jakarta Sans" w:hAnsi="Plus Jakarta Sans"/>
          <w:b/>
          <w:color w:val="E11D48"/>
          <w:sz w:val="22"/>
        </w:rPr>
        <w:t xml:space="preserve">API Cost Management: </w:t>
      </w:r>
      <w:r>
        <w:rPr>
          <w:rFonts w:ascii="Plus Jakarta Sans" w:hAnsi="Plus Jakarta Sans"/>
          <w:color w:val="334155"/>
          <w:sz w:val="22"/>
        </w:rPr>
        <w:t>LLM prompts are optimized using structural templates to prevent token bloat. Caching crawler search responses in Redis prevents repeating redundant SerpAPI billing hits.</w:t>
      </w:r>
    </w:p>
    <w:p>
      <w:pPr>
        <w:pStyle w:val="ListBullet"/>
        <w:spacing w:after="80"/>
      </w:pPr>
      <w:r>
        <w:rPr>
          <w:rFonts w:ascii="Plus Jakarta Sans" w:hAnsi="Plus Jakarta Sans"/>
          <w:b/>
          <w:color w:val="E11D48"/>
          <w:sz w:val="22"/>
        </w:rPr>
        <w:t xml:space="preserve">Semantic Drift: </w:t>
      </w:r>
      <w:r>
        <w:rPr>
          <w:rFonts w:ascii="Plus Jakarta Sans" w:hAnsi="Plus Jakarta Sans"/>
          <w:color w:val="334155"/>
          <w:sz w:val="22"/>
        </w:rPr>
        <w:t>Regular regression testing will be carried out on the fitment algorithm using baseline tests to check that matching scores remain aligned with human preferences.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